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theme/themeOverride1.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FB" w:rsidRDefault="001A4CFB" w:rsidP="00317058">
      <w:pPr>
        <w:pBdr>
          <w:bottom w:val="single" w:sz="4" w:space="1" w:color="007073"/>
        </w:pBdr>
        <w:suppressAutoHyphens/>
        <w:autoSpaceDE w:val="0"/>
        <w:autoSpaceDN w:val="0"/>
        <w:adjustRightInd w:val="0"/>
        <w:spacing w:before="0" w:after="120"/>
        <w:textAlignment w:val="center"/>
        <w:outlineLvl w:val="0"/>
        <w:rPr>
          <w:rFonts w:ascii="Arial" w:eastAsia="Times New Roman" w:hAnsi="Arial" w:cs="Arial"/>
          <w:b/>
          <w:bCs/>
          <w:color w:val="007073"/>
          <w:sz w:val="52"/>
          <w:szCs w:val="80"/>
          <w:lang w:eastAsia="en-NZ"/>
        </w:rPr>
      </w:pPr>
      <w:bookmarkStart w:id="0" w:name="_Toc292198931"/>
      <w:r w:rsidRPr="00B87EF5">
        <w:rPr>
          <w:rFonts w:ascii="Arial" w:eastAsia="Times New Roman" w:hAnsi="Arial" w:cs="Arial"/>
          <w:b/>
          <w:bCs/>
          <w:noProof/>
          <w:color w:val="007073"/>
          <w:sz w:val="52"/>
          <w:szCs w:val="80"/>
          <w:lang w:eastAsia="en-NZ"/>
        </w:rPr>
        <w:drawing>
          <wp:anchor distT="0" distB="0" distL="114300" distR="114300" simplePos="0" relativeHeight="251659264" behindDoc="0" locked="0" layoutInCell="1" allowOverlap="1" wp14:anchorId="21E96F56" wp14:editId="1360F3E9">
            <wp:simplePos x="0" y="0"/>
            <wp:positionH relativeFrom="column">
              <wp:posOffset>-332105</wp:posOffset>
            </wp:positionH>
            <wp:positionV relativeFrom="paragraph">
              <wp:posOffset>204470</wp:posOffset>
            </wp:positionV>
            <wp:extent cx="179705" cy="179705"/>
            <wp:effectExtent l="0" t="0" r="0" b="0"/>
            <wp:wrapNone/>
            <wp:docPr id="8" name="Picture 8" descr="arrow-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1A4CFB">
        <w:rPr>
          <w:rFonts w:ascii="Arial" w:eastAsia="Times New Roman" w:hAnsi="Arial" w:cs="Arial"/>
          <w:b/>
          <w:bCs/>
          <w:color w:val="007073"/>
          <w:sz w:val="52"/>
          <w:szCs w:val="80"/>
          <w:lang w:eastAsia="en-NZ"/>
        </w:rPr>
        <w:t>Youth Service Evaluation Snapshot</w:t>
      </w:r>
    </w:p>
    <w:p w:rsidR="003C7B40" w:rsidRPr="003C7B40" w:rsidRDefault="003C7B40" w:rsidP="00317058">
      <w:pPr>
        <w:pBdr>
          <w:bottom w:val="single" w:sz="4" w:space="1" w:color="007073"/>
        </w:pBdr>
        <w:suppressAutoHyphens/>
        <w:autoSpaceDE w:val="0"/>
        <w:autoSpaceDN w:val="0"/>
        <w:adjustRightInd w:val="0"/>
        <w:spacing w:before="0" w:after="120"/>
        <w:textAlignment w:val="center"/>
        <w:outlineLvl w:val="0"/>
        <w:rPr>
          <w:rFonts w:ascii="Arial" w:eastAsia="Times New Roman" w:hAnsi="Arial" w:cs="Arial"/>
          <w:b/>
          <w:bCs/>
          <w:color w:val="007073"/>
          <w:sz w:val="2"/>
          <w:szCs w:val="16"/>
          <w:lang w:eastAsia="en-NZ"/>
        </w:rPr>
      </w:pPr>
    </w:p>
    <w:p w:rsidR="00A32DF2" w:rsidRDefault="00A32DF2" w:rsidP="003C7B40">
      <w:pPr>
        <w:pStyle w:val="NoSpacing"/>
        <w:spacing w:before="240" w:after="120"/>
        <w:ind w:right="-46"/>
      </w:pPr>
      <w:r w:rsidRPr="00A32DF2">
        <w:t xml:space="preserve">This snapshot presents findings </w:t>
      </w:r>
      <w:r w:rsidRPr="00A32DF2">
        <w:rPr>
          <w:rFonts w:ascii="Arial" w:eastAsiaTheme="majorEastAsia" w:hAnsi="Arial" w:cs="Arial"/>
          <w:bCs/>
          <w:iCs/>
        </w:rPr>
        <w:t>from the evaluation of Youth Service in its first 18 months of operation.</w:t>
      </w:r>
      <w:r>
        <w:t xml:space="preserve"> T</w:t>
      </w:r>
      <w:r w:rsidRPr="00A32DF2">
        <w:t>he findings consider</w:t>
      </w:r>
      <w:r>
        <w:t>:</w:t>
      </w:r>
    </w:p>
    <w:p w:rsidR="00A32DF2" w:rsidRPr="00A32DF2" w:rsidRDefault="00A32DF2" w:rsidP="003C7B40">
      <w:pPr>
        <w:pStyle w:val="NoSpacing"/>
        <w:numPr>
          <w:ilvl w:val="0"/>
          <w:numId w:val="20"/>
        </w:numPr>
        <w:spacing w:before="120" w:after="120"/>
        <w:ind w:left="425" w:right="-46" w:hanging="425"/>
      </w:pPr>
      <w:r w:rsidRPr="00A32DF2">
        <w:t>young people’s participation in education, training or work-based learning, enrolment in budgeting and parenting activities, and ach</w:t>
      </w:r>
      <w:r w:rsidR="009B557F">
        <w:t>ievement of NCEA qualifications</w:t>
      </w:r>
      <w:r w:rsidRPr="00A32DF2">
        <w:t xml:space="preserve"> </w:t>
      </w:r>
    </w:p>
    <w:p w:rsidR="00A32DF2" w:rsidRPr="00A32DF2" w:rsidRDefault="00A32DF2" w:rsidP="003C7B40">
      <w:pPr>
        <w:pStyle w:val="NoSpacing"/>
        <w:numPr>
          <w:ilvl w:val="0"/>
          <w:numId w:val="20"/>
        </w:numPr>
        <w:spacing w:before="120" w:after="120"/>
        <w:ind w:left="425" w:right="-46" w:hanging="425"/>
      </w:pPr>
      <w:proofErr w:type="gramStart"/>
      <w:r>
        <w:t>the</w:t>
      </w:r>
      <w:proofErr w:type="gramEnd"/>
      <w:r w:rsidRPr="00A32DF2">
        <w:t xml:space="preserve"> impact of Youth Service on </w:t>
      </w:r>
      <w:r w:rsidR="003C7B40">
        <w:t xml:space="preserve">the </w:t>
      </w:r>
      <w:r w:rsidRPr="00A32DF2">
        <w:t xml:space="preserve">main benefit receipt of </w:t>
      </w:r>
      <w:r>
        <w:t>Youth Payment (</w:t>
      </w:r>
      <w:r w:rsidRPr="00A32DF2">
        <w:t>YP</w:t>
      </w:r>
      <w:r>
        <w:t>)</w:t>
      </w:r>
      <w:r w:rsidRPr="00A32DF2">
        <w:t xml:space="preserve"> and </w:t>
      </w:r>
      <w:r w:rsidRPr="00F93ED8">
        <w:rPr>
          <w:rFonts w:ascii="Arial" w:eastAsiaTheme="majorEastAsia" w:hAnsi="Arial" w:cs="Arial"/>
          <w:bCs/>
          <w:iCs/>
        </w:rPr>
        <w:t xml:space="preserve">Young Parent Payment </w:t>
      </w:r>
      <w:r>
        <w:rPr>
          <w:rFonts w:ascii="Arial" w:eastAsiaTheme="majorEastAsia" w:hAnsi="Arial" w:cs="Arial"/>
          <w:bCs/>
          <w:iCs/>
        </w:rPr>
        <w:t>(</w:t>
      </w:r>
      <w:r w:rsidRPr="00A32DF2">
        <w:t>YPP</w:t>
      </w:r>
      <w:r>
        <w:t>)</w:t>
      </w:r>
      <w:r w:rsidRPr="00A32DF2">
        <w:t xml:space="preserve"> participants. This is assessed using a comparison group drawn from young people who started a main benefit before the introduction of Youth Service</w:t>
      </w:r>
      <w:r>
        <w:t>.</w:t>
      </w:r>
      <w:r>
        <w:rPr>
          <w:rStyle w:val="FootnoteReference"/>
        </w:rPr>
        <w:footnoteReference w:id="1"/>
      </w:r>
      <w:r>
        <w:t xml:space="preserve"> </w:t>
      </w:r>
      <w:r w:rsidRPr="00A32DF2">
        <w:t xml:space="preserve"> </w:t>
      </w:r>
    </w:p>
    <w:p w:rsidR="00A32DF2" w:rsidRDefault="00A32DF2" w:rsidP="003C7B40">
      <w:pPr>
        <w:pStyle w:val="NoSpacing"/>
        <w:spacing w:before="360" w:after="120"/>
        <w:ind w:right="-46"/>
        <w:rPr>
          <w:rFonts w:ascii="Arial" w:eastAsiaTheme="majorEastAsia" w:hAnsi="Arial" w:cs="Arial"/>
          <w:b/>
          <w:bCs/>
          <w:iCs/>
          <w:color w:val="007073"/>
        </w:rPr>
      </w:pPr>
      <w:r>
        <w:rPr>
          <w:rFonts w:ascii="Arial" w:eastAsiaTheme="majorEastAsia" w:hAnsi="Arial" w:cs="Arial"/>
          <w:b/>
          <w:bCs/>
          <w:iCs/>
          <w:color w:val="007073"/>
        </w:rPr>
        <w:t>Youth Service Background</w:t>
      </w:r>
    </w:p>
    <w:p w:rsidR="007956CB" w:rsidRPr="007956CB" w:rsidRDefault="00A32DF2" w:rsidP="003C7B40">
      <w:pPr>
        <w:pStyle w:val="NoSpacing"/>
        <w:numPr>
          <w:ilvl w:val="0"/>
          <w:numId w:val="26"/>
        </w:numPr>
        <w:spacing w:before="240" w:after="120"/>
        <w:ind w:left="357" w:right="-46" w:hanging="357"/>
        <w:rPr>
          <w:b/>
        </w:rPr>
      </w:pPr>
      <w:r w:rsidRPr="007956CB">
        <w:rPr>
          <w:b/>
        </w:rPr>
        <w:t>Y</w:t>
      </w:r>
      <w:r w:rsidR="001A4CFB" w:rsidRPr="007956CB">
        <w:rPr>
          <w:b/>
        </w:rPr>
        <w:t>outh Service is a new approach to working with vulner</w:t>
      </w:r>
      <w:r w:rsidR="00867F8E" w:rsidRPr="007956CB">
        <w:rPr>
          <w:b/>
        </w:rPr>
        <w:t>able young people where MSD</w:t>
      </w:r>
      <w:r w:rsidR="001A4CFB" w:rsidRPr="007956CB">
        <w:rPr>
          <w:b/>
        </w:rPr>
        <w:t xml:space="preserve"> contract</w:t>
      </w:r>
      <w:r w:rsidR="00867F8E" w:rsidRPr="007956CB">
        <w:rPr>
          <w:b/>
        </w:rPr>
        <w:t>s</w:t>
      </w:r>
      <w:r w:rsidR="001A4CFB" w:rsidRPr="007956CB">
        <w:rPr>
          <w:b/>
        </w:rPr>
        <w:t xml:space="preserve"> a service provider to work actively and intensively with </w:t>
      </w:r>
      <w:r w:rsidR="00270E03">
        <w:rPr>
          <w:b/>
        </w:rPr>
        <w:t xml:space="preserve">a </w:t>
      </w:r>
      <w:r w:rsidR="001A4CFB" w:rsidRPr="007956CB">
        <w:rPr>
          <w:b/>
        </w:rPr>
        <w:t xml:space="preserve">young </w:t>
      </w:r>
      <w:r w:rsidR="00270E03">
        <w:rPr>
          <w:b/>
        </w:rPr>
        <w:t>person</w:t>
      </w:r>
      <w:r w:rsidR="007956CB" w:rsidRPr="007956CB">
        <w:rPr>
          <w:b/>
        </w:rPr>
        <w:t xml:space="preserve"> </w:t>
      </w:r>
    </w:p>
    <w:p w:rsidR="00270E03" w:rsidRDefault="007956CB" w:rsidP="003C7B40">
      <w:pPr>
        <w:pStyle w:val="Heading4"/>
        <w:keepNext w:val="0"/>
        <w:keepLines w:val="0"/>
        <w:suppressAutoHyphens/>
        <w:autoSpaceDE w:val="0"/>
        <w:autoSpaceDN w:val="0"/>
        <w:adjustRightInd w:val="0"/>
        <w:spacing w:before="120" w:after="120" w:line="280" w:lineRule="atLeast"/>
        <w:ind w:right="-46"/>
        <w:textAlignment w:val="center"/>
        <w:rPr>
          <w:rFonts w:ascii="Arial" w:hAnsi="Arial" w:cs="Arial"/>
        </w:rPr>
      </w:pPr>
      <w:r>
        <w:rPr>
          <w:rFonts w:ascii="Arial" w:hAnsi="Arial" w:cs="Arial"/>
        </w:rPr>
        <w:t>Youth Service was</w:t>
      </w:r>
      <w:r w:rsidRPr="00F93ED8">
        <w:rPr>
          <w:rFonts w:ascii="Arial" w:hAnsi="Arial" w:cs="Arial"/>
        </w:rPr>
        <w:t xml:space="preserve"> established in </w:t>
      </w:r>
      <w:r>
        <w:rPr>
          <w:rFonts w:ascii="Arial" w:hAnsi="Arial" w:cs="Arial"/>
        </w:rPr>
        <w:t>August 2012 to address the long-</w:t>
      </w:r>
      <w:r w:rsidRPr="00F93ED8">
        <w:rPr>
          <w:rFonts w:ascii="Arial" w:hAnsi="Arial" w:cs="Arial"/>
        </w:rPr>
        <w:t xml:space="preserve">term impact early entrants to the benefit system have on overall benefit liability. Early entrants have </w:t>
      </w:r>
      <w:r>
        <w:rPr>
          <w:rFonts w:ascii="Arial" w:hAnsi="Arial" w:cs="Arial"/>
        </w:rPr>
        <w:t xml:space="preserve">a very high </w:t>
      </w:r>
      <w:r w:rsidRPr="00F93ED8">
        <w:rPr>
          <w:rFonts w:ascii="Arial" w:hAnsi="Arial" w:cs="Arial"/>
        </w:rPr>
        <w:t>average liability of $</w:t>
      </w:r>
      <w:r>
        <w:rPr>
          <w:rFonts w:ascii="Arial" w:hAnsi="Arial" w:cs="Arial"/>
        </w:rPr>
        <w:t xml:space="preserve">109,000 </w:t>
      </w:r>
      <w:r w:rsidRPr="00F93ED8">
        <w:rPr>
          <w:rFonts w:ascii="Arial" w:hAnsi="Arial" w:cs="Arial"/>
        </w:rPr>
        <w:t>per client.</w:t>
      </w:r>
      <w:r>
        <w:rPr>
          <w:rFonts w:ascii="Arial" w:hAnsi="Arial" w:cs="Arial"/>
          <w:bCs w:val="0"/>
          <w:iCs w:val="0"/>
        </w:rPr>
        <w:t xml:space="preserve"> </w:t>
      </w:r>
      <w:r w:rsidRPr="007956CB">
        <w:rPr>
          <w:rFonts w:ascii="Arial" w:hAnsi="Arial" w:cs="Arial"/>
        </w:rPr>
        <w:t xml:space="preserve">Youth Payment </w:t>
      </w:r>
      <w:r w:rsidRPr="007956CB">
        <w:rPr>
          <w:rFonts w:ascii="Arial" w:hAnsi="Arial" w:cs="Arial"/>
          <w:bCs w:val="0"/>
          <w:iCs w:val="0"/>
        </w:rPr>
        <w:t xml:space="preserve">participants </w:t>
      </w:r>
      <w:r w:rsidRPr="007956CB">
        <w:rPr>
          <w:rFonts w:ascii="Arial" w:hAnsi="Arial" w:cs="Arial"/>
        </w:rPr>
        <w:t xml:space="preserve">within the early </w:t>
      </w:r>
      <w:proofErr w:type="gramStart"/>
      <w:r w:rsidRPr="007956CB">
        <w:rPr>
          <w:rFonts w:ascii="Arial" w:hAnsi="Arial" w:cs="Arial"/>
        </w:rPr>
        <w:t>entrants</w:t>
      </w:r>
      <w:proofErr w:type="gramEnd"/>
      <w:r w:rsidRPr="007956CB">
        <w:rPr>
          <w:rFonts w:ascii="Arial" w:hAnsi="Arial" w:cs="Arial"/>
        </w:rPr>
        <w:t xml:space="preserve"> cohort have the highest liability at $185,000.</w:t>
      </w:r>
    </w:p>
    <w:p w:rsidR="00270E03" w:rsidRDefault="00270E03" w:rsidP="003C7B40">
      <w:pPr>
        <w:pStyle w:val="Heading4"/>
        <w:keepNext w:val="0"/>
        <w:keepLines w:val="0"/>
        <w:suppressAutoHyphens/>
        <w:autoSpaceDE w:val="0"/>
        <w:autoSpaceDN w:val="0"/>
        <w:adjustRightInd w:val="0"/>
        <w:spacing w:before="120" w:after="120" w:line="280" w:lineRule="atLeast"/>
        <w:ind w:right="-46"/>
        <w:textAlignment w:val="center"/>
        <w:rPr>
          <w:rFonts w:ascii="Arial" w:hAnsi="Arial" w:cs="Arial"/>
        </w:rPr>
      </w:pPr>
      <w:r>
        <w:rPr>
          <w:rFonts w:ascii="Arial" w:hAnsi="Arial" w:cs="Arial"/>
          <w:bCs w:val="0"/>
          <w:iCs w:val="0"/>
        </w:rPr>
        <w:t xml:space="preserve">The aim of Youth Service </w:t>
      </w:r>
      <w:r w:rsidRPr="00F93ED8">
        <w:rPr>
          <w:rFonts w:ascii="Arial" w:hAnsi="Arial" w:cs="Arial"/>
        </w:rPr>
        <w:t>is to connect young people with education and training as well as budgeting and parenting courses to equip them with skills and resilience to reduce their likelihood of requiring income support in the future.</w:t>
      </w:r>
    </w:p>
    <w:p w:rsidR="000A7F2C" w:rsidRPr="00270E03" w:rsidRDefault="000A7F2C" w:rsidP="003C7B40">
      <w:pPr>
        <w:pStyle w:val="Heading4"/>
        <w:keepNext w:val="0"/>
        <w:keepLines w:val="0"/>
        <w:suppressAutoHyphens/>
        <w:autoSpaceDE w:val="0"/>
        <w:autoSpaceDN w:val="0"/>
        <w:adjustRightInd w:val="0"/>
        <w:spacing w:before="120" w:after="120" w:line="280" w:lineRule="atLeast"/>
        <w:ind w:right="-46"/>
        <w:textAlignment w:val="center"/>
        <w:rPr>
          <w:rFonts w:ascii="Arial" w:hAnsi="Arial" w:cs="Arial"/>
        </w:rPr>
      </w:pPr>
      <w:r>
        <w:t xml:space="preserve">The outcomes sought from </w:t>
      </w:r>
      <w:r w:rsidR="00C3130B">
        <w:t>Youth S</w:t>
      </w:r>
      <w:r>
        <w:t>ervice</w:t>
      </w:r>
      <w:r w:rsidR="00C3130B">
        <w:t xml:space="preserve"> </w:t>
      </w:r>
      <w:r>
        <w:t xml:space="preserve">are that </w:t>
      </w:r>
      <w:r w:rsidR="00A92685">
        <w:t xml:space="preserve">participating </w:t>
      </w:r>
      <w:r>
        <w:t xml:space="preserve">young people </w:t>
      </w:r>
      <w:r w:rsidR="00C3130B">
        <w:t xml:space="preserve">have a </w:t>
      </w:r>
      <w:r w:rsidR="005B1330">
        <w:t>reduce</w:t>
      </w:r>
      <w:r w:rsidR="00C3130B">
        <w:t xml:space="preserve">d </w:t>
      </w:r>
      <w:r w:rsidR="005B1330">
        <w:t>risk of long-term</w:t>
      </w:r>
      <w:r>
        <w:t xml:space="preserve"> benefit </w:t>
      </w:r>
      <w:r w:rsidR="005B1330">
        <w:t>dependency</w:t>
      </w:r>
      <w:r w:rsidR="00C3130B">
        <w:t xml:space="preserve">, achieve at least an NCEA level 2 qualification (or equivalent), </w:t>
      </w:r>
      <w:r>
        <w:t xml:space="preserve">and </w:t>
      </w:r>
      <w:r w:rsidR="00C3130B">
        <w:t xml:space="preserve">have </w:t>
      </w:r>
      <w:r w:rsidR="005B1330">
        <w:t>improve</w:t>
      </w:r>
      <w:r w:rsidR="00C3130B">
        <w:t>d</w:t>
      </w:r>
      <w:r w:rsidR="005B1330">
        <w:t xml:space="preserve"> social outcomes for </w:t>
      </w:r>
      <w:r w:rsidR="00C3130B">
        <w:t xml:space="preserve">themselves </w:t>
      </w:r>
      <w:r w:rsidR="005B1330">
        <w:t>and their children</w:t>
      </w:r>
      <w:r>
        <w:t>.</w:t>
      </w:r>
    </w:p>
    <w:p w:rsidR="007956CB" w:rsidRDefault="00B83C01" w:rsidP="003C7B40">
      <w:pPr>
        <w:pStyle w:val="NoSpacing"/>
        <w:numPr>
          <w:ilvl w:val="0"/>
          <w:numId w:val="26"/>
        </w:numPr>
        <w:spacing w:before="240" w:after="120"/>
        <w:ind w:left="357" w:right="-46" w:hanging="357"/>
      </w:pPr>
      <w:r w:rsidRPr="007956CB">
        <w:rPr>
          <w:b/>
        </w:rPr>
        <w:t>A strong focus on youth is required to reduce the number of people at ri</w:t>
      </w:r>
      <w:r w:rsidR="00270E03">
        <w:rPr>
          <w:b/>
        </w:rPr>
        <w:t>sk of long-term benefit receipt</w:t>
      </w:r>
    </w:p>
    <w:p w:rsidR="00C24195" w:rsidRDefault="00270E03" w:rsidP="003C7B40">
      <w:pPr>
        <w:pStyle w:val="NoSpacing"/>
        <w:spacing w:before="120" w:after="120"/>
        <w:ind w:right="-46"/>
      </w:pPr>
      <w:r w:rsidRPr="00270E03">
        <w:rPr>
          <w:rFonts w:ascii="Arial" w:eastAsiaTheme="majorEastAsia" w:hAnsi="Arial" w:cs="Arial"/>
        </w:rPr>
        <w:t xml:space="preserve">Although the number of new youth entrants to benefit each year is low, the most recent actuarial valuation shows that these participants account for a significant proportion of the liability over time. </w:t>
      </w:r>
      <w:r w:rsidR="00A32DF2">
        <w:t>For instance</w:t>
      </w:r>
      <w:r w:rsidR="00B83C01">
        <w:t>, more than 70</w:t>
      </w:r>
      <w:r w:rsidR="00C3130B">
        <w:t xml:space="preserve"> per cent</w:t>
      </w:r>
      <w:r w:rsidR="00B83C01">
        <w:t xml:space="preserve"> of the forward liability is in respect of people who first received a benefit before the age of 20 – indicating that many </w:t>
      </w:r>
      <w:r>
        <w:t xml:space="preserve">of these young people </w:t>
      </w:r>
      <w:r w:rsidR="00B83C01">
        <w:t>remain vulnerable to benefit dependency their whole lives.</w:t>
      </w:r>
    </w:p>
    <w:p w:rsidR="00270E03" w:rsidRDefault="001A1FD9" w:rsidP="003C7B40">
      <w:pPr>
        <w:pStyle w:val="NoSpacing"/>
        <w:numPr>
          <w:ilvl w:val="0"/>
          <w:numId w:val="26"/>
        </w:numPr>
        <w:spacing w:before="240" w:after="120"/>
        <w:ind w:left="357" w:right="-46" w:hanging="357"/>
        <w:rPr>
          <w:rFonts w:ascii="Arial" w:eastAsiaTheme="majorEastAsia" w:hAnsi="Arial" w:cs="Arial"/>
          <w:bCs/>
          <w:iCs/>
        </w:rPr>
      </w:pPr>
      <w:r w:rsidRPr="00270E03">
        <w:rPr>
          <w:b/>
        </w:rPr>
        <w:t xml:space="preserve">Many </w:t>
      </w:r>
      <w:r w:rsidR="00270E03">
        <w:rPr>
          <w:b/>
        </w:rPr>
        <w:t>young people</w:t>
      </w:r>
      <w:r w:rsidRPr="00270E03">
        <w:rPr>
          <w:b/>
        </w:rPr>
        <w:t xml:space="preserve"> enter </w:t>
      </w:r>
      <w:r w:rsidR="00270E03">
        <w:rPr>
          <w:b/>
        </w:rPr>
        <w:t>Youth</w:t>
      </w:r>
      <w:r w:rsidRPr="00270E03">
        <w:rPr>
          <w:b/>
        </w:rPr>
        <w:t xml:space="preserve"> Service requiring intens</w:t>
      </w:r>
      <w:r w:rsidR="00270E03">
        <w:rPr>
          <w:b/>
        </w:rPr>
        <w:t>ive support</w:t>
      </w:r>
      <w:r w:rsidR="00676E37">
        <w:rPr>
          <w:rFonts w:ascii="Arial" w:eastAsiaTheme="majorEastAsia" w:hAnsi="Arial" w:cs="Arial"/>
          <w:bCs/>
          <w:iCs/>
        </w:rPr>
        <w:t xml:space="preserve"> </w:t>
      </w:r>
    </w:p>
    <w:p w:rsidR="00617137" w:rsidRPr="00F93ED8" w:rsidRDefault="00270E03" w:rsidP="003C7B40">
      <w:pPr>
        <w:pStyle w:val="NoSpacing"/>
        <w:spacing w:before="120" w:after="120"/>
        <w:ind w:right="-46"/>
        <w:rPr>
          <w:rFonts w:ascii="Arial" w:eastAsiaTheme="majorEastAsia" w:hAnsi="Arial" w:cs="Arial"/>
          <w:bCs/>
          <w:iCs/>
        </w:rPr>
      </w:pPr>
      <w:r>
        <w:rPr>
          <w:rFonts w:eastAsia="Calibri" w:cs="Times New Roman"/>
        </w:rPr>
        <w:t>Many young people who enter</w:t>
      </w:r>
      <w:r w:rsidRPr="007619B6">
        <w:rPr>
          <w:rFonts w:eastAsia="Calibri" w:cs="Times New Roman"/>
        </w:rPr>
        <w:t xml:space="preserve"> Youth Service </w:t>
      </w:r>
      <w:r>
        <w:rPr>
          <w:rFonts w:eastAsia="Calibri" w:cs="Times New Roman"/>
        </w:rPr>
        <w:t xml:space="preserve">have </w:t>
      </w:r>
      <w:r w:rsidRPr="007619B6">
        <w:t xml:space="preserve">serious or complex issues </w:t>
      </w:r>
      <w:r>
        <w:t>that require intensive support</w:t>
      </w:r>
      <w:r>
        <w:rPr>
          <w:rFonts w:ascii="Arial" w:eastAsiaTheme="majorEastAsia" w:hAnsi="Arial" w:cs="Arial"/>
          <w:bCs/>
          <w:iCs/>
        </w:rPr>
        <w:t xml:space="preserve">. </w:t>
      </w:r>
      <w:r w:rsidR="00C628CE">
        <w:rPr>
          <w:rFonts w:ascii="Arial" w:eastAsiaTheme="majorEastAsia" w:hAnsi="Arial" w:cs="Arial"/>
          <w:bCs/>
          <w:iCs/>
        </w:rPr>
        <w:t xml:space="preserve">For example, a </w:t>
      </w:r>
      <w:r w:rsidR="00676E37">
        <w:rPr>
          <w:rFonts w:ascii="Arial" w:eastAsiaTheme="majorEastAsia" w:hAnsi="Arial" w:cs="Arial"/>
          <w:bCs/>
          <w:iCs/>
        </w:rPr>
        <w:t xml:space="preserve">review </w:t>
      </w:r>
      <w:r w:rsidR="00676E37" w:rsidRPr="00270E03">
        <w:rPr>
          <w:rFonts w:ascii="Arial" w:eastAsiaTheme="majorEastAsia" w:hAnsi="Arial" w:cs="Arial"/>
          <w:bCs/>
          <w:iCs/>
        </w:rPr>
        <w:t>of Youth P</w:t>
      </w:r>
      <w:r w:rsidR="001A1FD9" w:rsidRPr="00270E03">
        <w:rPr>
          <w:rFonts w:ascii="Arial" w:eastAsiaTheme="majorEastAsia" w:hAnsi="Arial" w:cs="Arial"/>
          <w:bCs/>
          <w:iCs/>
        </w:rPr>
        <w:t xml:space="preserve">ayment grants by Work and Income found that 38 per cent of applicants were victims of domestic </w:t>
      </w:r>
      <w:r w:rsidR="001A1FD9" w:rsidRPr="00F93ED8">
        <w:rPr>
          <w:rFonts w:ascii="Arial" w:eastAsiaTheme="majorEastAsia" w:hAnsi="Arial" w:cs="Arial"/>
          <w:bCs/>
          <w:iCs/>
        </w:rPr>
        <w:t>violence, 76 per cent suffered emotional neglect and 5 per cent were homeless or victims of sexual abuse.</w:t>
      </w:r>
    </w:p>
    <w:p w:rsidR="003C7B40" w:rsidRDefault="003C7B40">
      <w:pPr>
        <w:spacing w:before="0" w:after="200" w:line="276" w:lineRule="auto"/>
        <w:rPr>
          <w:rFonts w:ascii="Arial" w:eastAsiaTheme="majorEastAsia" w:hAnsi="Arial" w:cs="Arial"/>
          <w:b/>
          <w:bCs/>
          <w:iCs/>
          <w:color w:val="007073"/>
        </w:rPr>
      </w:pPr>
      <w:r>
        <w:rPr>
          <w:rFonts w:ascii="Arial" w:eastAsiaTheme="majorEastAsia" w:hAnsi="Arial" w:cs="Arial"/>
          <w:b/>
          <w:bCs/>
          <w:iCs/>
          <w:color w:val="007073"/>
        </w:rPr>
        <w:br w:type="page"/>
      </w:r>
    </w:p>
    <w:p w:rsidR="001A4CFB" w:rsidRPr="00B87EF5" w:rsidRDefault="001A4CFB" w:rsidP="003C7B40">
      <w:pPr>
        <w:pStyle w:val="NoSpacing"/>
        <w:spacing w:before="240"/>
        <w:ind w:right="-187"/>
        <w:rPr>
          <w:rFonts w:ascii="Arial" w:eastAsiaTheme="majorEastAsia" w:hAnsi="Arial" w:cs="Arial"/>
          <w:b/>
          <w:bCs/>
          <w:iCs/>
          <w:color w:val="007073"/>
        </w:rPr>
      </w:pPr>
      <w:r w:rsidRPr="00B87EF5">
        <w:rPr>
          <w:rFonts w:ascii="Arial" w:eastAsiaTheme="majorEastAsia" w:hAnsi="Arial" w:cs="Arial"/>
          <w:b/>
          <w:bCs/>
          <w:iCs/>
          <w:color w:val="007073"/>
        </w:rPr>
        <w:lastRenderedPageBreak/>
        <w:t>Initial findings</w:t>
      </w:r>
    </w:p>
    <w:p w:rsidR="00A052EA" w:rsidRDefault="006E3148" w:rsidP="003C7B40">
      <w:pPr>
        <w:pStyle w:val="NoSpacing"/>
        <w:spacing w:before="120"/>
        <w:ind w:right="-330"/>
      </w:pPr>
      <w:r w:rsidRPr="00270E03">
        <w:t>I</w:t>
      </w:r>
      <w:r w:rsidR="001A4CFB" w:rsidRPr="00270E03">
        <w:t xml:space="preserve">nitial findings show that </w:t>
      </w:r>
      <w:r w:rsidR="0065367B" w:rsidRPr="00270E03">
        <w:t xml:space="preserve">most </w:t>
      </w:r>
      <w:r w:rsidR="001A4CFB" w:rsidRPr="00270E03">
        <w:t xml:space="preserve">young people </w:t>
      </w:r>
      <w:r w:rsidR="00270E03">
        <w:t xml:space="preserve">in Youth Service </w:t>
      </w:r>
      <w:r w:rsidR="001A4CFB" w:rsidRPr="00270E03">
        <w:t xml:space="preserve">are </w:t>
      </w:r>
      <w:r w:rsidR="0065367B" w:rsidRPr="00270E03">
        <w:t>engaged</w:t>
      </w:r>
      <w:r w:rsidRPr="00270E03">
        <w:t xml:space="preserve"> in education, training and work-based learning activities</w:t>
      </w:r>
      <w:r w:rsidR="00270E03">
        <w:t xml:space="preserve">, </w:t>
      </w:r>
      <w:r w:rsidRPr="00270E03">
        <w:t xml:space="preserve">and are </w:t>
      </w:r>
      <w:r w:rsidR="000A7F2C" w:rsidRPr="00270E03">
        <w:t>beginning to show signs</w:t>
      </w:r>
      <w:r w:rsidR="001A4CFB" w:rsidRPr="00270E03">
        <w:t xml:space="preserve"> of building independence </w:t>
      </w:r>
      <w:r w:rsidR="00270E03">
        <w:t xml:space="preserve">from the benefit system: </w:t>
      </w:r>
    </w:p>
    <w:p w:rsidR="00A052EA" w:rsidRPr="00F61448" w:rsidRDefault="00270E03" w:rsidP="003C7B40">
      <w:pPr>
        <w:pStyle w:val="NoSpacing"/>
        <w:numPr>
          <w:ilvl w:val="0"/>
          <w:numId w:val="20"/>
        </w:numPr>
        <w:spacing w:before="120" w:after="60"/>
        <w:ind w:left="425" w:right="-330" w:hanging="425"/>
      </w:pPr>
      <w:r>
        <w:t>t</w:t>
      </w:r>
      <w:r w:rsidR="00A052EA" w:rsidRPr="00F93ED8">
        <w:t>he</w:t>
      </w:r>
      <w:r w:rsidR="0086219D">
        <w:t xml:space="preserve">re is evidence Youth Service is helping </w:t>
      </w:r>
      <w:r w:rsidR="00E15A1D">
        <w:t xml:space="preserve">young </w:t>
      </w:r>
      <w:r w:rsidR="0086219D">
        <w:t>people</w:t>
      </w:r>
      <w:r w:rsidR="00A052EA" w:rsidRPr="00F93ED8">
        <w:t xml:space="preserve"> to work towards and gain an NCEA Level 2 qualification</w:t>
      </w:r>
    </w:p>
    <w:p w:rsidR="00196294" w:rsidRPr="00294D73" w:rsidRDefault="00270E03" w:rsidP="003C7B40">
      <w:pPr>
        <w:pStyle w:val="NoSpacing"/>
        <w:numPr>
          <w:ilvl w:val="0"/>
          <w:numId w:val="20"/>
        </w:numPr>
        <w:spacing w:before="120" w:after="60"/>
        <w:ind w:left="425" w:right="-330" w:hanging="425"/>
        <w:rPr>
          <w:strike/>
          <w:color w:val="FF0000"/>
        </w:rPr>
      </w:pPr>
      <w:r>
        <w:t>e</w:t>
      </w:r>
      <w:r w:rsidR="00D159B3" w:rsidRPr="00B87EF5">
        <w:t xml:space="preserve">arly evidence suggests that Youth Service is </w:t>
      </w:r>
      <w:r w:rsidR="00D159B3">
        <w:t>helping</w:t>
      </w:r>
      <w:r w:rsidR="00D159B3" w:rsidRPr="00B87EF5">
        <w:t xml:space="preserve"> </w:t>
      </w:r>
      <w:r w:rsidR="00294D73">
        <w:t>YP participants</w:t>
      </w:r>
      <w:r w:rsidR="00D159B3" w:rsidRPr="00B87EF5">
        <w:t xml:space="preserve"> </w:t>
      </w:r>
      <w:r w:rsidR="006420E9" w:rsidRPr="00F61448">
        <w:t xml:space="preserve">spend less time on </w:t>
      </w:r>
      <w:r w:rsidR="009B557F">
        <w:t xml:space="preserve">main </w:t>
      </w:r>
      <w:r w:rsidR="006420E9" w:rsidRPr="00F61448">
        <w:t>benefit over the medium term, and that fewer young people are transiti</w:t>
      </w:r>
      <w:r w:rsidR="003C7B40">
        <w:t>oning to a</w:t>
      </w:r>
      <w:r w:rsidR="009B557F">
        <w:t xml:space="preserve"> main</w:t>
      </w:r>
      <w:r w:rsidR="003C7B40">
        <w:t xml:space="preserve"> working-age benefit.</w:t>
      </w:r>
    </w:p>
    <w:p w:rsidR="00F91CDA" w:rsidRPr="00C628CE" w:rsidRDefault="00C628CE" w:rsidP="003C7B40">
      <w:pPr>
        <w:pStyle w:val="NoSpacing"/>
        <w:numPr>
          <w:ilvl w:val="0"/>
          <w:numId w:val="26"/>
        </w:numPr>
        <w:spacing w:before="240"/>
        <w:ind w:left="357" w:right="-330" w:hanging="357"/>
        <w:rPr>
          <w:b/>
        </w:rPr>
      </w:pPr>
      <w:r>
        <w:rPr>
          <w:b/>
        </w:rPr>
        <w:t>Most</w:t>
      </w:r>
      <w:r w:rsidR="00FA46CC" w:rsidRPr="00C628CE">
        <w:rPr>
          <w:b/>
        </w:rPr>
        <w:t xml:space="preserve"> y</w:t>
      </w:r>
      <w:r w:rsidR="00F91CDA" w:rsidRPr="00C628CE">
        <w:rPr>
          <w:b/>
        </w:rPr>
        <w:t xml:space="preserve">oung people </w:t>
      </w:r>
      <w:r>
        <w:rPr>
          <w:b/>
        </w:rPr>
        <w:t xml:space="preserve">in Youth Service </w:t>
      </w:r>
      <w:r w:rsidR="00F91CDA" w:rsidRPr="00C628CE">
        <w:rPr>
          <w:b/>
        </w:rPr>
        <w:t xml:space="preserve">are engaging in education, training and work-based learning activities </w:t>
      </w:r>
    </w:p>
    <w:p w:rsidR="00C628CE" w:rsidRDefault="00C628CE" w:rsidP="003C7B40">
      <w:pPr>
        <w:pStyle w:val="NoSpacing"/>
        <w:spacing w:before="120"/>
        <w:ind w:right="-330"/>
        <w:rPr>
          <w:rFonts w:eastAsia="Calibri" w:cs="Times New Roman"/>
        </w:rPr>
      </w:pPr>
      <w:r w:rsidRPr="00C628CE">
        <w:rPr>
          <w:rFonts w:eastAsia="Calibri" w:cs="Times New Roman"/>
        </w:rPr>
        <w:t>At the end of March 2014, four out of five young people enrolled in Youth Service were engaged in education, training or work-based learning in either a full-time or part-time capacity</w:t>
      </w:r>
      <w:r w:rsidR="006646D3">
        <w:rPr>
          <w:rFonts w:eastAsia="Calibri" w:cs="Times New Roman"/>
        </w:rPr>
        <w:t xml:space="preserve"> (</w:t>
      </w:r>
      <w:r w:rsidR="006646D3" w:rsidRPr="007619B6">
        <w:rPr>
          <w:rFonts w:eastAsia="Calibri" w:cs="Times New Roman"/>
        </w:rPr>
        <w:t>72 per cent for YP; 79 per cent for YPP; and 64 per cent for NEET</w:t>
      </w:r>
      <w:r w:rsidR="005D69D0">
        <w:rPr>
          <w:rFonts w:eastAsia="Calibri" w:cs="Times New Roman"/>
        </w:rPr>
        <w:t xml:space="preserve">; </w:t>
      </w:r>
      <w:r w:rsidR="001E0017">
        <w:rPr>
          <w:rFonts w:eastAsia="Calibri" w:cs="Times New Roman"/>
        </w:rPr>
        <w:t>Table 1 in Annex</w:t>
      </w:r>
      <w:r w:rsidR="006646D3" w:rsidRPr="007619B6">
        <w:rPr>
          <w:rFonts w:eastAsia="Calibri" w:cs="Times New Roman"/>
        </w:rPr>
        <w:t>)</w:t>
      </w:r>
      <w:r w:rsidRPr="00C628CE">
        <w:rPr>
          <w:rFonts w:eastAsia="Calibri" w:cs="Times New Roman"/>
        </w:rPr>
        <w:t>.</w:t>
      </w:r>
      <w:r w:rsidRPr="00C628CE">
        <w:rPr>
          <w:rFonts w:cs="Times New Roman"/>
        </w:rPr>
        <w:t xml:space="preserve"> </w:t>
      </w:r>
      <w:r w:rsidRPr="00C628CE">
        <w:rPr>
          <w:rFonts w:cs="Times New Roman"/>
          <w:vertAlign w:val="superscript"/>
        </w:rPr>
        <w:footnoteReference w:id="2"/>
      </w:r>
      <w:r w:rsidRPr="00C628CE">
        <w:rPr>
          <w:rFonts w:eastAsia="Calibri" w:cs="Times New Roman"/>
          <w:vertAlign w:val="superscript"/>
        </w:rPr>
        <w:t xml:space="preserve">  </w:t>
      </w:r>
      <w:r w:rsidRPr="00C628CE">
        <w:rPr>
          <w:rFonts w:eastAsia="Calibri" w:cs="Times New Roman"/>
        </w:rPr>
        <w:t>The majority of these young people were engaged in some form of education.</w:t>
      </w:r>
      <w:r w:rsidR="005D69D0">
        <w:rPr>
          <w:rFonts w:eastAsia="Calibri" w:cs="Times New Roman"/>
        </w:rPr>
        <w:t xml:space="preserve"> </w:t>
      </w:r>
      <w:r w:rsidRPr="00C628CE">
        <w:rPr>
          <w:rFonts w:eastAsia="Calibri" w:cs="Times New Roman"/>
        </w:rPr>
        <w:t xml:space="preserve">The small number of participants who were not engaged in an education or training activity </w:t>
      </w:r>
      <w:proofErr w:type="gramStart"/>
      <w:r w:rsidRPr="00C628CE">
        <w:rPr>
          <w:rFonts w:eastAsia="Calibri" w:cs="Times New Roman"/>
        </w:rPr>
        <w:t>are</w:t>
      </w:r>
      <w:proofErr w:type="gramEnd"/>
      <w:r w:rsidRPr="00C628CE">
        <w:rPr>
          <w:rFonts w:eastAsia="Calibri" w:cs="Times New Roman"/>
        </w:rPr>
        <w:t xml:space="preserve"> likely to be new to the Service and not yet had an activity assigned to them.  </w:t>
      </w:r>
    </w:p>
    <w:p w:rsidR="00C628CE" w:rsidRPr="00C628CE" w:rsidRDefault="00C628CE" w:rsidP="003C7B40">
      <w:pPr>
        <w:pStyle w:val="NoSpacing"/>
        <w:spacing w:before="120"/>
        <w:ind w:right="-330"/>
        <w:rPr>
          <w:rFonts w:ascii="Arial" w:eastAsiaTheme="majorEastAsia" w:hAnsi="Arial" w:cs="Arial"/>
          <w:bCs/>
          <w:iCs/>
        </w:rPr>
      </w:pPr>
      <w:r>
        <w:rPr>
          <w:rFonts w:ascii="Arial" w:eastAsiaTheme="majorEastAsia" w:hAnsi="Arial" w:cs="Arial"/>
          <w:bCs/>
          <w:iCs/>
        </w:rPr>
        <w:t>Prior</w:t>
      </w:r>
      <w:r w:rsidRPr="00C628CE">
        <w:rPr>
          <w:rFonts w:ascii="Arial" w:eastAsiaTheme="majorEastAsia" w:hAnsi="Arial" w:cs="Arial"/>
          <w:bCs/>
          <w:iCs/>
        </w:rPr>
        <w:t xml:space="preserve"> to the establishment of Youth</w:t>
      </w:r>
      <w:r>
        <w:rPr>
          <w:rFonts w:ascii="Arial" w:eastAsiaTheme="majorEastAsia" w:hAnsi="Arial" w:cs="Arial"/>
          <w:bCs/>
          <w:iCs/>
        </w:rPr>
        <w:t xml:space="preserve"> Service </w:t>
      </w:r>
      <w:r w:rsidRPr="00C628CE">
        <w:rPr>
          <w:rFonts w:ascii="Arial" w:eastAsiaTheme="majorEastAsia" w:hAnsi="Arial" w:cs="Arial"/>
          <w:bCs/>
          <w:iCs/>
        </w:rPr>
        <w:t>many young people who received Work and Income assistance at age 16 or 17, such as the Independent Youth Benefit (IYB), were incentivised to look for employment as a first choice, accessing training or education only if they were unable to gain a full-time job. As a result, many of these young people gained employment in low-skilled industries that did not equip them with enough skills to prevent them requiring income support in the future, and IYB participants had one of the highest average benefit liabilities</w:t>
      </w:r>
      <w:r w:rsidR="009B557F">
        <w:rPr>
          <w:rFonts w:ascii="Arial" w:eastAsiaTheme="majorEastAsia" w:hAnsi="Arial" w:cs="Arial"/>
          <w:bCs/>
          <w:iCs/>
        </w:rPr>
        <w:t>.</w:t>
      </w:r>
    </w:p>
    <w:p w:rsidR="00C628CE" w:rsidRDefault="00C628CE" w:rsidP="003C7B40">
      <w:pPr>
        <w:pStyle w:val="NoSpacing"/>
        <w:spacing w:before="120" w:after="120"/>
        <w:ind w:right="-330"/>
        <w:rPr>
          <w:rFonts w:ascii="Arial" w:eastAsiaTheme="majorEastAsia" w:hAnsi="Arial" w:cs="Arial"/>
          <w:bCs/>
          <w:iCs/>
        </w:rPr>
      </w:pPr>
      <w:r w:rsidRPr="00C628CE">
        <w:rPr>
          <w:rFonts w:ascii="Arial" w:eastAsiaTheme="majorEastAsia" w:hAnsi="Arial" w:cs="Arial"/>
          <w:bCs/>
          <w:iCs/>
        </w:rPr>
        <w:t xml:space="preserve">Given the opposite focus </w:t>
      </w:r>
      <w:r w:rsidR="009B557F">
        <w:rPr>
          <w:rFonts w:ascii="Arial" w:eastAsiaTheme="majorEastAsia" w:hAnsi="Arial" w:cs="Arial"/>
          <w:bCs/>
          <w:iCs/>
        </w:rPr>
        <w:t>of</w:t>
      </w:r>
      <w:r w:rsidRPr="00C628CE">
        <w:rPr>
          <w:rFonts w:ascii="Arial" w:eastAsiaTheme="majorEastAsia" w:hAnsi="Arial" w:cs="Arial"/>
          <w:bCs/>
          <w:iCs/>
        </w:rPr>
        <w:t xml:space="preserve"> Youth Service, we expect </w:t>
      </w:r>
      <w:r w:rsidR="00294D73">
        <w:rPr>
          <w:rFonts w:ascii="Arial" w:eastAsiaTheme="majorEastAsia" w:hAnsi="Arial" w:cs="Arial"/>
          <w:bCs/>
          <w:iCs/>
        </w:rPr>
        <w:t xml:space="preserve">that </w:t>
      </w:r>
      <w:r w:rsidRPr="00C628CE">
        <w:rPr>
          <w:rFonts w:ascii="Arial" w:eastAsiaTheme="majorEastAsia" w:hAnsi="Arial" w:cs="Arial"/>
          <w:bCs/>
          <w:iCs/>
        </w:rPr>
        <w:t>more young people on benefit are now engaging in education or training instead of moving into employment in the short-term.</w:t>
      </w:r>
      <w:r w:rsidR="00294D73">
        <w:rPr>
          <w:rStyle w:val="FootnoteReference"/>
          <w:rFonts w:eastAsiaTheme="majorEastAsia" w:cs="Arial"/>
          <w:bCs/>
          <w:iCs/>
        </w:rPr>
        <w:footnoteReference w:id="3"/>
      </w:r>
      <w:r w:rsidRPr="00C628CE">
        <w:rPr>
          <w:rFonts w:ascii="Arial" w:eastAsiaTheme="majorEastAsia" w:hAnsi="Arial" w:cs="Arial"/>
          <w:bCs/>
          <w:iCs/>
        </w:rPr>
        <w:t xml:space="preserve"> </w:t>
      </w:r>
    </w:p>
    <w:p w:rsidR="00C628CE" w:rsidRDefault="00C628CE" w:rsidP="003C7B40">
      <w:pPr>
        <w:pStyle w:val="NoSpacing"/>
        <w:numPr>
          <w:ilvl w:val="0"/>
          <w:numId w:val="26"/>
        </w:numPr>
        <w:spacing w:before="240" w:after="120"/>
        <w:ind w:left="357" w:right="-330" w:hanging="357"/>
        <w:rPr>
          <w:b/>
        </w:rPr>
      </w:pPr>
      <w:r>
        <w:rPr>
          <w:b/>
        </w:rPr>
        <w:t>It can take several months to engage a young person in an education or training activity, as many enter Youth Service disengaged from school and can have other complex issues</w:t>
      </w:r>
    </w:p>
    <w:p w:rsidR="00C628CE" w:rsidRDefault="00C628CE" w:rsidP="003C7B40">
      <w:pPr>
        <w:pStyle w:val="NoSpacing"/>
        <w:spacing w:before="120" w:after="120"/>
        <w:ind w:right="-330"/>
        <w:rPr>
          <w:rFonts w:ascii="Arial" w:eastAsiaTheme="majorEastAsia" w:hAnsi="Arial" w:cs="Arial"/>
          <w:bCs/>
          <w:iCs/>
        </w:rPr>
      </w:pPr>
      <w:r w:rsidRPr="00C628CE">
        <w:rPr>
          <w:rFonts w:ascii="Arial" w:eastAsiaTheme="majorEastAsia" w:hAnsi="Arial" w:cs="Arial"/>
          <w:bCs/>
          <w:iCs/>
        </w:rPr>
        <w:t>The longer a young person is enrolled in Youth Service, the more likely they are to be engaged in education, training, or workplace learning</w:t>
      </w:r>
      <w:r w:rsidR="001E0017">
        <w:rPr>
          <w:rFonts w:ascii="Arial" w:eastAsiaTheme="majorEastAsia" w:hAnsi="Arial" w:cs="Arial"/>
          <w:bCs/>
          <w:iCs/>
        </w:rPr>
        <w:t xml:space="preserve"> (Figure 1; Table 2 in Annex)</w:t>
      </w:r>
      <w:r w:rsidRPr="00C628CE">
        <w:rPr>
          <w:rFonts w:ascii="Arial" w:eastAsiaTheme="majorEastAsia" w:hAnsi="Arial" w:cs="Arial"/>
          <w:bCs/>
          <w:iCs/>
        </w:rPr>
        <w:t xml:space="preserve">.  </w:t>
      </w:r>
    </w:p>
    <w:p w:rsidR="002307C4" w:rsidRDefault="00C628CE" w:rsidP="003C7B40">
      <w:pPr>
        <w:pStyle w:val="NoSpacing"/>
        <w:spacing w:before="120" w:after="120"/>
        <w:ind w:right="-330"/>
        <w:rPr>
          <w:rFonts w:ascii="Arial" w:eastAsiaTheme="majorEastAsia" w:hAnsi="Arial" w:cs="Arial"/>
          <w:bCs/>
          <w:iCs/>
        </w:rPr>
      </w:pPr>
      <w:r w:rsidRPr="00C628CE">
        <w:rPr>
          <w:rFonts w:ascii="Arial" w:eastAsiaTheme="majorEastAsia" w:hAnsi="Arial" w:cs="Arial"/>
          <w:bCs/>
          <w:iCs/>
        </w:rPr>
        <w:t>Many young people who enter Youth Service have experienced difficulties with mainstream education, are disengaged from school, and have serious or complex issues that require intensive support. As a result, it can often take several months before some participants are ready to enrol in an</w:t>
      </w:r>
      <w:r>
        <w:rPr>
          <w:rFonts w:ascii="Arial" w:eastAsiaTheme="majorEastAsia" w:hAnsi="Arial" w:cs="Arial"/>
          <w:bCs/>
          <w:iCs/>
        </w:rPr>
        <w:t xml:space="preserve"> education or training activity, </w:t>
      </w:r>
      <w:r>
        <w:t xml:space="preserve">with providers and coaches instead working with the young person </w:t>
      </w:r>
      <w:r w:rsidRPr="007619B6">
        <w:t xml:space="preserve">to stabilise their living situation or other factors in their life </w:t>
      </w:r>
      <w:r>
        <w:t>first. Correspondingly</w:t>
      </w:r>
      <w:r w:rsidRPr="007619B6">
        <w:t xml:space="preserve">, engagement in education, training, or workplace learning increases with the length of time a young person is enrolled in </w:t>
      </w:r>
      <w:r>
        <w:t>Youth Service</w:t>
      </w:r>
      <w:r>
        <w:rPr>
          <w:rFonts w:ascii="Arial" w:eastAsiaTheme="majorEastAsia" w:hAnsi="Arial" w:cs="Arial"/>
          <w:bCs/>
          <w:iCs/>
        </w:rPr>
        <w:t xml:space="preserve">. </w:t>
      </w:r>
    </w:p>
    <w:p w:rsidR="00294D73" w:rsidRPr="00C628CE" w:rsidRDefault="00294D73" w:rsidP="003C7B40">
      <w:pPr>
        <w:pStyle w:val="NoSpacing"/>
        <w:numPr>
          <w:ilvl w:val="0"/>
          <w:numId w:val="26"/>
        </w:numPr>
        <w:spacing w:before="240" w:after="120"/>
        <w:ind w:left="357" w:right="-330" w:hanging="357"/>
        <w:rPr>
          <w:b/>
        </w:rPr>
      </w:pPr>
      <w:r>
        <w:rPr>
          <w:b/>
        </w:rPr>
        <w:t>Under Youth Service, young people are also accessing budgeting and parenting support</w:t>
      </w:r>
    </w:p>
    <w:p w:rsidR="00294D73" w:rsidRPr="00C628CE" w:rsidRDefault="00294D73" w:rsidP="003C7B40">
      <w:pPr>
        <w:pStyle w:val="NoSpacing"/>
        <w:spacing w:before="120" w:after="120"/>
        <w:ind w:right="-330"/>
        <w:rPr>
          <w:rFonts w:ascii="Arial" w:eastAsiaTheme="majorEastAsia" w:hAnsi="Arial" w:cs="Arial"/>
          <w:bCs/>
          <w:iCs/>
        </w:rPr>
      </w:pPr>
      <w:r w:rsidRPr="00C628CE">
        <w:rPr>
          <w:rFonts w:ascii="Arial" w:eastAsiaTheme="majorEastAsia" w:hAnsi="Arial" w:cs="Arial"/>
          <w:bCs/>
          <w:iCs/>
        </w:rPr>
        <w:t>Most young people undertake budgeting activities within their first five months of enrol</w:t>
      </w:r>
      <w:r>
        <w:rPr>
          <w:rFonts w:ascii="Arial" w:eastAsiaTheme="majorEastAsia" w:hAnsi="Arial" w:cs="Arial"/>
          <w:bCs/>
          <w:iCs/>
        </w:rPr>
        <w:t xml:space="preserve">ment. </w:t>
      </w:r>
      <w:r w:rsidRPr="00C628CE">
        <w:rPr>
          <w:rFonts w:ascii="Arial" w:eastAsiaTheme="majorEastAsia" w:hAnsi="Arial" w:cs="Arial"/>
          <w:bCs/>
          <w:iCs/>
        </w:rPr>
        <w:t>Around 55 per cent of YP and YPP participants are engaged in budgeting activities five months</w:t>
      </w:r>
      <w:r w:rsidR="001E0017">
        <w:rPr>
          <w:rFonts w:ascii="Arial" w:eastAsiaTheme="majorEastAsia" w:hAnsi="Arial" w:cs="Arial"/>
          <w:bCs/>
          <w:iCs/>
        </w:rPr>
        <w:t xml:space="preserve"> after starting Youth Service (Figure 5 in Annex). </w:t>
      </w:r>
      <w:r w:rsidRPr="00C628CE">
        <w:rPr>
          <w:rFonts w:ascii="Arial" w:eastAsiaTheme="majorEastAsia" w:hAnsi="Arial" w:cs="Arial"/>
          <w:bCs/>
          <w:iCs/>
        </w:rPr>
        <w:t xml:space="preserve">Enrolment in this activity declines thereafter.  </w:t>
      </w:r>
    </w:p>
    <w:p w:rsidR="00294D73" w:rsidRDefault="00294D73" w:rsidP="003C7B40">
      <w:pPr>
        <w:pStyle w:val="NoSpacing"/>
        <w:spacing w:before="120" w:after="120"/>
        <w:ind w:right="-330"/>
        <w:rPr>
          <w:rFonts w:ascii="Arial" w:eastAsiaTheme="majorEastAsia" w:hAnsi="Arial" w:cs="Arial"/>
          <w:bCs/>
          <w:iCs/>
        </w:rPr>
      </w:pPr>
      <w:r w:rsidRPr="00C628CE">
        <w:rPr>
          <w:rFonts w:ascii="Arial" w:eastAsiaTheme="majorEastAsia" w:hAnsi="Arial" w:cs="Arial"/>
          <w:bCs/>
          <w:iCs/>
        </w:rPr>
        <w:lastRenderedPageBreak/>
        <w:t xml:space="preserve">YPP participation in parenting programmes </w:t>
      </w:r>
      <w:r w:rsidR="009B557F">
        <w:rPr>
          <w:rFonts w:ascii="Arial" w:eastAsiaTheme="majorEastAsia" w:hAnsi="Arial" w:cs="Arial"/>
          <w:bCs/>
          <w:iCs/>
        </w:rPr>
        <w:t xml:space="preserve">increases </w:t>
      </w:r>
      <w:r w:rsidRPr="00C628CE">
        <w:rPr>
          <w:rFonts w:ascii="Arial" w:eastAsiaTheme="majorEastAsia" w:hAnsi="Arial" w:cs="Arial"/>
          <w:bCs/>
          <w:iCs/>
        </w:rPr>
        <w:t xml:space="preserve">with the time a young parent spends in </w:t>
      </w:r>
      <w:r>
        <w:rPr>
          <w:rFonts w:ascii="Arial" w:eastAsiaTheme="majorEastAsia" w:hAnsi="Arial" w:cs="Arial"/>
          <w:bCs/>
          <w:iCs/>
        </w:rPr>
        <w:t>Youth</w:t>
      </w:r>
      <w:r w:rsidRPr="00C628CE">
        <w:rPr>
          <w:rFonts w:ascii="Arial" w:eastAsiaTheme="majorEastAsia" w:hAnsi="Arial" w:cs="Arial"/>
          <w:bCs/>
          <w:iCs/>
        </w:rPr>
        <w:t xml:space="preserve"> Service. After one month’s duration, only nine per cent of YPP participants are enrolled in a parenting activity, compared </w:t>
      </w:r>
      <w:r w:rsidR="001E0017">
        <w:rPr>
          <w:rFonts w:ascii="Arial" w:eastAsiaTheme="majorEastAsia" w:hAnsi="Arial" w:cs="Arial"/>
          <w:bCs/>
          <w:iCs/>
        </w:rPr>
        <w:t>to 50 per cent after 10 months (Figure 6 in Annex).</w:t>
      </w:r>
    </w:p>
    <w:p w:rsidR="00294D73" w:rsidRPr="008C6267" w:rsidRDefault="00294D73" w:rsidP="006B6CDA">
      <w:pPr>
        <w:pStyle w:val="BodyText"/>
        <w:numPr>
          <w:ilvl w:val="0"/>
          <w:numId w:val="12"/>
        </w:numPr>
        <w:spacing w:after="120"/>
        <w:ind w:left="357" w:right="-329" w:hanging="357"/>
        <w:jc w:val="left"/>
        <w:rPr>
          <w:b/>
          <w:color w:val="auto"/>
        </w:rPr>
      </w:pPr>
      <w:r w:rsidRPr="008C6267">
        <w:rPr>
          <w:b/>
          <w:color w:val="auto"/>
        </w:rPr>
        <w:t xml:space="preserve">Early evidence suggests that </w:t>
      </w:r>
      <w:r>
        <w:rPr>
          <w:b/>
          <w:color w:val="auto"/>
        </w:rPr>
        <w:t>Youth Payment participants spend less time on benefit under Youth Service</w:t>
      </w:r>
      <w:r w:rsidRPr="00A41BAB">
        <w:rPr>
          <w:color w:val="auto"/>
        </w:rPr>
        <w:t xml:space="preserve"> </w:t>
      </w:r>
    </w:p>
    <w:p w:rsidR="00294D73" w:rsidRDefault="00294D73" w:rsidP="003C7B40">
      <w:pPr>
        <w:pStyle w:val="NoSpacing"/>
        <w:spacing w:before="120" w:after="120"/>
        <w:ind w:right="-330"/>
        <w:rPr>
          <w:rFonts w:ascii="Arial" w:eastAsiaTheme="majorEastAsia" w:hAnsi="Arial" w:cs="Arial"/>
          <w:bCs/>
          <w:iCs/>
        </w:rPr>
      </w:pPr>
      <w:r w:rsidRPr="00FD5CD6">
        <w:t>In</w:t>
      </w:r>
      <w:r>
        <w:t xml:space="preserve"> </w:t>
      </w:r>
      <w:r w:rsidRPr="00FD5CD6">
        <w:t xml:space="preserve">the first six months after starting </w:t>
      </w:r>
      <w:r w:rsidR="001E0017">
        <w:t xml:space="preserve">Youth </w:t>
      </w:r>
      <w:r w:rsidR="001E0017" w:rsidRPr="00FD5CD6">
        <w:t>Service</w:t>
      </w:r>
      <w:r w:rsidRPr="00FD5CD6">
        <w:t xml:space="preserve">, young people receiving YP initially spend slightly longer on benefit </w:t>
      </w:r>
      <w:r w:rsidR="003261DB" w:rsidRPr="00294D73">
        <w:rPr>
          <w:rFonts w:ascii="Arial" w:eastAsiaTheme="majorEastAsia" w:hAnsi="Arial" w:cs="Arial"/>
          <w:bCs/>
          <w:iCs/>
        </w:rPr>
        <w:t>when compared to previous IYB recipients</w:t>
      </w:r>
      <w:r w:rsidR="001E0017">
        <w:rPr>
          <w:rFonts w:ascii="Arial" w:eastAsiaTheme="majorEastAsia" w:hAnsi="Arial" w:cs="Arial"/>
          <w:bCs/>
          <w:iCs/>
        </w:rPr>
        <w:t xml:space="preserve"> (Figure 7 in Annex)</w:t>
      </w:r>
      <w:r w:rsidR="003261DB" w:rsidRPr="00294D73">
        <w:rPr>
          <w:rFonts w:ascii="Arial" w:eastAsiaTheme="majorEastAsia" w:hAnsi="Arial" w:cs="Arial"/>
          <w:bCs/>
          <w:iCs/>
        </w:rPr>
        <w:t xml:space="preserve">. This effect is due to </w:t>
      </w:r>
      <w:r>
        <w:rPr>
          <w:rFonts w:ascii="Arial" w:eastAsiaTheme="majorEastAsia" w:hAnsi="Arial" w:cs="Arial"/>
          <w:bCs/>
          <w:iCs/>
        </w:rPr>
        <w:t>YP participants</w:t>
      </w:r>
      <w:r w:rsidR="003261DB" w:rsidRPr="00294D73">
        <w:rPr>
          <w:rFonts w:ascii="Arial" w:eastAsiaTheme="majorEastAsia" w:hAnsi="Arial" w:cs="Arial"/>
          <w:bCs/>
          <w:iCs/>
        </w:rPr>
        <w:t xml:space="preserve"> remain</w:t>
      </w:r>
      <w:r>
        <w:rPr>
          <w:rFonts w:ascii="Arial" w:eastAsiaTheme="majorEastAsia" w:hAnsi="Arial" w:cs="Arial"/>
          <w:bCs/>
          <w:iCs/>
        </w:rPr>
        <w:t>ing</w:t>
      </w:r>
      <w:r w:rsidR="003261DB" w:rsidRPr="00294D73">
        <w:rPr>
          <w:rFonts w:ascii="Arial" w:eastAsiaTheme="majorEastAsia" w:hAnsi="Arial" w:cs="Arial"/>
          <w:bCs/>
          <w:iCs/>
        </w:rPr>
        <w:t xml:space="preserve"> on benefit while they complete their education or training</w:t>
      </w:r>
      <w:r>
        <w:rPr>
          <w:rFonts w:ascii="Arial" w:eastAsiaTheme="majorEastAsia" w:hAnsi="Arial" w:cs="Arial"/>
          <w:bCs/>
          <w:iCs/>
        </w:rPr>
        <w:t xml:space="preserve">. </w:t>
      </w:r>
    </w:p>
    <w:p w:rsidR="00294D73" w:rsidRPr="00B87EF5" w:rsidRDefault="00294D73" w:rsidP="003C7B40">
      <w:pPr>
        <w:pStyle w:val="NoSpacing"/>
        <w:spacing w:before="120" w:after="120"/>
        <w:ind w:right="-330"/>
      </w:pPr>
      <w:r>
        <w:rPr>
          <w:rFonts w:ascii="Arial" w:eastAsiaTheme="majorEastAsia" w:hAnsi="Arial" w:cs="Arial"/>
          <w:bCs/>
          <w:iCs/>
        </w:rPr>
        <w:t xml:space="preserve">However, </w:t>
      </w:r>
      <w:r w:rsidRPr="00294D73">
        <w:rPr>
          <w:rFonts w:ascii="Arial" w:eastAsiaTheme="majorEastAsia" w:hAnsi="Arial" w:cs="Arial"/>
          <w:bCs/>
          <w:iCs/>
        </w:rPr>
        <w:t xml:space="preserve">after one year fewer Youth Payment recipients </w:t>
      </w:r>
      <w:r>
        <w:rPr>
          <w:rFonts w:ascii="Arial" w:eastAsiaTheme="majorEastAsia" w:hAnsi="Arial" w:cs="Arial"/>
          <w:bCs/>
          <w:iCs/>
        </w:rPr>
        <w:t xml:space="preserve">are receiving a main benefit </w:t>
      </w:r>
      <w:r w:rsidRPr="00294D73">
        <w:rPr>
          <w:rFonts w:ascii="Arial" w:eastAsiaTheme="majorEastAsia" w:hAnsi="Arial" w:cs="Arial"/>
          <w:bCs/>
          <w:iCs/>
        </w:rPr>
        <w:t>relative to before the Youth Service was</w:t>
      </w:r>
      <w:r>
        <w:t xml:space="preserve"> established</w:t>
      </w:r>
      <w:r w:rsidR="001E0017">
        <w:t xml:space="preserve"> (Figure 7 in Annex)</w:t>
      </w:r>
      <w:r>
        <w:t xml:space="preserve">. </w:t>
      </w:r>
      <w:r w:rsidRPr="00294D73">
        <w:rPr>
          <w:rFonts w:ascii="Arial" w:eastAsiaTheme="majorEastAsia" w:hAnsi="Arial" w:cs="Arial"/>
          <w:bCs/>
          <w:iCs/>
        </w:rPr>
        <w:t>These findings suggest that the Service is improving YP participant’s prospects of moving off benefit. We expect this is due to participants taking up employment or full-time tertiary training.</w:t>
      </w:r>
      <w:r w:rsidRPr="00294D73">
        <w:t xml:space="preserve"> </w:t>
      </w:r>
      <w:r>
        <w:t>Further analysis is required to confirm this</w:t>
      </w:r>
      <w:r w:rsidR="006646D3">
        <w:t>.</w:t>
      </w:r>
      <w:r w:rsidRPr="00294D73">
        <w:rPr>
          <w:rFonts w:eastAsiaTheme="majorEastAsia" w:cs="Arial"/>
          <w:bCs/>
          <w:iCs/>
          <w:vertAlign w:val="superscript"/>
        </w:rPr>
        <w:t xml:space="preserve"> </w:t>
      </w:r>
      <w:r w:rsidRPr="00294D73">
        <w:rPr>
          <w:rFonts w:eastAsiaTheme="majorEastAsia" w:cs="Arial"/>
          <w:bCs/>
          <w:iCs/>
          <w:vertAlign w:val="superscript"/>
        </w:rPr>
        <w:footnoteReference w:id="4"/>
      </w:r>
    </w:p>
    <w:p w:rsidR="00294D73" w:rsidRPr="008C6267" w:rsidRDefault="00294D73" w:rsidP="006B6CDA">
      <w:pPr>
        <w:pStyle w:val="BodyText"/>
        <w:numPr>
          <w:ilvl w:val="0"/>
          <w:numId w:val="12"/>
        </w:numPr>
        <w:spacing w:after="120"/>
        <w:ind w:left="357" w:right="-329" w:hanging="357"/>
        <w:jc w:val="left"/>
        <w:rPr>
          <w:b/>
          <w:color w:val="auto"/>
        </w:rPr>
      </w:pPr>
      <w:r>
        <w:rPr>
          <w:b/>
          <w:color w:val="auto"/>
        </w:rPr>
        <w:t>Fewer</w:t>
      </w:r>
      <w:r w:rsidRPr="008C6267">
        <w:rPr>
          <w:b/>
          <w:color w:val="auto"/>
        </w:rPr>
        <w:t xml:space="preserve"> </w:t>
      </w:r>
      <w:r w:rsidRPr="000856EB">
        <w:rPr>
          <w:b/>
          <w:color w:val="auto"/>
        </w:rPr>
        <w:t xml:space="preserve">Youth Payment </w:t>
      </w:r>
      <w:r w:rsidRPr="000856EB">
        <w:rPr>
          <w:rFonts w:ascii="Arial Mäori" w:eastAsia="Calibri" w:hAnsi="Arial Mäori"/>
          <w:b/>
          <w:color w:val="auto"/>
        </w:rPr>
        <w:t>participants</w:t>
      </w:r>
      <w:r w:rsidRPr="000856EB">
        <w:rPr>
          <w:b/>
          <w:color w:val="auto"/>
        </w:rPr>
        <w:t xml:space="preserve"> are transitioning to a working</w:t>
      </w:r>
      <w:r>
        <w:rPr>
          <w:b/>
          <w:color w:val="auto"/>
        </w:rPr>
        <w:t xml:space="preserve">-age benefit </w:t>
      </w:r>
    </w:p>
    <w:p w:rsidR="00294D73" w:rsidRDefault="00294D73" w:rsidP="003C7B40">
      <w:pPr>
        <w:pStyle w:val="NoSpacing"/>
        <w:spacing w:before="120" w:after="120"/>
        <w:ind w:right="-330"/>
      </w:pPr>
      <w:r>
        <w:t xml:space="preserve">As a consequence of </w:t>
      </w:r>
      <w:r w:rsidR="006646D3">
        <w:t>fewer</w:t>
      </w:r>
      <w:r>
        <w:t xml:space="preserve"> YP participants </w:t>
      </w:r>
      <w:r w:rsidR="006646D3">
        <w:t>receiving</w:t>
      </w:r>
      <w:r>
        <w:t xml:space="preserve"> benefit after one year</w:t>
      </w:r>
      <w:r w:rsidR="006646D3">
        <w:t xml:space="preserve"> in Youth Service</w:t>
      </w:r>
      <w:r>
        <w:t xml:space="preserve">, the </w:t>
      </w:r>
      <w:r w:rsidRPr="000979CC">
        <w:t xml:space="preserve">proportion of young people eligible for </w:t>
      </w:r>
      <w:r>
        <w:t>YP</w:t>
      </w:r>
      <w:r>
        <w:rPr>
          <w:rStyle w:val="FootnoteReference"/>
        </w:rPr>
        <w:footnoteReference w:id="5"/>
      </w:r>
      <w:r>
        <w:t xml:space="preserve"> who transition from a youth benefit onto a working-age main benefit has fallen by eight percentage points since Youth Service was implemented</w:t>
      </w:r>
      <w:r w:rsidR="006646D3">
        <w:t>:</w:t>
      </w:r>
    </w:p>
    <w:p w:rsidR="006646D3" w:rsidRDefault="006646D3" w:rsidP="003C7B40">
      <w:pPr>
        <w:pStyle w:val="NoSpacing"/>
        <w:numPr>
          <w:ilvl w:val="0"/>
          <w:numId w:val="20"/>
        </w:numPr>
        <w:spacing w:before="120" w:after="120"/>
        <w:ind w:left="425" w:right="-330" w:hanging="425"/>
      </w:pPr>
      <w:r>
        <w:t>over the 12 months to March 2014, 30 per cent of YP participants transferred to a main working-age benefit</w:t>
      </w:r>
    </w:p>
    <w:p w:rsidR="006646D3" w:rsidRPr="000979CC" w:rsidRDefault="006646D3" w:rsidP="003C7B40">
      <w:pPr>
        <w:pStyle w:val="NoSpacing"/>
        <w:numPr>
          <w:ilvl w:val="0"/>
          <w:numId w:val="20"/>
        </w:numPr>
        <w:spacing w:before="120" w:after="120"/>
        <w:ind w:left="425" w:right="-330" w:hanging="425"/>
      </w:pPr>
      <w:proofErr w:type="gramStart"/>
      <w:r>
        <w:t>over</w:t>
      </w:r>
      <w:proofErr w:type="gramEnd"/>
      <w:r>
        <w:t xml:space="preserve"> the 12 months to March 2012, 38 per cent of Independent Youth Benefit participants transferred to a main working-age benefit.</w:t>
      </w:r>
    </w:p>
    <w:p w:rsidR="00294D73" w:rsidRPr="006125A6" w:rsidRDefault="00294D73" w:rsidP="006B6CDA">
      <w:pPr>
        <w:pStyle w:val="BodyText"/>
        <w:numPr>
          <w:ilvl w:val="0"/>
          <w:numId w:val="12"/>
        </w:numPr>
        <w:spacing w:after="120"/>
        <w:ind w:left="357" w:right="-329" w:hanging="357"/>
        <w:jc w:val="left"/>
        <w:rPr>
          <w:b/>
          <w:color w:val="auto"/>
        </w:rPr>
      </w:pPr>
      <w:r w:rsidRPr="006125A6">
        <w:rPr>
          <w:b/>
          <w:color w:val="auto"/>
        </w:rPr>
        <w:t xml:space="preserve">It is too early to assess the impact of </w:t>
      </w:r>
      <w:r>
        <w:rPr>
          <w:b/>
          <w:color w:val="auto"/>
        </w:rPr>
        <w:t xml:space="preserve">Youth Service for Young Parent </w:t>
      </w:r>
      <w:r w:rsidRPr="006150B3">
        <w:rPr>
          <w:b/>
          <w:color w:val="auto"/>
        </w:rPr>
        <w:t>Payment</w:t>
      </w:r>
      <w:r w:rsidRPr="006150B3">
        <w:rPr>
          <w:rStyle w:val="FootnoteReference"/>
          <w:b/>
          <w:color w:val="auto"/>
        </w:rPr>
        <w:footnoteReference w:id="6"/>
      </w:r>
      <w:r w:rsidRPr="006125A6">
        <w:rPr>
          <w:b/>
          <w:color w:val="auto"/>
        </w:rPr>
        <w:t xml:space="preserve"> </w:t>
      </w:r>
    </w:p>
    <w:p w:rsidR="00294D73" w:rsidRPr="006646D3" w:rsidRDefault="00294D73" w:rsidP="003C7B40">
      <w:pPr>
        <w:pStyle w:val="NoSpacing"/>
        <w:spacing w:before="120" w:after="120"/>
        <w:ind w:right="-330"/>
      </w:pPr>
      <w:r w:rsidRPr="006646D3">
        <w:t>At present, the number of Young Parent Payment (YPP) participants is too small to observe a meaningful impact on benefit receipt</w:t>
      </w:r>
      <w:r w:rsidR="001E0017">
        <w:t xml:space="preserve"> (Figure 8 in Annex)</w:t>
      </w:r>
      <w:r w:rsidRPr="006646D3">
        <w:t>.</w:t>
      </w:r>
      <w:r w:rsidRPr="002A10B0">
        <w:t xml:space="preserve"> </w:t>
      </w:r>
      <w:r w:rsidRPr="006646D3">
        <w:t>Significant impacts are not anticipated until four to five years after teen parents start Youth Service, based on timeframes observed by the evaluation of the Training Incentive Allowance for sole parents. Because of their childcare responsibilities, we expect it is unlikely that many YPP participants can take full advantage of any gains in qualifications under Youth Service to move into employment until their children reach school age.</w:t>
      </w:r>
    </w:p>
    <w:p w:rsidR="00710027" w:rsidRPr="006646D3" w:rsidRDefault="00710027" w:rsidP="006B6CDA">
      <w:pPr>
        <w:pStyle w:val="BodyText"/>
        <w:numPr>
          <w:ilvl w:val="0"/>
          <w:numId w:val="12"/>
        </w:numPr>
        <w:spacing w:after="120"/>
        <w:ind w:left="357" w:right="-329" w:hanging="357"/>
        <w:jc w:val="left"/>
        <w:rPr>
          <w:b/>
          <w:color w:val="auto"/>
        </w:rPr>
      </w:pPr>
      <w:r w:rsidRPr="006646D3">
        <w:rPr>
          <w:b/>
          <w:color w:val="auto"/>
        </w:rPr>
        <w:t xml:space="preserve">The Youth Service </w:t>
      </w:r>
      <w:r w:rsidR="0086219D" w:rsidRPr="006646D3">
        <w:rPr>
          <w:b/>
          <w:color w:val="auto"/>
        </w:rPr>
        <w:t>appears to be positively influencing y</w:t>
      </w:r>
      <w:r w:rsidRPr="006646D3">
        <w:rPr>
          <w:b/>
          <w:color w:val="auto"/>
        </w:rPr>
        <w:t>oung people’s ability to work towards and gain an NCEA Level 2 qualification</w:t>
      </w:r>
    </w:p>
    <w:p w:rsidR="006646D3" w:rsidRPr="006646D3" w:rsidRDefault="006646D3" w:rsidP="003C7B40">
      <w:pPr>
        <w:pStyle w:val="NoSpacing"/>
        <w:spacing w:before="120" w:after="120"/>
        <w:ind w:right="-330"/>
      </w:pPr>
      <w:r w:rsidRPr="006646D3">
        <w:t xml:space="preserve">In the first 12 months of enrolment in Youth Service, </w:t>
      </w:r>
      <w:r>
        <w:t>YP and YPP</w:t>
      </w:r>
      <w:r w:rsidRPr="006646D3">
        <w:t xml:space="preserve"> participants are more likely to gain NCEA credits </w:t>
      </w:r>
      <w:r>
        <w:rPr>
          <w:rFonts w:eastAsia="Calibri"/>
        </w:rPr>
        <w:t>than</w:t>
      </w:r>
      <w:r w:rsidRPr="00DF27EF">
        <w:rPr>
          <w:rFonts w:eastAsia="Calibri"/>
        </w:rPr>
        <w:t xml:space="preserve"> </w:t>
      </w:r>
      <w:r>
        <w:rPr>
          <w:rFonts w:eastAsia="Calibri"/>
        </w:rPr>
        <w:t xml:space="preserve">similar young beneficiaries </w:t>
      </w:r>
      <w:r w:rsidRPr="00DF27EF">
        <w:rPr>
          <w:rFonts w:eastAsia="Calibri"/>
        </w:rPr>
        <w:t xml:space="preserve">before </w:t>
      </w:r>
      <w:r>
        <w:rPr>
          <w:rFonts w:eastAsia="Calibri"/>
        </w:rPr>
        <w:t xml:space="preserve">Youth Service was </w:t>
      </w:r>
      <w:r w:rsidRPr="008633CA">
        <w:rPr>
          <w:rFonts w:eastAsia="Calibri"/>
        </w:rPr>
        <w:t>established</w:t>
      </w:r>
      <w:r>
        <w:rPr>
          <w:rFonts w:eastAsia="Calibri"/>
        </w:rPr>
        <w:t>:</w:t>
      </w:r>
    </w:p>
    <w:p w:rsidR="00710027" w:rsidRPr="005328F1" w:rsidRDefault="006646D3" w:rsidP="003C7B40">
      <w:pPr>
        <w:pStyle w:val="NoSpacing"/>
        <w:numPr>
          <w:ilvl w:val="0"/>
          <w:numId w:val="20"/>
        </w:numPr>
        <w:spacing w:before="120" w:after="120"/>
        <w:ind w:left="425" w:right="-330" w:hanging="425"/>
      </w:pPr>
      <w:r>
        <w:t>n</w:t>
      </w:r>
      <w:r w:rsidR="00710027" w:rsidRPr="005328F1">
        <w:t>early two-thirds (63 per cent) of YP participants increased the number of credits they held</w:t>
      </w:r>
      <w:r w:rsidR="00710027">
        <w:t xml:space="preserve"> toward</w:t>
      </w:r>
      <w:r w:rsidR="0086219D">
        <w:t>s an</w:t>
      </w:r>
      <w:r w:rsidR="00710027">
        <w:t xml:space="preserve"> NCEA </w:t>
      </w:r>
      <w:r w:rsidR="0086219D">
        <w:t xml:space="preserve">level qualification </w:t>
      </w:r>
      <w:r w:rsidR="00710027" w:rsidRPr="005328F1">
        <w:t>in the</w:t>
      </w:r>
      <w:r w:rsidR="00710027">
        <w:t>ir</w:t>
      </w:r>
      <w:r w:rsidR="00710027" w:rsidRPr="005328F1">
        <w:t xml:space="preserve"> first 12 months of participating </w:t>
      </w:r>
      <w:r w:rsidR="00710027">
        <w:t>in Youth Service,</w:t>
      </w:r>
      <w:r w:rsidR="00710027" w:rsidRPr="005328F1">
        <w:t xml:space="preserve"> compared to one quarter (24 per cent) of </w:t>
      </w:r>
      <w:r w:rsidR="006B6CDA">
        <w:t>their comparison group</w:t>
      </w:r>
      <w:r w:rsidR="001E0017">
        <w:t xml:space="preserve"> (Figure 9 in Annex)</w:t>
      </w:r>
      <w:r w:rsidR="00710027" w:rsidRPr="006646D3">
        <w:t xml:space="preserve"> </w:t>
      </w:r>
    </w:p>
    <w:p w:rsidR="00710027" w:rsidRDefault="00710027" w:rsidP="003C7B40">
      <w:pPr>
        <w:pStyle w:val="NoSpacing"/>
        <w:numPr>
          <w:ilvl w:val="0"/>
          <w:numId w:val="20"/>
        </w:numPr>
        <w:spacing w:before="120" w:after="120"/>
        <w:ind w:left="425" w:right="-330" w:hanging="425"/>
      </w:pPr>
      <w:proofErr w:type="gramStart"/>
      <w:r>
        <w:lastRenderedPageBreak/>
        <w:t>o</w:t>
      </w:r>
      <w:r w:rsidR="006646D3">
        <w:t>ver</w:t>
      </w:r>
      <w:proofErr w:type="gramEnd"/>
      <w:r w:rsidR="006646D3">
        <w:t xml:space="preserve"> two-fifths (43</w:t>
      </w:r>
      <w:r w:rsidRPr="005328F1">
        <w:t xml:space="preserve"> per cent) </w:t>
      </w:r>
      <w:r w:rsidR="006646D3">
        <w:t xml:space="preserve">of YPP participants </w:t>
      </w:r>
      <w:r w:rsidRPr="005328F1">
        <w:t>increased the</w:t>
      </w:r>
      <w:r>
        <w:t>ir</w:t>
      </w:r>
      <w:r w:rsidRPr="005328F1">
        <w:t xml:space="preserve"> number of </w:t>
      </w:r>
      <w:r>
        <w:t xml:space="preserve">NCEA </w:t>
      </w:r>
      <w:r w:rsidRPr="005328F1">
        <w:t>credits in the</w:t>
      </w:r>
      <w:r>
        <w:t xml:space="preserve">ir first 12 months, </w:t>
      </w:r>
      <w:r w:rsidRPr="005328F1">
        <w:t xml:space="preserve">compared to one-fifth </w:t>
      </w:r>
      <w:r w:rsidR="006B6CDA">
        <w:t xml:space="preserve">(20 per cent) </w:t>
      </w:r>
      <w:r w:rsidRPr="005328F1">
        <w:t>of the</w:t>
      </w:r>
      <w:r w:rsidR="006646D3">
        <w:t>ir</w:t>
      </w:r>
      <w:r w:rsidRPr="005328F1">
        <w:t xml:space="preserve"> comparison group</w:t>
      </w:r>
      <w:r w:rsidR="001E0017">
        <w:t xml:space="preserve"> (Figure 9 in Annex)</w:t>
      </w:r>
      <w:r w:rsidRPr="005328F1">
        <w:t>.</w:t>
      </w:r>
    </w:p>
    <w:p w:rsidR="006646D3" w:rsidRPr="00F10B41" w:rsidRDefault="006646D3" w:rsidP="00CD2595">
      <w:pPr>
        <w:pStyle w:val="BodyText"/>
        <w:numPr>
          <w:ilvl w:val="0"/>
          <w:numId w:val="12"/>
        </w:numPr>
        <w:spacing w:before="0" w:after="120"/>
        <w:ind w:left="357" w:right="-329" w:hanging="357"/>
        <w:jc w:val="left"/>
        <w:rPr>
          <w:b/>
          <w:color w:val="auto"/>
        </w:rPr>
      </w:pPr>
      <w:r>
        <w:rPr>
          <w:b/>
          <w:color w:val="auto"/>
        </w:rPr>
        <w:t>YP and YPP p</w:t>
      </w:r>
      <w:r w:rsidRPr="00F10B41">
        <w:rPr>
          <w:b/>
          <w:color w:val="auto"/>
        </w:rPr>
        <w:t xml:space="preserve">articipants are more likely to meet the </w:t>
      </w:r>
      <w:r w:rsidRPr="00FA7C4A">
        <w:rPr>
          <w:b/>
          <w:color w:val="auto"/>
        </w:rPr>
        <w:t>requirements</w:t>
      </w:r>
      <w:r w:rsidRPr="006646D3">
        <w:rPr>
          <w:b/>
          <w:color w:val="auto"/>
          <w:vertAlign w:val="superscript"/>
        </w:rPr>
        <w:footnoteReference w:id="7"/>
      </w:r>
      <w:r w:rsidRPr="006646D3">
        <w:rPr>
          <w:b/>
          <w:color w:val="auto"/>
        </w:rPr>
        <w:t xml:space="preserve"> </w:t>
      </w:r>
      <w:r w:rsidRPr="00FA7C4A">
        <w:rPr>
          <w:b/>
          <w:color w:val="auto"/>
        </w:rPr>
        <w:t>of</w:t>
      </w:r>
      <w:r>
        <w:rPr>
          <w:b/>
          <w:color w:val="auto"/>
        </w:rPr>
        <w:t xml:space="preserve"> NCEA L</w:t>
      </w:r>
      <w:r w:rsidRPr="00F10B41">
        <w:rPr>
          <w:b/>
          <w:color w:val="auto"/>
        </w:rPr>
        <w:t xml:space="preserve">evel 2 </w:t>
      </w:r>
      <w:r>
        <w:rPr>
          <w:b/>
          <w:color w:val="auto"/>
        </w:rPr>
        <w:t xml:space="preserve">within their first 12 months in Youth Service </w:t>
      </w:r>
    </w:p>
    <w:p w:rsidR="00D0249D" w:rsidRDefault="006646D3" w:rsidP="003C7B40">
      <w:pPr>
        <w:spacing w:after="120"/>
        <w:ind w:right="-330"/>
      </w:pPr>
      <w:r>
        <w:t xml:space="preserve">Within their first 12 months in Youth Service, </w:t>
      </w:r>
      <w:r w:rsidRPr="00F10B41">
        <w:t xml:space="preserve">14 per cent of YP participants and 7 per cent of YPP participants </w:t>
      </w:r>
      <w:r>
        <w:t xml:space="preserve">met the requirements of NCEA Level 2. Over this period, both YP and YPP were more likely to meet the requirements for NCEA Level 2 </w:t>
      </w:r>
      <w:r w:rsidRPr="00E87037">
        <w:rPr>
          <w:rFonts w:eastAsia="Calibri"/>
        </w:rPr>
        <w:t xml:space="preserve">relative </w:t>
      </w:r>
      <w:r>
        <w:rPr>
          <w:rFonts w:eastAsia="Calibri"/>
        </w:rPr>
        <w:t>to</w:t>
      </w:r>
      <w:r w:rsidRPr="00DF27EF">
        <w:rPr>
          <w:rFonts w:eastAsia="Calibri"/>
        </w:rPr>
        <w:t xml:space="preserve"> </w:t>
      </w:r>
      <w:r>
        <w:rPr>
          <w:rFonts w:eastAsia="Calibri"/>
        </w:rPr>
        <w:t xml:space="preserve">similar young beneficiaries </w:t>
      </w:r>
      <w:r w:rsidRPr="00DF27EF">
        <w:rPr>
          <w:rFonts w:eastAsia="Calibri"/>
        </w:rPr>
        <w:t xml:space="preserve">before </w:t>
      </w:r>
      <w:r>
        <w:rPr>
          <w:rFonts w:eastAsia="Calibri"/>
        </w:rPr>
        <w:t xml:space="preserve">Youth Service was </w:t>
      </w:r>
      <w:r w:rsidRPr="008633CA">
        <w:rPr>
          <w:rFonts w:eastAsia="Calibri"/>
        </w:rPr>
        <w:t>established (</w:t>
      </w:r>
      <w:r>
        <w:rPr>
          <w:rFonts w:eastAsia="Calibri"/>
        </w:rPr>
        <w:t>a nine</w:t>
      </w:r>
      <w:r w:rsidRPr="008633CA">
        <w:t xml:space="preserve"> percentage point </w:t>
      </w:r>
      <w:r>
        <w:t>gain</w:t>
      </w:r>
      <w:r w:rsidRPr="008633CA">
        <w:t xml:space="preserve"> for YP</w:t>
      </w:r>
      <w:r>
        <w:t>, and a two</w:t>
      </w:r>
      <w:r w:rsidRPr="008633CA">
        <w:t xml:space="preserve"> percentage point gain</w:t>
      </w:r>
      <w:r w:rsidR="00D0249D">
        <w:t xml:space="preserve"> for YPP)</w:t>
      </w:r>
      <w:r w:rsidR="001E0017">
        <w:t xml:space="preserve"> (Figure 10 in Annex)</w:t>
      </w:r>
      <w:r w:rsidR="00D0249D">
        <w:t>.</w:t>
      </w:r>
    </w:p>
    <w:p w:rsidR="00D0249D" w:rsidRPr="00D0249D" w:rsidRDefault="006D4769" w:rsidP="003C7B40">
      <w:pPr>
        <w:spacing w:after="120"/>
        <w:ind w:right="-330"/>
        <w:rPr>
          <w:rFonts w:eastAsia="Calibri"/>
        </w:rPr>
      </w:pPr>
      <w:r w:rsidRPr="00F93ED8">
        <w:t xml:space="preserve">However 12 months </w:t>
      </w:r>
      <w:r w:rsidR="00D0249D" w:rsidRPr="00D0249D">
        <w:rPr>
          <w:rFonts w:eastAsia="Calibri"/>
        </w:rPr>
        <w:t>after enrolment in the Service, YP and YPP participants remained less likely to have met the requirements of NCEA Level 2 than young people in the comparison group</w:t>
      </w:r>
      <w:r w:rsidR="001E0017">
        <w:rPr>
          <w:rFonts w:eastAsia="Calibri"/>
        </w:rPr>
        <w:t xml:space="preserve"> </w:t>
      </w:r>
      <w:r w:rsidR="001E0017">
        <w:t>(Figure 10 in Annex)</w:t>
      </w:r>
      <w:r w:rsidR="00D0249D">
        <w:rPr>
          <w:rFonts w:eastAsia="Calibri"/>
        </w:rPr>
        <w:t>.</w:t>
      </w:r>
      <w:r>
        <w:t xml:space="preserve"> This is because, at the point of entry to </w:t>
      </w:r>
      <w:r w:rsidR="00D0249D">
        <w:t>Youth S</w:t>
      </w:r>
      <w:r>
        <w:t xml:space="preserve">ervice, </w:t>
      </w:r>
      <w:r w:rsidR="00D0249D" w:rsidRPr="00D0249D">
        <w:rPr>
          <w:rFonts w:eastAsia="Calibri"/>
        </w:rPr>
        <w:t>YP and YPP participants were less likely to have met the requirements of an NCEA Level 2 qualificati</w:t>
      </w:r>
      <w:r w:rsidR="00D0249D">
        <w:rPr>
          <w:rFonts w:eastAsia="Calibri"/>
        </w:rPr>
        <w:t xml:space="preserve">on than their comparison group. </w:t>
      </w:r>
      <w:r w:rsidR="00D0249D" w:rsidRPr="00D0249D">
        <w:rPr>
          <w:rFonts w:eastAsia="Calibri"/>
        </w:rPr>
        <w:t>There are two reasons for this:</w:t>
      </w:r>
    </w:p>
    <w:p w:rsidR="00D0249D" w:rsidRPr="00D0249D" w:rsidRDefault="00D0249D" w:rsidP="003C7B40">
      <w:pPr>
        <w:pStyle w:val="NoSpacing"/>
        <w:numPr>
          <w:ilvl w:val="0"/>
          <w:numId w:val="20"/>
        </w:numPr>
        <w:spacing w:before="120" w:after="120"/>
        <w:ind w:left="425" w:right="-330" w:hanging="425"/>
      </w:pPr>
      <w:r w:rsidRPr="00D0249D">
        <w:t>the comparison group was selected without consideration of prior educational achievement, as NZQA qualifications data was not available at t</w:t>
      </w:r>
      <w:r w:rsidR="009B557F">
        <w:t>he time of the matching process</w:t>
      </w:r>
    </w:p>
    <w:p w:rsidR="00D0249D" w:rsidRPr="00D0249D" w:rsidRDefault="00D0249D" w:rsidP="003C7B40">
      <w:pPr>
        <w:pStyle w:val="NoSpacing"/>
        <w:numPr>
          <w:ilvl w:val="0"/>
          <w:numId w:val="20"/>
        </w:numPr>
        <w:spacing w:before="120" w:after="120"/>
        <w:ind w:left="425" w:right="-330" w:hanging="425"/>
      </w:pPr>
      <w:r w:rsidRPr="00D0249D">
        <w:t>Youth Service targets young people who have lower levels of educational achievement</w:t>
      </w:r>
      <w:r w:rsidR="009B557F">
        <w:t>.</w:t>
      </w:r>
      <w:r w:rsidRPr="00D0249D">
        <w:t xml:space="preserve">   </w:t>
      </w:r>
    </w:p>
    <w:p w:rsidR="00D0249D" w:rsidRPr="00D0249D" w:rsidRDefault="00D0249D" w:rsidP="003C7B40">
      <w:pPr>
        <w:pStyle w:val="NoSpacing"/>
        <w:spacing w:before="120" w:after="120"/>
        <w:ind w:right="-330"/>
        <w:rPr>
          <w:rFonts w:eastAsia="Calibri"/>
        </w:rPr>
      </w:pPr>
      <w:r>
        <w:t>As a result, the</w:t>
      </w:r>
      <w:r w:rsidRPr="00D0249D">
        <w:t xml:space="preserve"> gains</w:t>
      </w:r>
      <w:r w:rsidRPr="00D0249D">
        <w:rPr>
          <w:rFonts w:eastAsia="Calibri"/>
        </w:rPr>
        <w:t xml:space="preserve"> made by YP and YPP participants toward NCEA Level 2 </w:t>
      </w:r>
      <w:r>
        <w:rPr>
          <w:rFonts w:eastAsia="Calibri"/>
        </w:rPr>
        <w:t>under</w:t>
      </w:r>
      <w:r w:rsidRPr="00D0249D">
        <w:rPr>
          <w:rFonts w:eastAsia="Calibri"/>
        </w:rPr>
        <w:t xml:space="preserve"> Youth Service have not been large enough to compensa</w:t>
      </w:r>
      <w:r w:rsidR="009B557F">
        <w:rPr>
          <w:rFonts w:eastAsia="Calibri"/>
        </w:rPr>
        <w:t>te for this difference (Figure 10 in Annex</w:t>
      </w:r>
      <w:r w:rsidRPr="00D0249D">
        <w:rPr>
          <w:rFonts w:eastAsia="Calibri"/>
        </w:rPr>
        <w:t xml:space="preserve">). </w:t>
      </w:r>
    </w:p>
    <w:p w:rsidR="00D0249D" w:rsidRDefault="00D0249D" w:rsidP="003C7B40">
      <w:pPr>
        <w:spacing w:after="120"/>
        <w:ind w:right="-330"/>
        <w:rPr>
          <w:rFonts w:eastAsia="Calibri"/>
        </w:rPr>
      </w:pPr>
      <w:r w:rsidRPr="00FC647B">
        <w:rPr>
          <w:rFonts w:eastAsia="Calibri"/>
        </w:rPr>
        <w:t xml:space="preserve">A more robust estimate that controls for differences in </w:t>
      </w:r>
      <w:r>
        <w:rPr>
          <w:rFonts w:eastAsia="Calibri"/>
        </w:rPr>
        <w:t xml:space="preserve">prior educational achievement </w:t>
      </w:r>
      <w:r w:rsidRPr="00FC647B">
        <w:rPr>
          <w:rFonts w:eastAsia="Calibri"/>
        </w:rPr>
        <w:t>will be developed for the 2015 evaluation update.</w:t>
      </w:r>
    </w:p>
    <w:p w:rsidR="00CD2595" w:rsidRPr="00B40A7B" w:rsidRDefault="00CD2595" w:rsidP="00CD2595">
      <w:pPr>
        <w:numPr>
          <w:ilvl w:val="0"/>
          <w:numId w:val="12"/>
        </w:numPr>
        <w:suppressAutoHyphens/>
        <w:autoSpaceDE w:val="0"/>
        <w:autoSpaceDN w:val="0"/>
        <w:adjustRightInd w:val="0"/>
        <w:spacing w:before="240" w:after="120" w:line="280" w:lineRule="atLeast"/>
        <w:ind w:left="357" w:right="-330" w:hanging="357"/>
        <w:textAlignment w:val="center"/>
        <w:rPr>
          <w:b/>
        </w:rPr>
      </w:pPr>
      <w:r>
        <w:rPr>
          <w:b/>
        </w:rPr>
        <w:t>NEET</w:t>
      </w:r>
      <w:r w:rsidR="004F54E9">
        <w:rPr>
          <w:rStyle w:val="FootnoteReference"/>
          <w:b/>
        </w:rPr>
        <w:footnoteReference w:id="8"/>
      </w:r>
      <w:r>
        <w:rPr>
          <w:b/>
        </w:rPr>
        <w:t xml:space="preserve"> young people in Youth Service are achieving NCEA credits and qualifications </w:t>
      </w:r>
    </w:p>
    <w:p w:rsidR="00CD2595" w:rsidRPr="00CD2595" w:rsidRDefault="00CD2595" w:rsidP="00C456F7">
      <w:pPr>
        <w:tabs>
          <w:tab w:val="center" w:pos="4678"/>
        </w:tabs>
        <w:spacing w:after="120"/>
        <w:ind w:right="-330"/>
      </w:pPr>
      <w:r w:rsidRPr="00CD2595">
        <w:t>Of these young people:</w:t>
      </w:r>
      <w:r w:rsidR="00C456F7">
        <w:tab/>
      </w:r>
    </w:p>
    <w:p w:rsidR="00CD2595" w:rsidRDefault="00CD2595" w:rsidP="00CD2595">
      <w:pPr>
        <w:pStyle w:val="NoSpacing"/>
        <w:numPr>
          <w:ilvl w:val="0"/>
          <w:numId w:val="20"/>
        </w:numPr>
        <w:spacing w:before="120" w:after="60"/>
        <w:ind w:left="425" w:hanging="425"/>
      </w:pPr>
      <w:r>
        <w:t>half increased their number of NCEA credits within 12 m</w:t>
      </w:r>
      <w:r w:rsidR="009B557F">
        <w:t>onths of starting Youth Service</w:t>
      </w:r>
    </w:p>
    <w:p w:rsidR="00CD2595" w:rsidRPr="006C43EA" w:rsidRDefault="00CD2595" w:rsidP="00CD2595">
      <w:pPr>
        <w:pStyle w:val="NoSpacing"/>
        <w:numPr>
          <w:ilvl w:val="0"/>
          <w:numId w:val="20"/>
        </w:numPr>
        <w:spacing w:before="120" w:after="60"/>
        <w:ind w:left="425" w:hanging="425"/>
      </w:pPr>
      <w:r>
        <w:t>15 per cent met</w:t>
      </w:r>
      <w:r w:rsidRPr="006C43EA">
        <w:t xml:space="preserve"> the requirements of NCEA Level 2 within their first 12 months in </w:t>
      </w:r>
      <w:r>
        <w:t>the</w:t>
      </w:r>
      <w:r w:rsidRPr="006C43EA">
        <w:t xml:space="preserve"> Service</w:t>
      </w:r>
    </w:p>
    <w:p w:rsidR="00CD2595" w:rsidRDefault="00CD2595" w:rsidP="00CD2595">
      <w:pPr>
        <w:pStyle w:val="NoSpacing"/>
        <w:numPr>
          <w:ilvl w:val="0"/>
          <w:numId w:val="20"/>
        </w:numPr>
        <w:spacing w:before="120"/>
        <w:ind w:left="425" w:hanging="425"/>
      </w:pPr>
      <w:r>
        <w:t xml:space="preserve">17 per cent had already met the requirements </w:t>
      </w:r>
      <w:r w:rsidRPr="006C43EA">
        <w:t xml:space="preserve">of NCEA Level 2 </w:t>
      </w:r>
      <w:r>
        <w:t>prior to starting the Service.</w:t>
      </w:r>
    </w:p>
    <w:p w:rsidR="00FC52E0" w:rsidRDefault="00CD2595" w:rsidP="006B6CDA">
      <w:pPr>
        <w:pStyle w:val="NoSpacing"/>
        <w:spacing w:before="360" w:after="120"/>
        <w:ind w:right="-329"/>
        <w:rPr>
          <w:rFonts w:ascii="Arial" w:eastAsiaTheme="majorEastAsia" w:hAnsi="Arial" w:cs="Arial"/>
          <w:b/>
          <w:color w:val="007073"/>
        </w:rPr>
      </w:pPr>
      <w:r>
        <w:rPr>
          <w:rFonts w:ascii="Arial" w:eastAsiaTheme="majorEastAsia" w:hAnsi="Arial" w:cs="Arial"/>
          <w:b/>
          <w:color w:val="007073"/>
        </w:rPr>
        <w:t xml:space="preserve">Limitations of the evaluation </w:t>
      </w:r>
    </w:p>
    <w:p w:rsidR="00AD544E" w:rsidRPr="00AD544E" w:rsidRDefault="00A721DB" w:rsidP="003C7B40">
      <w:pPr>
        <w:pStyle w:val="NoSpacing"/>
        <w:spacing w:before="120" w:after="120"/>
        <w:ind w:right="-330"/>
        <w:rPr>
          <w:rFonts w:eastAsia="Calibri"/>
        </w:rPr>
      </w:pPr>
      <w:r w:rsidRPr="00AD544E">
        <w:rPr>
          <w:rFonts w:eastAsia="Calibri"/>
        </w:rPr>
        <w:t>There are limitations on this analysis around the comparison group used.</w:t>
      </w:r>
      <w:r w:rsidR="00AD544E" w:rsidRPr="00AD544E">
        <w:rPr>
          <w:rFonts w:eastAsia="Calibri"/>
        </w:rPr>
        <w:t xml:space="preserve"> In particular, the comparison group has been matched on a small number of participant characteristics</w:t>
      </w:r>
      <w:r w:rsidR="00AD544E" w:rsidRPr="006B6CDA">
        <w:rPr>
          <w:rFonts w:eastAsia="Calibri"/>
          <w:vertAlign w:val="superscript"/>
        </w:rPr>
        <w:footnoteReference w:id="9"/>
      </w:r>
      <w:r w:rsidR="00AD544E" w:rsidRPr="006B6CDA">
        <w:rPr>
          <w:rFonts w:eastAsia="Calibri"/>
          <w:vertAlign w:val="superscript"/>
        </w:rPr>
        <w:t xml:space="preserve"> </w:t>
      </w:r>
      <w:r w:rsidR="00AD544E" w:rsidRPr="00AD544E">
        <w:rPr>
          <w:rFonts w:eastAsia="Calibri"/>
        </w:rPr>
        <w:t>and are taken from participants starting youth benefits between 2008 and August 2012. As a result, we cannot rule out the possibility that reported impacts are due to uncontrolled differences in participant profiles (</w:t>
      </w:r>
      <w:proofErr w:type="spellStart"/>
      <w:r w:rsidR="00AD544E" w:rsidRPr="00AD544E">
        <w:rPr>
          <w:rFonts w:eastAsia="Calibri"/>
        </w:rPr>
        <w:t>eg</w:t>
      </w:r>
      <w:proofErr w:type="spellEnd"/>
      <w:r w:rsidR="00AD544E" w:rsidRPr="00AD544E">
        <w:rPr>
          <w:rFonts w:eastAsia="Calibri"/>
        </w:rPr>
        <w:t xml:space="preserve"> school achievement) or because of changing labour market conditions before and after the introduction of Youth Service. To eliminate these alternative explanations will require more rigorous analysis. A more robust estimate that better controls for differences in the participant profiles will be developed for the 2015 evaluation update. </w:t>
      </w:r>
    </w:p>
    <w:p w:rsidR="00AD544E" w:rsidRPr="00AD544E" w:rsidRDefault="00AD544E" w:rsidP="003C7B40">
      <w:pPr>
        <w:pStyle w:val="NoSpacing"/>
        <w:spacing w:before="120" w:after="120"/>
        <w:ind w:right="-330"/>
        <w:rPr>
          <w:rFonts w:eastAsia="Calibri"/>
        </w:rPr>
      </w:pPr>
      <w:r w:rsidRPr="00AD544E">
        <w:rPr>
          <w:rFonts w:eastAsia="Calibri"/>
        </w:rPr>
        <w:lastRenderedPageBreak/>
        <w:t xml:space="preserve">In addition, a further limitation of the comparison group used to assess educational achievement outcomes is that it was selected without consideration of prior educational achievement.  This was because the </w:t>
      </w:r>
      <w:r>
        <w:rPr>
          <w:rFonts w:eastAsia="Calibri"/>
        </w:rPr>
        <w:t xml:space="preserve">required </w:t>
      </w:r>
      <w:r w:rsidRPr="00AD544E">
        <w:rPr>
          <w:rFonts w:eastAsia="Calibri"/>
        </w:rPr>
        <w:t>NZQA qualifications data was not available at the time the matching process was carried out to select the comparison group. As a result, a higher proportion of young people in the comparison group had met the requirements for NCEA Level 2 at the point of entry to benefit than YP and YPP participants.</w:t>
      </w:r>
    </w:p>
    <w:p w:rsidR="00AD544E" w:rsidRDefault="00AD544E" w:rsidP="003C7B40">
      <w:pPr>
        <w:spacing w:after="120"/>
        <w:ind w:right="-330"/>
        <w:rPr>
          <w:rFonts w:eastAsia="Calibri"/>
        </w:rPr>
      </w:pPr>
      <w:r w:rsidRPr="00AD544E">
        <w:rPr>
          <w:rFonts w:eastAsia="Calibri"/>
        </w:rPr>
        <w:t>Historical information on NEET young people who did not receive a benefit from Work and Income is not available for us to construct a comparison group for NEET</w:t>
      </w:r>
      <w:r w:rsidR="006B6CDA">
        <w:rPr>
          <w:rFonts w:eastAsia="Calibri"/>
        </w:rPr>
        <w:t xml:space="preserve"> clients receiving Youth Service</w:t>
      </w:r>
      <w:r w:rsidRPr="00AD544E">
        <w:rPr>
          <w:rFonts w:eastAsia="Calibri"/>
        </w:rPr>
        <w:t xml:space="preserve">. </w:t>
      </w:r>
    </w:p>
    <w:p w:rsidR="00765ACC" w:rsidRPr="00AD544E" w:rsidRDefault="00A721DB" w:rsidP="003C7B40">
      <w:pPr>
        <w:spacing w:after="120"/>
        <w:ind w:right="-330"/>
        <w:rPr>
          <w:rFonts w:eastAsia="Calibri"/>
        </w:rPr>
        <w:sectPr w:rsidR="00765ACC" w:rsidRPr="00AD544E" w:rsidSect="00CD2595">
          <w:footerReference w:type="default" r:id="rId10"/>
          <w:pgSz w:w="11906" w:h="16838"/>
          <w:pgMar w:top="1440" w:right="1440" w:bottom="1440" w:left="1440" w:header="708" w:footer="708" w:gutter="0"/>
          <w:cols w:space="708"/>
          <w:docGrid w:linePitch="360"/>
        </w:sectPr>
      </w:pPr>
      <w:r>
        <w:rPr>
          <w:lang w:eastAsia="en-NZ"/>
        </w:rPr>
        <w:t xml:space="preserve">The total number of participants enrolled in the Youth Service generally declines across the 18-month period. In the case of YP participants, the total number of participants still enrolled in the </w:t>
      </w:r>
      <w:r w:rsidR="00974820">
        <w:rPr>
          <w:lang w:eastAsia="en-NZ"/>
        </w:rPr>
        <w:t xml:space="preserve">Youth </w:t>
      </w:r>
      <w:r>
        <w:rPr>
          <w:lang w:eastAsia="en-NZ"/>
        </w:rPr>
        <w:t>Service at the 18-month mark is approximately 400, compared</w:t>
      </w:r>
      <w:r w:rsidR="006B6CDA">
        <w:rPr>
          <w:lang w:eastAsia="en-NZ"/>
        </w:rPr>
        <w:t xml:space="preserve"> to approximately 6,600 at the one</w:t>
      </w:r>
      <w:r>
        <w:rPr>
          <w:lang w:eastAsia="en-NZ"/>
        </w:rPr>
        <w:t xml:space="preserve">-month mark.  This means that small variations in activity enrolment will have a larger effect on the percentage enrolled at later months, compared to the earlier months.   This effect </w:t>
      </w:r>
      <w:r w:rsidR="00AD544E">
        <w:rPr>
          <w:lang w:eastAsia="en-NZ"/>
        </w:rPr>
        <w:t>is purely statistical in nature.</w:t>
      </w:r>
    </w:p>
    <w:p w:rsidR="00765ACC" w:rsidRDefault="00765ACC" w:rsidP="00B5357A">
      <w:pPr>
        <w:rPr>
          <w:b/>
          <w:color w:val="007073"/>
        </w:rPr>
      </w:pPr>
      <w:r w:rsidRPr="008F79CC">
        <w:rPr>
          <w:b/>
          <w:color w:val="007073"/>
        </w:rPr>
        <w:lastRenderedPageBreak/>
        <w:t>A</w:t>
      </w:r>
      <w:r w:rsidR="008F79CC">
        <w:rPr>
          <w:b/>
          <w:color w:val="007073"/>
        </w:rPr>
        <w:t xml:space="preserve">nnex </w:t>
      </w:r>
    </w:p>
    <w:p w:rsidR="001E0017" w:rsidRDefault="001E0017" w:rsidP="00B5357A">
      <w:pPr>
        <w:rPr>
          <w:b/>
          <w:color w:val="007073"/>
        </w:rPr>
      </w:pPr>
    </w:p>
    <w:p w:rsidR="005D69D0" w:rsidRPr="005D69D0" w:rsidRDefault="005D69D0" w:rsidP="005D69D0">
      <w:pPr>
        <w:pStyle w:val="Caption"/>
        <w:shd w:val="clear" w:color="auto" w:fill="73B5C7"/>
        <w:spacing w:before="0"/>
        <w:ind w:left="851" w:right="57" w:hanging="851"/>
        <w:rPr>
          <w:b/>
          <w:color w:val="FFFFFF" w:themeColor="background1"/>
          <w:sz w:val="2"/>
          <w:szCs w:val="2"/>
        </w:rPr>
      </w:pPr>
      <w:r w:rsidRPr="005D69D0">
        <w:rPr>
          <w:b/>
          <w:color w:val="FFFFFF" w:themeColor="background1"/>
        </w:rPr>
        <w:t>Table 1:  Engagement in education, training and work-based learning activities (either full-time or part-time); current Youth Service participants at 31 March 2014</w:t>
      </w:r>
    </w:p>
    <w:tbl>
      <w:tblPr>
        <w:tblW w:w="8931" w:type="dxa"/>
        <w:tblInd w:w="115" w:type="dxa"/>
        <w:tblBorders>
          <w:top w:val="single" w:sz="4" w:space="0" w:color="215868"/>
          <w:left w:val="single" w:sz="4" w:space="0" w:color="215868"/>
          <w:bottom w:val="single" w:sz="4" w:space="0" w:color="215868"/>
          <w:right w:val="single" w:sz="4" w:space="0" w:color="215868"/>
          <w:insideH w:val="single" w:sz="2" w:space="0" w:color="007073"/>
          <w:insideV w:val="single" w:sz="2" w:space="0" w:color="F6F6F6"/>
        </w:tblBorders>
        <w:tblLayout w:type="fixed"/>
        <w:tblCellMar>
          <w:left w:w="115" w:type="dxa"/>
          <w:right w:w="115" w:type="dxa"/>
        </w:tblCellMar>
        <w:tblLook w:val="04A0" w:firstRow="1" w:lastRow="0" w:firstColumn="1" w:lastColumn="0" w:noHBand="0" w:noVBand="1"/>
      </w:tblPr>
      <w:tblGrid>
        <w:gridCol w:w="5387"/>
        <w:gridCol w:w="1134"/>
        <w:gridCol w:w="1134"/>
        <w:gridCol w:w="1276"/>
      </w:tblGrid>
      <w:tr w:rsidR="005D69D0" w:rsidRPr="00FA6E51" w:rsidTr="005D69D0">
        <w:trPr>
          <w:trHeight w:val="313"/>
        </w:trPr>
        <w:tc>
          <w:tcPr>
            <w:tcW w:w="5387" w:type="dxa"/>
            <w:tcBorders>
              <w:top w:val="nil"/>
              <w:left w:val="nil"/>
              <w:bottom w:val="dotted" w:sz="4" w:space="0" w:color="auto"/>
              <w:right w:val="nil"/>
            </w:tcBorders>
            <w:shd w:val="clear" w:color="auto" w:fill="auto"/>
            <w:vAlign w:val="center"/>
          </w:tcPr>
          <w:p w:rsidR="005D69D0" w:rsidRPr="00C667B7" w:rsidRDefault="005D69D0" w:rsidP="00067F4A">
            <w:pPr>
              <w:pStyle w:val="TableSubHeading"/>
              <w:spacing w:before="60" w:after="60"/>
              <w:rPr>
                <w:color w:val="31849B"/>
                <w:sz w:val="20"/>
                <w:szCs w:val="20"/>
              </w:rPr>
            </w:pPr>
          </w:p>
        </w:tc>
        <w:tc>
          <w:tcPr>
            <w:tcW w:w="1134" w:type="dxa"/>
            <w:tcBorders>
              <w:top w:val="nil"/>
              <w:left w:val="nil"/>
              <w:bottom w:val="dotted" w:sz="4" w:space="0" w:color="auto"/>
              <w:right w:val="nil"/>
            </w:tcBorders>
            <w:shd w:val="clear" w:color="auto" w:fill="auto"/>
            <w:vAlign w:val="center"/>
          </w:tcPr>
          <w:p w:rsidR="005D69D0" w:rsidRPr="00C667B7" w:rsidRDefault="005D69D0" w:rsidP="00067F4A">
            <w:pPr>
              <w:pStyle w:val="TableSubHeading"/>
              <w:tabs>
                <w:tab w:val="left" w:pos="1329"/>
              </w:tabs>
              <w:spacing w:before="60" w:after="60"/>
              <w:rPr>
                <w:color w:val="31849B"/>
                <w:sz w:val="20"/>
                <w:szCs w:val="20"/>
              </w:rPr>
            </w:pPr>
          </w:p>
        </w:tc>
        <w:tc>
          <w:tcPr>
            <w:tcW w:w="1134" w:type="dxa"/>
            <w:tcBorders>
              <w:top w:val="nil"/>
              <w:left w:val="nil"/>
              <w:bottom w:val="dotted" w:sz="4" w:space="0" w:color="auto"/>
              <w:right w:val="nil"/>
            </w:tcBorders>
            <w:shd w:val="clear" w:color="auto" w:fill="auto"/>
            <w:vAlign w:val="center"/>
          </w:tcPr>
          <w:p w:rsidR="005D69D0" w:rsidRPr="00C667B7" w:rsidRDefault="005D69D0" w:rsidP="00067F4A">
            <w:pPr>
              <w:pStyle w:val="TableSubHeading"/>
              <w:spacing w:before="60" w:after="60"/>
              <w:ind w:left="-115" w:right="-75"/>
              <w:rPr>
                <w:color w:val="31849B"/>
                <w:sz w:val="20"/>
                <w:szCs w:val="20"/>
              </w:rPr>
            </w:pPr>
          </w:p>
        </w:tc>
        <w:tc>
          <w:tcPr>
            <w:tcW w:w="1276" w:type="dxa"/>
            <w:tcBorders>
              <w:top w:val="nil"/>
              <w:left w:val="nil"/>
              <w:bottom w:val="dotted" w:sz="4" w:space="0" w:color="auto"/>
              <w:right w:val="nil"/>
            </w:tcBorders>
            <w:shd w:val="clear" w:color="auto" w:fill="auto"/>
          </w:tcPr>
          <w:p w:rsidR="005D69D0" w:rsidRPr="00C667B7" w:rsidRDefault="005D69D0" w:rsidP="00067F4A">
            <w:pPr>
              <w:pStyle w:val="TableSubHeading"/>
              <w:spacing w:before="60" w:after="60"/>
              <w:ind w:left="-115" w:right="-75"/>
              <w:rPr>
                <w:color w:val="31849B"/>
                <w:sz w:val="20"/>
                <w:szCs w:val="20"/>
              </w:rPr>
            </w:pPr>
          </w:p>
        </w:tc>
      </w:tr>
      <w:tr w:rsidR="005D69D0" w:rsidRPr="00FA6E51" w:rsidTr="005D69D0">
        <w:trPr>
          <w:trHeight w:val="313"/>
        </w:trPr>
        <w:tc>
          <w:tcPr>
            <w:tcW w:w="5387" w:type="dxa"/>
            <w:tcBorders>
              <w:top w:val="dotted" w:sz="4" w:space="0" w:color="auto"/>
              <w:bottom w:val="single" w:sz="2" w:space="0" w:color="007073"/>
            </w:tcBorders>
            <w:shd w:val="clear" w:color="auto" w:fill="EEEEED"/>
            <w:vAlign w:val="center"/>
          </w:tcPr>
          <w:p w:rsidR="005D69D0" w:rsidRPr="00C667B7" w:rsidRDefault="005D69D0" w:rsidP="00067F4A">
            <w:pPr>
              <w:pStyle w:val="TableSubHeading"/>
              <w:spacing w:before="60" w:after="60"/>
              <w:rPr>
                <w:color w:val="31849B"/>
                <w:sz w:val="20"/>
                <w:szCs w:val="20"/>
              </w:rPr>
            </w:pPr>
            <w:r w:rsidRPr="00C667B7">
              <w:rPr>
                <w:color w:val="31849B"/>
                <w:sz w:val="20"/>
                <w:szCs w:val="20"/>
              </w:rPr>
              <w:t xml:space="preserve">Activity </w:t>
            </w:r>
            <w:r>
              <w:rPr>
                <w:color w:val="31849B"/>
                <w:sz w:val="20"/>
                <w:szCs w:val="20"/>
              </w:rPr>
              <w:t xml:space="preserve"> </w:t>
            </w:r>
          </w:p>
        </w:tc>
        <w:tc>
          <w:tcPr>
            <w:tcW w:w="1134" w:type="dxa"/>
            <w:tcBorders>
              <w:top w:val="dotted" w:sz="4" w:space="0" w:color="auto"/>
              <w:bottom w:val="single" w:sz="2" w:space="0" w:color="007073"/>
            </w:tcBorders>
            <w:shd w:val="clear" w:color="auto" w:fill="EEEEED"/>
            <w:vAlign w:val="center"/>
          </w:tcPr>
          <w:p w:rsidR="005D69D0" w:rsidRPr="00C667B7" w:rsidRDefault="005D69D0" w:rsidP="00067F4A">
            <w:pPr>
              <w:pStyle w:val="TableSubHeading"/>
              <w:tabs>
                <w:tab w:val="left" w:pos="1329"/>
              </w:tabs>
              <w:spacing w:before="60" w:after="60"/>
              <w:rPr>
                <w:color w:val="31849B"/>
                <w:sz w:val="20"/>
                <w:szCs w:val="20"/>
              </w:rPr>
            </w:pPr>
            <w:r w:rsidRPr="00C667B7">
              <w:rPr>
                <w:color w:val="31849B"/>
                <w:sz w:val="20"/>
                <w:szCs w:val="20"/>
              </w:rPr>
              <w:t>YP</w:t>
            </w:r>
          </w:p>
        </w:tc>
        <w:tc>
          <w:tcPr>
            <w:tcW w:w="1134" w:type="dxa"/>
            <w:tcBorders>
              <w:top w:val="dotted" w:sz="4" w:space="0" w:color="auto"/>
              <w:bottom w:val="single" w:sz="2" w:space="0" w:color="007073"/>
            </w:tcBorders>
            <w:shd w:val="clear" w:color="auto" w:fill="EEEEED"/>
            <w:vAlign w:val="center"/>
          </w:tcPr>
          <w:p w:rsidR="005D69D0" w:rsidRPr="00C667B7" w:rsidRDefault="005D69D0" w:rsidP="00067F4A">
            <w:pPr>
              <w:pStyle w:val="TableSubHeading"/>
              <w:spacing w:before="60" w:after="60"/>
              <w:ind w:left="-115" w:right="-75"/>
              <w:rPr>
                <w:color w:val="31849B"/>
                <w:sz w:val="20"/>
                <w:szCs w:val="20"/>
              </w:rPr>
            </w:pPr>
            <w:r w:rsidRPr="00C667B7">
              <w:rPr>
                <w:color w:val="31849B"/>
                <w:sz w:val="20"/>
                <w:szCs w:val="20"/>
              </w:rPr>
              <w:t xml:space="preserve">YPP  </w:t>
            </w:r>
          </w:p>
        </w:tc>
        <w:tc>
          <w:tcPr>
            <w:tcW w:w="1276" w:type="dxa"/>
            <w:tcBorders>
              <w:top w:val="dotted" w:sz="4" w:space="0" w:color="auto"/>
              <w:bottom w:val="single" w:sz="2" w:space="0" w:color="007073"/>
            </w:tcBorders>
            <w:shd w:val="clear" w:color="auto" w:fill="EEEEED"/>
          </w:tcPr>
          <w:p w:rsidR="005D69D0" w:rsidRPr="00C667B7" w:rsidRDefault="005D69D0" w:rsidP="00067F4A">
            <w:pPr>
              <w:pStyle w:val="TableSubHeading"/>
              <w:spacing w:before="60" w:after="60"/>
              <w:ind w:left="-115" w:right="-75"/>
              <w:rPr>
                <w:color w:val="31849B"/>
                <w:sz w:val="20"/>
                <w:szCs w:val="20"/>
              </w:rPr>
            </w:pPr>
            <w:r w:rsidRPr="00C667B7">
              <w:rPr>
                <w:color w:val="31849B"/>
                <w:sz w:val="20"/>
                <w:szCs w:val="20"/>
              </w:rPr>
              <w:t>NEET</w:t>
            </w:r>
          </w:p>
        </w:tc>
      </w:tr>
      <w:tr w:rsidR="005D69D0" w:rsidRPr="00FA6E51" w:rsidTr="005D69D0">
        <w:trPr>
          <w:trHeight w:val="350"/>
        </w:trPr>
        <w:tc>
          <w:tcPr>
            <w:tcW w:w="5387" w:type="dxa"/>
            <w:tcBorders>
              <w:top w:val="single" w:sz="2" w:space="0" w:color="007073"/>
            </w:tcBorders>
            <w:vAlign w:val="center"/>
          </w:tcPr>
          <w:p w:rsidR="005D69D0" w:rsidRPr="00C667B7" w:rsidRDefault="005D69D0" w:rsidP="00067F4A">
            <w:pPr>
              <w:pStyle w:val="BodyText"/>
              <w:spacing w:before="60" w:after="60" w:line="240" w:lineRule="auto"/>
              <w:rPr>
                <w:color w:val="auto"/>
                <w:sz w:val="20"/>
                <w:szCs w:val="20"/>
              </w:rPr>
            </w:pPr>
            <w:r w:rsidRPr="00C667B7">
              <w:rPr>
                <w:color w:val="auto"/>
                <w:sz w:val="20"/>
                <w:szCs w:val="20"/>
              </w:rPr>
              <w:t xml:space="preserve">Education </w:t>
            </w:r>
          </w:p>
        </w:tc>
        <w:tc>
          <w:tcPr>
            <w:tcW w:w="1134" w:type="dxa"/>
            <w:tcBorders>
              <w:top w:val="single" w:sz="2" w:space="0" w:color="007073"/>
            </w:tcBorders>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 xml:space="preserve">72% </w:t>
            </w:r>
          </w:p>
        </w:tc>
        <w:tc>
          <w:tcPr>
            <w:tcW w:w="1134" w:type="dxa"/>
            <w:tcBorders>
              <w:top w:val="single" w:sz="2" w:space="0" w:color="007073"/>
            </w:tcBorders>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 xml:space="preserve">79% </w:t>
            </w:r>
          </w:p>
        </w:tc>
        <w:tc>
          <w:tcPr>
            <w:tcW w:w="1276" w:type="dxa"/>
            <w:tcBorders>
              <w:top w:val="single" w:sz="2" w:space="0" w:color="007073"/>
            </w:tcBorders>
          </w:tcPr>
          <w:p w:rsidR="005D69D0" w:rsidRPr="00C667B7" w:rsidRDefault="005D69D0" w:rsidP="00067F4A">
            <w:pPr>
              <w:pStyle w:val="TableText"/>
              <w:spacing w:before="60" w:after="60"/>
              <w:rPr>
                <w:color w:val="auto"/>
                <w:sz w:val="20"/>
                <w:szCs w:val="20"/>
              </w:rPr>
            </w:pPr>
            <w:r>
              <w:rPr>
                <w:color w:val="auto"/>
                <w:sz w:val="20"/>
                <w:szCs w:val="20"/>
              </w:rPr>
              <w:t xml:space="preserve">64% </w:t>
            </w:r>
          </w:p>
        </w:tc>
      </w:tr>
      <w:tr w:rsidR="005D69D0" w:rsidRPr="00FA6E51" w:rsidTr="005D69D0">
        <w:trPr>
          <w:trHeight w:val="350"/>
        </w:trPr>
        <w:tc>
          <w:tcPr>
            <w:tcW w:w="5387" w:type="dxa"/>
            <w:vAlign w:val="center"/>
          </w:tcPr>
          <w:p w:rsidR="005D69D0" w:rsidRPr="00C667B7" w:rsidRDefault="005D69D0" w:rsidP="00067F4A">
            <w:pPr>
              <w:pStyle w:val="BodyText"/>
              <w:spacing w:before="60" w:after="60" w:line="240" w:lineRule="auto"/>
              <w:rPr>
                <w:color w:val="auto"/>
                <w:sz w:val="20"/>
                <w:szCs w:val="20"/>
              </w:rPr>
            </w:pPr>
            <w:r>
              <w:rPr>
                <w:color w:val="auto"/>
                <w:sz w:val="20"/>
                <w:szCs w:val="20"/>
              </w:rPr>
              <w:t>Training</w:t>
            </w:r>
            <w:r w:rsidRPr="00C667B7">
              <w:rPr>
                <w:color w:val="auto"/>
                <w:sz w:val="20"/>
                <w:szCs w:val="20"/>
              </w:rPr>
              <w:t xml:space="preserve"> </w:t>
            </w:r>
          </w:p>
        </w:tc>
        <w:tc>
          <w:tcPr>
            <w:tcW w:w="1134" w:type="dxa"/>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25%</w:t>
            </w:r>
          </w:p>
        </w:tc>
        <w:tc>
          <w:tcPr>
            <w:tcW w:w="1134" w:type="dxa"/>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17%</w:t>
            </w:r>
          </w:p>
        </w:tc>
        <w:tc>
          <w:tcPr>
            <w:tcW w:w="1276" w:type="dxa"/>
          </w:tcPr>
          <w:p w:rsidR="005D69D0" w:rsidRPr="00C667B7" w:rsidRDefault="005D69D0" w:rsidP="00067F4A">
            <w:pPr>
              <w:pStyle w:val="TableText"/>
              <w:spacing w:before="60" w:after="60"/>
              <w:rPr>
                <w:color w:val="auto"/>
                <w:sz w:val="20"/>
                <w:szCs w:val="20"/>
              </w:rPr>
            </w:pPr>
            <w:r>
              <w:rPr>
                <w:color w:val="auto"/>
                <w:sz w:val="20"/>
                <w:szCs w:val="20"/>
              </w:rPr>
              <w:t>18%</w:t>
            </w:r>
          </w:p>
        </w:tc>
      </w:tr>
      <w:tr w:rsidR="005D69D0" w:rsidRPr="00FA6E51" w:rsidTr="005D69D0">
        <w:trPr>
          <w:trHeight w:val="350"/>
        </w:trPr>
        <w:tc>
          <w:tcPr>
            <w:tcW w:w="5387" w:type="dxa"/>
            <w:vAlign w:val="center"/>
          </w:tcPr>
          <w:p w:rsidR="005D69D0" w:rsidRPr="00C667B7" w:rsidRDefault="005D69D0" w:rsidP="00067F4A">
            <w:pPr>
              <w:pStyle w:val="BodyText"/>
              <w:spacing w:before="60" w:after="60" w:line="240" w:lineRule="auto"/>
              <w:rPr>
                <w:color w:val="auto"/>
                <w:sz w:val="20"/>
                <w:szCs w:val="20"/>
              </w:rPr>
            </w:pPr>
            <w:r w:rsidRPr="00C667B7">
              <w:rPr>
                <w:color w:val="auto"/>
                <w:sz w:val="20"/>
                <w:szCs w:val="20"/>
              </w:rPr>
              <w:t xml:space="preserve">Work-based learning </w:t>
            </w:r>
          </w:p>
        </w:tc>
        <w:tc>
          <w:tcPr>
            <w:tcW w:w="1134" w:type="dxa"/>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2%</w:t>
            </w:r>
          </w:p>
        </w:tc>
        <w:tc>
          <w:tcPr>
            <w:tcW w:w="1134" w:type="dxa"/>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1%</w:t>
            </w:r>
          </w:p>
        </w:tc>
        <w:tc>
          <w:tcPr>
            <w:tcW w:w="1276" w:type="dxa"/>
          </w:tcPr>
          <w:p w:rsidR="005D69D0" w:rsidRPr="00C667B7" w:rsidRDefault="005D69D0" w:rsidP="00067F4A">
            <w:pPr>
              <w:pStyle w:val="TableText"/>
              <w:spacing w:before="60" w:after="60"/>
              <w:rPr>
                <w:color w:val="auto"/>
                <w:sz w:val="20"/>
                <w:szCs w:val="20"/>
              </w:rPr>
            </w:pPr>
            <w:r>
              <w:rPr>
                <w:color w:val="auto"/>
                <w:sz w:val="20"/>
                <w:szCs w:val="20"/>
              </w:rPr>
              <w:t>4%</w:t>
            </w:r>
          </w:p>
        </w:tc>
      </w:tr>
      <w:tr w:rsidR="005D69D0" w:rsidRPr="00FA6E51" w:rsidTr="005D69D0">
        <w:trPr>
          <w:trHeight w:val="371"/>
        </w:trPr>
        <w:tc>
          <w:tcPr>
            <w:tcW w:w="5387" w:type="dxa"/>
            <w:vAlign w:val="center"/>
          </w:tcPr>
          <w:p w:rsidR="005D69D0" w:rsidRPr="004C7A80" w:rsidRDefault="005D69D0" w:rsidP="00067F4A">
            <w:pPr>
              <w:pStyle w:val="BodyText"/>
              <w:spacing w:before="60" w:after="60" w:line="240" w:lineRule="auto"/>
              <w:rPr>
                <w:b/>
                <w:color w:val="auto"/>
                <w:sz w:val="20"/>
                <w:szCs w:val="20"/>
              </w:rPr>
            </w:pPr>
            <w:r w:rsidRPr="004C7A80">
              <w:rPr>
                <w:b/>
                <w:color w:val="auto"/>
                <w:sz w:val="20"/>
                <w:szCs w:val="20"/>
              </w:rPr>
              <w:t xml:space="preserve">Any education, training or work-based learning </w:t>
            </w:r>
          </w:p>
        </w:tc>
        <w:tc>
          <w:tcPr>
            <w:tcW w:w="1134" w:type="dxa"/>
            <w:shd w:val="clear" w:color="auto" w:fill="auto"/>
            <w:vAlign w:val="center"/>
          </w:tcPr>
          <w:p w:rsidR="005D69D0" w:rsidRPr="004C7A80" w:rsidRDefault="005D69D0" w:rsidP="00067F4A">
            <w:pPr>
              <w:pStyle w:val="TableText"/>
              <w:spacing w:before="60" w:after="60"/>
              <w:rPr>
                <w:b/>
                <w:color w:val="auto"/>
                <w:sz w:val="20"/>
                <w:szCs w:val="20"/>
              </w:rPr>
            </w:pPr>
            <w:r w:rsidRPr="004C7A80">
              <w:rPr>
                <w:b/>
                <w:color w:val="auto"/>
                <w:sz w:val="20"/>
                <w:szCs w:val="20"/>
              </w:rPr>
              <w:t>88%</w:t>
            </w:r>
          </w:p>
        </w:tc>
        <w:tc>
          <w:tcPr>
            <w:tcW w:w="1134" w:type="dxa"/>
            <w:shd w:val="clear" w:color="auto" w:fill="auto"/>
            <w:vAlign w:val="center"/>
          </w:tcPr>
          <w:p w:rsidR="005D69D0" w:rsidRPr="004C7A80" w:rsidRDefault="005D69D0" w:rsidP="00067F4A">
            <w:pPr>
              <w:pStyle w:val="TableText"/>
              <w:spacing w:before="60" w:after="60"/>
              <w:rPr>
                <w:b/>
                <w:color w:val="auto"/>
                <w:sz w:val="20"/>
                <w:szCs w:val="20"/>
              </w:rPr>
            </w:pPr>
            <w:r w:rsidRPr="004C7A80">
              <w:rPr>
                <w:b/>
                <w:color w:val="auto"/>
                <w:sz w:val="20"/>
                <w:szCs w:val="20"/>
              </w:rPr>
              <w:t xml:space="preserve">87% </w:t>
            </w:r>
          </w:p>
        </w:tc>
        <w:tc>
          <w:tcPr>
            <w:tcW w:w="1276" w:type="dxa"/>
          </w:tcPr>
          <w:p w:rsidR="005D69D0" w:rsidRPr="004C7A80" w:rsidRDefault="005D69D0" w:rsidP="00067F4A">
            <w:pPr>
              <w:pStyle w:val="TableText"/>
              <w:spacing w:before="60" w:after="60"/>
              <w:rPr>
                <w:b/>
                <w:color w:val="auto"/>
                <w:sz w:val="20"/>
                <w:szCs w:val="20"/>
              </w:rPr>
            </w:pPr>
            <w:r w:rsidRPr="004C7A80">
              <w:rPr>
                <w:b/>
                <w:color w:val="auto"/>
                <w:sz w:val="20"/>
                <w:szCs w:val="20"/>
              </w:rPr>
              <w:t xml:space="preserve">77% </w:t>
            </w:r>
          </w:p>
        </w:tc>
      </w:tr>
      <w:tr w:rsidR="005D69D0" w:rsidRPr="00FA6E51" w:rsidTr="005D69D0">
        <w:trPr>
          <w:trHeight w:val="350"/>
        </w:trPr>
        <w:tc>
          <w:tcPr>
            <w:tcW w:w="5387" w:type="dxa"/>
            <w:vAlign w:val="center"/>
          </w:tcPr>
          <w:p w:rsidR="005D69D0" w:rsidRPr="00C667B7" w:rsidRDefault="005D69D0" w:rsidP="00067F4A">
            <w:pPr>
              <w:pStyle w:val="BodyText"/>
              <w:spacing w:before="60" w:after="60" w:line="240" w:lineRule="auto"/>
              <w:ind w:right="-113"/>
              <w:rPr>
                <w:color w:val="auto"/>
                <w:sz w:val="20"/>
                <w:szCs w:val="20"/>
              </w:rPr>
            </w:pPr>
            <w:r>
              <w:rPr>
                <w:noProof/>
              </w:rPr>
              <mc:AlternateContent>
                <mc:Choice Requires="wps">
                  <w:drawing>
                    <wp:anchor distT="0" distB="0" distL="114300" distR="114300" simplePos="0" relativeHeight="251688960" behindDoc="0" locked="0" layoutInCell="1" allowOverlap="1" wp14:anchorId="61E63693" wp14:editId="57C890A0">
                      <wp:simplePos x="0" y="0"/>
                      <wp:positionH relativeFrom="column">
                        <wp:posOffset>-141605</wp:posOffset>
                      </wp:positionH>
                      <wp:positionV relativeFrom="paragraph">
                        <wp:posOffset>219075</wp:posOffset>
                      </wp:positionV>
                      <wp:extent cx="5740400" cy="61214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12140"/>
                              </a:xfrm>
                              <a:prstGeom prst="rect">
                                <a:avLst/>
                              </a:prstGeom>
                              <a:noFill/>
                              <a:ln w="9525">
                                <a:noFill/>
                                <a:miter lim="800000"/>
                                <a:headEnd/>
                                <a:tailEnd/>
                              </a:ln>
                            </wps:spPr>
                            <wps:txbx>
                              <w:txbxContent>
                                <w:p w:rsidR="005D69D0" w:rsidRPr="008B61BE" w:rsidRDefault="005D69D0" w:rsidP="005D69D0">
                                  <w:pPr>
                                    <w:spacing w:line="80" w:lineRule="atLeast"/>
                                    <w:ind w:left="720" w:hanging="720"/>
                                    <w:rPr>
                                      <w:sz w:val="14"/>
                                    </w:rPr>
                                  </w:pPr>
                                  <w:r w:rsidRPr="008B61BE">
                                    <w:rPr>
                                      <w:sz w:val="14"/>
                                    </w:rPr>
                                    <w:t xml:space="preserve">Note:      </w:t>
                                  </w:r>
                                  <w:r>
                                    <w:rPr>
                                      <w:sz w:val="14"/>
                                    </w:rPr>
                                    <w:t xml:space="preserve"> </w:t>
                                  </w:r>
                                  <w:r>
                                    <w:rPr>
                                      <w:sz w:val="14"/>
                                    </w:rPr>
                                    <w:tab/>
                                  </w:r>
                                  <w:r w:rsidRPr="008B61BE">
                                    <w:rPr>
                                      <w:sz w:val="14"/>
                                    </w:rPr>
                                    <w:t xml:space="preserve">Counts are based on data reported by Youth Service providers in the </w:t>
                                  </w:r>
                                  <w:r>
                                    <w:rPr>
                                      <w:sz w:val="14"/>
                                    </w:rPr>
                                    <w:t xml:space="preserve">Activity Reporting Tool (ART) and include short courses, such as obtaining a driver’s license. Counts for Education, Training and Work-based Learning are not mutually exclusive: people may participate in more than one activity. </w:t>
                                  </w:r>
                                </w:p>
                                <w:p w:rsidR="005D69D0" w:rsidRDefault="005D69D0" w:rsidP="005D69D0">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5D69D0" w:rsidRPr="008B61BE" w:rsidRDefault="005D69D0" w:rsidP="005D69D0">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1.15pt;margin-top:17.25pt;width:45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" filled="f" stroked="f">
                      <v:textbox>
                        <w:txbxContent>
                          <w:p w:rsidR="005D69D0" w:rsidRPr="008B61BE" w:rsidRDefault="005D69D0" w:rsidP="005D69D0">
                            <w:pPr>
                              <w:spacing w:line="80" w:lineRule="atLeast"/>
                              <w:ind w:left="720" w:hanging="720"/>
                              <w:rPr>
                                <w:sz w:val="14"/>
                              </w:rPr>
                            </w:pPr>
                            <w:r w:rsidRPr="008B61BE">
                              <w:rPr>
                                <w:sz w:val="14"/>
                              </w:rPr>
                              <w:t xml:space="preserve">Note:      </w:t>
                            </w:r>
                            <w:r>
                              <w:rPr>
                                <w:sz w:val="14"/>
                              </w:rPr>
                              <w:t xml:space="preserve"> </w:t>
                            </w:r>
                            <w:r>
                              <w:rPr>
                                <w:sz w:val="14"/>
                              </w:rPr>
                              <w:tab/>
                            </w:r>
                            <w:r w:rsidRPr="008B61BE">
                              <w:rPr>
                                <w:sz w:val="14"/>
                              </w:rPr>
                              <w:t xml:space="preserve">Counts are based on data reported by Youth Service providers in the </w:t>
                            </w:r>
                            <w:r>
                              <w:rPr>
                                <w:sz w:val="14"/>
                              </w:rPr>
                              <w:t xml:space="preserve">Activity Reporting Tool (ART) and include short courses, such as obtaining a driver’s license. Counts for Education, Training and Work-based Learning are not mutually exclusive: people may participate in more than one activity. </w:t>
                            </w:r>
                          </w:p>
                          <w:p w:rsidR="005D69D0" w:rsidRDefault="005D69D0" w:rsidP="005D69D0">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5D69D0" w:rsidRPr="008B61BE" w:rsidRDefault="005D69D0" w:rsidP="005D69D0">
                            <w:pPr>
                              <w:pStyle w:val="BodyText"/>
                              <w:spacing w:before="0" w:line="80" w:lineRule="atLeast"/>
                              <w:rPr>
                                <w:color w:val="auto"/>
                                <w:sz w:val="14"/>
                              </w:rPr>
                            </w:pPr>
                          </w:p>
                        </w:txbxContent>
                      </v:textbox>
                    </v:shape>
                  </w:pict>
                </mc:Fallback>
              </mc:AlternateContent>
            </w:r>
            <w:r>
              <w:rPr>
                <w:color w:val="auto"/>
                <w:sz w:val="20"/>
                <w:szCs w:val="20"/>
              </w:rPr>
              <w:t xml:space="preserve">No </w:t>
            </w:r>
            <w:r w:rsidRPr="00C667B7">
              <w:rPr>
                <w:color w:val="auto"/>
                <w:sz w:val="20"/>
                <w:szCs w:val="20"/>
              </w:rPr>
              <w:t>education, training or work-based learning activity</w:t>
            </w:r>
          </w:p>
        </w:tc>
        <w:tc>
          <w:tcPr>
            <w:tcW w:w="1134" w:type="dxa"/>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12%</w:t>
            </w:r>
          </w:p>
        </w:tc>
        <w:tc>
          <w:tcPr>
            <w:tcW w:w="1134" w:type="dxa"/>
            <w:shd w:val="clear" w:color="auto" w:fill="auto"/>
            <w:vAlign w:val="center"/>
          </w:tcPr>
          <w:p w:rsidR="005D69D0" w:rsidRPr="00C667B7" w:rsidRDefault="005D69D0" w:rsidP="00067F4A">
            <w:pPr>
              <w:pStyle w:val="TableText"/>
              <w:spacing w:before="60" w:after="60"/>
              <w:rPr>
                <w:color w:val="auto"/>
                <w:sz w:val="20"/>
                <w:szCs w:val="20"/>
              </w:rPr>
            </w:pPr>
            <w:r>
              <w:rPr>
                <w:color w:val="auto"/>
                <w:sz w:val="20"/>
                <w:szCs w:val="20"/>
              </w:rPr>
              <w:t>13</w:t>
            </w:r>
            <w:r w:rsidRPr="00C667B7">
              <w:rPr>
                <w:color w:val="auto"/>
                <w:sz w:val="20"/>
                <w:szCs w:val="20"/>
              </w:rPr>
              <w:t>%</w:t>
            </w:r>
          </w:p>
        </w:tc>
        <w:tc>
          <w:tcPr>
            <w:tcW w:w="1276" w:type="dxa"/>
          </w:tcPr>
          <w:p w:rsidR="005D69D0" w:rsidRPr="00C667B7" w:rsidRDefault="005D69D0" w:rsidP="00067F4A">
            <w:pPr>
              <w:pStyle w:val="TableText"/>
              <w:spacing w:before="60" w:after="60"/>
              <w:rPr>
                <w:color w:val="auto"/>
                <w:sz w:val="20"/>
                <w:szCs w:val="20"/>
              </w:rPr>
            </w:pPr>
            <w:r>
              <w:rPr>
                <w:color w:val="auto"/>
                <w:sz w:val="20"/>
                <w:szCs w:val="20"/>
              </w:rPr>
              <w:t>23%</w:t>
            </w:r>
          </w:p>
        </w:tc>
      </w:tr>
    </w:tbl>
    <w:p w:rsidR="005D69D0" w:rsidRDefault="005D69D0" w:rsidP="005D69D0">
      <w:pPr>
        <w:pStyle w:val="BodyText"/>
        <w:spacing w:before="0"/>
        <w:ind w:left="357" w:right="-471"/>
        <w:rPr>
          <w:b/>
          <w:sz w:val="6"/>
        </w:rPr>
      </w:pPr>
    </w:p>
    <w:p w:rsidR="005D69D0" w:rsidRDefault="005D69D0" w:rsidP="00B5357A">
      <w:pPr>
        <w:rPr>
          <w:b/>
          <w:color w:val="007073"/>
        </w:rPr>
      </w:pPr>
    </w:p>
    <w:p w:rsidR="005D69D0" w:rsidRDefault="005D69D0" w:rsidP="00B5357A">
      <w:pPr>
        <w:rPr>
          <w:b/>
          <w:color w:val="007073"/>
        </w:rPr>
      </w:pPr>
    </w:p>
    <w:p w:rsidR="00CD2595" w:rsidRPr="00CD2595" w:rsidRDefault="00CD2595" w:rsidP="00CD2595">
      <w:pPr>
        <w:pStyle w:val="Caption"/>
        <w:shd w:val="clear" w:color="auto" w:fill="73B5C7"/>
        <w:spacing w:before="0"/>
        <w:ind w:left="851" w:right="341" w:hanging="851"/>
        <w:rPr>
          <w:b/>
          <w:color w:val="FFFFFF" w:themeColor="background1"/>
          <w:sz w:val="2"/>
          <w:szCs w:val="2"/>
        </w:rPr>
      </w:pPr>
      <w:r w:rsidRPr="00CD2595">
        <w:rPr>
          <w:b/>
          <w:color w:val="FFFFFF" w:themeColor="background1"/>
        </w:rPr>
        <w:t xml:space="preserve">Table </w:t>
      </w:r>
      <w:r w:rsidR="005D69D0">
        <w:rPr>
          <w:b/>
          <w:color w:val="FFFFFF" w:themeColor="background1"/>
        </w:rPr>
        <w:t>2</w:t>
      </w:r>
      <w:r w:rsidRPr="00CD2595">
        <w:rPr>
          <w:b/>
          <w:color w:val="FFFFFF" w:themeColor="background1"/>
        </w:rPr>
        <w:t>:</w:t>
      </w:r>
      <w:r w:rsidRPr="00CD2595">
        <w:rPr>
          <w:b/>
          <w:color w:val="FFFFFF" w:themeColor="background1"/>
          <w:lang w:val="en-NZ"/>
        </w:rPr>
        <w:t xml:space="preserve"> Youth Service participants enrolled in education, training or work-based learning </w:t>
      </w:r>
      <w:r w:rsidRPr="00CD2595">
        <w:rPr>
          <w:b/>
          <w:color w:val="FFFFFF" w:themeColor="background1"/>
        </w:rPr>
        <w:t>(either full-time or part-time)</w:t>
      </w:r>
      <w:r w:rsidRPr="00CD2595">
        <w:rPr>
          <w:b/>
          <w:color w:val="FFFFFF" w:themeColor="background1"/>
          <w:lang w:val="en-NZ"/>
        </w:rPr>
        <w:t>; at quarter end, March 2013 to March 2014</w:t>
      </w:r>
    </w:p>
    <w:tbl>
      <w:tblPr>
        <w:tblW w:w="5671" w:type="dxa"/>
        <w:tblInd w:w="115" w:type="dxa"/>
        <w:tblBorders>
          <w:top w:val="single" w:sz="4" w:space="0" w:color="215868"/>
          <w:left w:val="single" w:sz="4" w:space="0" w:color="215868"/>
          <w:bottom w:val="single" w:sz="4" w:space="0" w:color="215868"/>
          <w:right w:val="single" w:sz="4" w:space="0" w:color="215868"/>
          <w:insideH w:val="single" w:sz="2" w:space="0" w:color="007073"/>
          <w:insideV w:val="single" w:sz="2" w:space="0" w:color="F6F6F6"/>
        </w:tblBorders>
        <w:tblLayout w:type="fixed"/>
        <w:tblCellMar>
          <w:left w:w="115" w:type="dxa"/>
          <w:right w:w="115" w:type="dxa"/>
        </w:tblCellMar>
        <w:tblLook w:val="04A0" w:firstRow="1" w:lastRow="0" w:firstColumn="1" w:lastColumn="0" w:noHBand="0" w:noVBand="1"/>
      </w:tblPr>
      <w:tblGrid>
        <w:gridCol w:w="2127"/>
        <w:gridCol w:w="1276"/>
        <w:gridCol w:w="1276"/>
        <w:gridCol w:w="992"/>
      </w:tblGrid>
      <w:tr w:rsidR="00CD2595" w:rsidRPr="00FA6E51" w:rsidTr="00CD2595">
        <w:trPr>
          <w:trHeight w:val="313"/>
        </w:trPr>
        <w:tc>
          <w:tcPr>
            <w:tcW w:w="2127" w:type="dxa"/>
            <w:tcBorders>
              <w:top w:val="nil"/>
              <w:left w:val="nil"/>
              <w:bottom w:val="single" w:sz="2" w:space="0" w:color="4BACC6" w:themeColor="accent5"/>
              <w:right w:val="nil"/>
            </w:tcBorders>
            <w:shd w:val="clear" w:color="auto" w:fill="auto"/>
            <w:vAlign w:val="center"/>
          </w:tcPr>
          <w:p w:rsidR="00CD2595" w:rsidRDefault="00CD2595" w:rsidP="00067F4A">
            <w:pPr>
              <w:pStyle w:val="TableSubHeading"/>
              <w:spacing w:before="60" w:after="60"/>
              <w:rPr>
                <w:color w:val="31849B"/>
                <w:sz w:val="20"/>
                <w:szCs w:val="20"/>
              </w:rPr>
            </w:pPr>
          </w:p>
        </w:tc>
        <w:tc>
          <w:tcPr>
            <w:tcW w:w="1276" w:type="dxa"/>
            <w:tcBorders>
              <w:top w:val="nil"/>
              <w:left w:val="nil"/>
              <w:bottom w:val="single" w:sz="2" w:space="0" w:color="4BACC6" w:themeColor="accent5"/>
              <w:right w:val="nil"/>
            </w:tcBorders>
            <w:shd w:val="clear" w:color="auto" w:fill="auto"/>
            <w:vAlign w:val="center"/>
          </w:tcPr>
          <w:p w:rsidR="00CD2595" w:rsidRPr="00C667B7" w:rsidRDefault="00CD2595" w:rsidP="00067F4A">
            <w:pPr>
              <w:pStyle w:val="TableSubHeading"/>
              <w:tabs>
                <w:tab w:val="left" w:pos="1329"/>
              </w:tabs>
              <w:spacing w:before="60" w:after="60"/>
              <w:jc w:val="center"/>
              <w:rPr>
                <w:color w:val="31849B"/>
                <w:sz w:val="20"/>
                <w:szCs w:val="20"/>
              </w:rPr>
            </w:pPr>
          </w:p>
        </w:tc>
        <w:tc>
          <w:tcPr>
            <w:tcW w:w="1276" w:type="dxa"/>
            <w:tcBorders>
              <w:top w:val="nil"/>
              <w:left w:val="nil"/>
              <w:bottom w:val="single" w:sz="2" w:space="0" w:color="4BACC6" w:themeColor="accent5"/>
              <w:right w:val="nil"/>
            </w:tcBorders>
            <w:shd w:val="clear" w:color="auto" w:fill="auto"/>
            <w:vAlign w:val="center"/>
          </w:tcPr>
          <w:p w:rsidR="00CD2595" w:rsidRPr="00C667B7" w:rsidRDefault="00CD2595" w:rsidP="00067F4A">
            <w:pPr>
              <w:pStyle w:val="TableSubHeading"/>
              <w:spacing w:before="60" w:after="60"/>
              <w:ind w:left="-115" w:right="-75"/>
              <w:jc w:val="center"/>
              <w:rPr>
                <w:color w:val="31849B"/>
                <w:sz w:val="20"/>
                <w:szCs w:val="20"/>
              </w:rPr>
            </w:pPr>
          </w:p>
        </w:tc>
        <w:tc>
          <w:tcPr>
            <w:tcW w:w="992" w:type="dxa"/>
            <w:tcBorders>
              <w:top w:val="nil"/>
              <w:left w:val="nil"/>
              <w:bottom w:val="single" w:sz="2" w:space="0" w:color="4BACC6" w:themeColor="accent5"/>
              <w:right w:val="nil"/>
            </w:tcBorders>
            <w:shd w:val="clear" w:color="auto" w:fill="auto"/>
          </w:tcPr>
          <w:p w:rsidR="00CD2595" w:rsidRPr="00C667B7" w:rsidRDefault="00CD2595" w:rsidP="00067F4A">
            <w:pPr>
              <w:pStyle w:val="TableSubHeading"/>
              <w:spacing w:before="60" w:after="60"/>
              <w:ind w:left="-115" w:right="-75"/>
              <w:jc w:val="center"/>
              <w:rPr>
                <w:color w:val="31849B"/>
                <w:sz w:val="20"/>
                <w:szCs w:val="20"/>
              </w:rPr>
            </w:pPr>
          </w:p>
        </w:tc>
      </w:tr>
      <w:tr w:rsidR="00CD2595" w:rsidRPr="00FA6E51" w:rsidTr="00CD2595">
        <w:trPr>
          <w:trHeight w:val="313"/>
        </w:trPr>
        <w:tc>
          <w:tcPr>
            <w:tcW w:w="2127" w:type="dxa"/>
            <w:tcBorders>
              <w:top w:val="single" w:sz="2" w:space="0" w:color="4BACC6" w:themeColor="accent5"/>
              <w:bottom w:val="single" w:sz="2" w:space="0" w:color="007073"/>
            </w:tcBorders>
            <w:shd w:val="clear" w:color="auto" w:fill="EEEEED"/>
            <w:vAlign w:val="center"/>
          </w:tcPr>
          <w:p w:rsidR="00CD2595" w:rsidRPr="00C667B7" w:rsidRDefault="00CD2595" w:rsidP="00067F4A">
            <w:pPr>
              <w:pStyle w:val="TableSubHeading"/>
              <w:spacing w:before="60" w:after="60"/>
              <w:rPr>
                <w:color w:val="31849B"/>
                <w:sz w:val="20"/>
                <w:szCs w:val="20"/>
              </w:rPr>
            </w:pPr>
            <w:r>
              <w:rPr>
                <w:color w:val="31849B"/>
                <w:sz w:val="20"/>
                <w:szCs w:val="20"/>
              </w:rPr>
              <w:t xml:space="preserve">Quarter end </w:t>
            </w:r>
          </w:p>
        </w:tc>
        <w:tc>
          <w:tcPr>
            <w:tcW w:w="1276" w:type="dxa"/>
            <w:tcBorders>
              <w:top w:val="single" w:sz="2" w:space="0" w:color="4BACC6" w:themeColor="accent5"/>
              <w:bottom w:val="single" w:sz="2" w:space="0" w:color="007073"/>
            </w:tcBorders>
            <w:shd w:val="clear" w:color="auto" w:fill="EEEEED"/>
            <w:vAlign w:val="center"/>
          </w:tcPr>
          <w:p w:rsidR="00CD2595" w:rsidRPr="00C667B7" w:rsidRDefault="00CD2595" w:rsidP="00067F4A">
            <w:pPr>
              <w:pStyle w:val="TableSubHeading"/>
              <w:tabs>
                <w:tab w:val="left" w:pos="1329"/>
              </w:tabs>
              <w:spacing w:before="60" w:after="60"/>
              <w:jc w:val="center"/>
              <w:rPr>
                <w:color w:val="31849B"/>
                <w:sz w:val="20"/>
                <w:szCs w:val="20"/>
              </w:rPr>
            </w:pPr>
            <w:r w:rsidRPr="00C667B7">
              <w:rPr>
                <w:color w:val="31849B"/>
                <w:sz w:val="20"/>
                <w:szCs w:val="20"/>
              </w:rPr>
              <w:t>YP</w:t>
            </w:r>
            <w:r>
              <w:rPr>
                <w:color w:val="31849B"/>
                <w:sz w:val="20"/>
                <w:szCs w:val="20"/>
              </w:rPr>
              <w:t xml:space="preserve"> (%)</w:t>
            </w:r>
          </w:p>
        </w:tc>
        <w:tc>
          <w:tcPr>
            <w:tcW w:w="1276" w:type="dxa"/>
            <w:tcBorders>
              <w:top w:val="single" w:sz="2" w:space="0" w:color="4BACC6" w:themeColor="accent5"/>
              <w:bottom w:val="single" w:sz="2" w:space="0" w:color="007073"/>
            </w:tcBorders>
            <w:shd w:val="clear" w:color="auto" w:fill="EEEEED"/>
            <w:vAlign w:val="center"/>
          </w:tcPr>
          <w:p w:rsidR="00CD2595" w:rsidRPr="00C667B7" w:rsidRDefault="00CD2595" w:rsidP="00067F4A">
            <w:pPr>
              <w:pStyle w:val="TableSubHeading"/>
              <w:spacing w:before="60" w:after="60"/>
              <w:ind w:left="-115" w:right="-75"/>
              <w:jc w:val="center"/>
              <w:rPr>
                <w:color w:val="31849B"/>
                <w:sz w:val="20"/>
                <w:szCs w:val="20"/>
              </w:rPr>
            </w:pPr>
            <w:r w:rsidRPr="00C667B7">
              <w:rPr>
                <w:color w:val="31849B"/>
                <w:sz w:val="20"/>
                <w:szCs w:val="20"/>
              </w:rPr>
              <w:t xml:space="preserve">YPP </w:t>
            </w:r>
            <w:r>
              <w:rPr>
                <w:color w:val="31849B"/>
                <w:sz w:val="20"/>
                <w:szCs w:val="20"/>
              </w:rPr>
              <w:t>(%)</w:t>
            </w:r>
          </w:p>
        </w:tc>
        <w:tc>
          <w:tcPr>
            <w:tcW w:w="992" w:type="dxa"/>
            <w:tcBorders>
              <w:top w:val="single" w:sz="2" w:space="0" w:color="4BACC6" w:themeColor="accent5"/>
              <w:bottom w:val="single" w:sz="2" w:space="0" w:color="007073"/>
            </w:tcBorders>
            <w:shd w:val="clear" w:color="auto" w:fill="EEEEED"/>
          </w:tcPr>
          <w:p w:rsidR="00CD2595" w:rsidRPr="00C667B7" w:rsidRDefault="00CD2595" w:rsidP="00067F4A">
            <w:pPr>
              <w:pStyle w:val="TableSubHeading"/>
              <w:spacing w:before="60" w:after="60"/>
              <w:ind w:left="-115" w:right="-75"/>
              <w:jc w:val="center"/>
              <w:rPr>
                <w:color w:val="31849B"/>
                <w:sz w:val="20"/>
                <w:szCs w:val="20"/>
              </w:rPr>
            </w:pPr>
            <w:r w:rsidRPr="00C667B7">
              <w:rPr>
                <w:color w:val="31849B"/>
                <w:sz w:val="20"/>
                <w:szCs w:val="20"/>
              </w:rPr>
              <w:t>NEET</w:t>
            </w:r>
            <w:r>
              <w:rPr>
                <w:color w:val="31849B"/>
                <w:sz w:val="20"/>
                <w:szCs w:val="20"/>
              </w:rPr>
              <w:t xml:space="preserve"> (%)</w:t>
            </w:r>
          </w:p>
        </w:tc>
      </w:tr>
      <w:tr w:rsidR="00CD2595" w:rsidRPr="00FA6E51" w:rsidTr="00CD2595">
        <w:trPr>
          <w:trHeight w:val="350"/>
        </w:trPr>
        <w:tc>
          <w:tcPr>
            <w:tcW w:w="2127" w:type="dxa"/>
            <w:tcBorders>
              <w:top w:val="single" w:sz="2" w:space="0" w:color="007073"/>
            </w:tcBorders>
            <w:vAlign w:val="center"/>
          </w:tcPr>
          <w:p w:rsidR="00CD2595" w:rsidRPr="00C667B7" w:rsidRDefault="00CD2595" w:rsidP="00067F4A">
            <w:pPr>
              <w:pStyle w:val="BodyText"/>
              <w:spacing w:before="60" w:after="60" w:line="240" w:lineRule="auto"/>
              <w:rPr>
                <w:color w:val="auto"/>
                <w:sz w:val="20"/>
                <w:szCs w:val="20"/>
              </w:rPr>
            </w:pPr>
            <w:r>
              <w:rPr>
                <w:color w:val="auto"/>
                <w:sz w:val="20"/>
                <w:szCs w:val="20"/>
              </w:rPr>
              <w:t>March 2013</w:t>
            </w:r>
          </w:p>
        </w:tc>
        <w:tc>
          <w:tcPr>
            <w:tcW w:w="1276" w:type="dxa"/>
            <w:tcBorders>
              <w:top w:val="single" w:sz="2" w:space="0" w:color="007073"/>
            </w:tcBorders>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65</w:t>
            </w:r>
          </w:p>
        </w:tc>
        <w:tc>
          <w:tcPr>
            <w:tcW w:w="1276" w:type="dxa"/>
            <w:tcBorders>
              <w:top w:val="single" w:sz="2" w:space="0" w:color="007073"/>
            </w:tcBorders>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46</w:t>
            </w:r>
          </w:p>
        </w:tc>
        <w:tc>
          <w:tcPr>
            <w:tcW w:w="992" w:type="dxa"/>
            <w:tcBorders>
              <w:top w:val="single" w:sz="2" w:space="0" w:color="007073"/>
            </w:tcBorders>
          </w:tcPr>
          <w:p w:rsidR="00CD2595" w:rsidRPr="00C667B7" w:rsidRDefault="00CD2595" w:rsidP="00067F4A">
            <w:pPr>
              <w:pStyle w:val="TableText"/>
              <w:spacing w:before="60" w:after="60"/>
              <w:jc w:val="center"/>
              <w:rPr>
                <w:color w:val="auto"/>
                <w:sz w:val="20"/>
                <w:szCs w:val="20"/>
              </w:rPr>
            </w:pPr>
            <w:r>
              <w:rPr>
                <w:color w:val="auto"/>
                <w:sz w:val="20"/>
                <w:szCs w:val="20"/>
              </w:rPr>
              <w:t>52</w:t>
            </w:r>
          </w:p>
        </w:tc>
      </w:tr>
      <w:tr w:rsidR="00CD2595" w:rsidRPr="00FA6E51" w:rsidTr="00067F4A">
        <w:trPr>
          <w:trHeight w:val="350"/>
        </w:trPr>
        <w:tc>
          <w:tcPr>
            <w:tcW w:w="2127" w:type="dxa"/>
            <w:vAlign w:val="center"/>
          </w:tcPr>
          <w:p w:rsidR="00CD2595" w:rsidRPr="00C667B7" w:rsidRDefault="00CD2595" w:rsidP="00067F4A">
            <w:pPr>
              <w:pStyle w:val="BodyText"/>
              <w:spacing w:before="60" w:after="60" w:line="240" w:lineRule="auto"/>
              <w:rPr>
                <w:color w:val="auto"/>
                <w:sz w:val="20"/>
                <w:szCs w:val="20"/>
              </w:rPr>
            </w:pPr>
            <w:r>
              <w:rPr>
                <w:color w:val="auto"/>
                <w:sz w:val="20"/>
                <w:szCs w:val="20"/>
              </w:rPr>
              <w:t>June 2013</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76</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57</w:t>
            </w:r>
          </w:p>
        </w:tc>
        <w:tc>
          <w:tcPr>
            <w:tcW w:w="992" w:type="dxa"/>
          </w:tcPr>
          <w:p w:rsidR="00CD2595" w:rsidRPr="00C667B7" w:rsidRDefault="00CD2595" w:rsidP="00067F4A">
            <w:pPr>
              <w:pStyle w:val="TableText"/>
              <w:spacing w:before="60" w:after="60"/>
              <w:jc w:val="center"/>
              <w:rPr>
                <w:color w:val="auto"/>
                <w:sz w:val="20"/>
                <w:szCs w:val="20"/>
              </w:rPr>
            </w:pPr>
            <w:r>
              <w:rPr>
                <w:color w:val="auto"/>
                <w:sz w:val="20"/>
                <w:szCs w:val="20"/>
              </w:rPr>
              <w:t>66</w:t>
            </w:r>
          </w:p>
        </w:tc>
      </w:tr>
      <w:tr w:rsidR="00CD2595" w:rsidRPr="00FA6E51" w:rsidTr="00067F4A">
        <w:trPr>
          <w:trHeight w:val="350"/>
        </w:trPr>
        <w:tc>
          <w:tcPr>
            <w:tcW w:w="2127" w:type="dxa"/>
            <w:vAlign w:val="center"/>
          </w:tcPr>
          <w:p w:rsidR="00CD2595" w:rsidRPr="00C667B7" w:rsidRDefault="00CD2595" w:rsidP="00067F4A">
            <w:pPr>
              <w:pStyle w:val="BodyText"/>
              <w:spacing w:before="60" w:after="60" w:line="240" w:lineRule="auto"/>
              <w:rPr>
                <w:color w:val="auto"/>
                <w:sz w:val="20"/>
                <w:szCs w:val="20"/>
              </w:rPr>
            </w:pPr>
            <w:r>
              <w:rPr>
                <w:color w:val="auto"/>
                <w:sz w:val="20"/>
                <w:szCs w:val="20"/>
              </w:rPr>
              <w:t>September 2013</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87</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78</w:t>
            </w:r>
          </w:p>
        </w:tc>
        <w:tc>
          <w:tcPr>
            <w:tcW w:w="992" w:type="dxa"/>
          </w:tcPr>
          <w:p w:rsidR="00CD2595" w:rsidRPr="00C667B7" w:rsidRDefault="00CD2595" w:rsidP="00067F4A">
            <w:pPr>
              <w:pStyle w:val="TableText"/>
              <w:spacing w:before="60" w:after="60"/>
              <w:jc w:val="center"/>
              <w:rPr>
                <w:color w:val="auto"/>
                <w:sz w:val="20"/>
                <w:szCs w:val="20"/>
              </w:rPr>
            </w:pPr>
            <w:r>
              <w:rPr>
                <w:color w:val="auto"/>
                <w:sz w:val="20"/>
                <w:szCs w:val="20"/>
              </w:rPr>
              <w:t>75</w:t>
            </w:r>
          </w:p>
        </w:tc>
      </w:tr>
      <w:tr w:rsidR="00CD2595" w:rsidRPr="00FA6E51" w:rsidTr="00067F4A">
        <w:trPr>
          <w:trHeight w:val="371"/>
        </w:trPr>
        <w:tc>
          <w:tcPr>
            <w:tcW w:w="2127" w:type="dxa"/>
            <w:vAlign w:val="center"/>
          </w:tcPr>
          <w:p w:rsidR="00CD2595" w:rsidRPr="008D22E1" w:rsidRDefault="00CD2595" w:rsidP="00067F4A">
            <w:pPr>
              <w:pStyle w:val="BodyText"/>
              <w:spacing w:before="60" w:after="60" w:line="240" w:lineRule="auto"/>
              <w:rPr>
                <w:color w:val="auto"/>
                <w:sz w:val="20"/>
                <w:szCs w:val="20"/>
              </w:rPr>
            </w:pPr>
            <w:r>
              <w:rPr>
                <w:color w:val="auto"/>
                <w:sz w:val="20"/>
                <w:szCs w:val="20"/>
              </w:rPr>
              <w:t>December 2013</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Pr>
                <w:color w:val="auto"/>
                <w:sz w:val="20"/>
                <w:szCs w:val="20"/>
              </w:rPr>
              <w:t>83</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Pr>
                <w:color w:val="auto"/>
                <w:sz w:val="20"/>
                <w:szCs w:val="20"/>
              </w:rPr>
              <w:t>81</w:t>
            </w:r>
          </w:p>
        </w:tc>
        <w:tc>
          <w:tcPr>
            <w:tcW w:w="992" w:type="dxa"/>
          </w:tcPr>
          <w:p w:rsidR="00CD2595" w:rsidRPr="005B2018" w:rsidRDefault="00CD2595" w:rsidP="00067F4A">
            <w:pPr>
              <w:pStyle w:val="TableText"/>
              <w:spacing w:before="60" w:after="60"/>
              <w:jc w:val="center"/>
              <w:rPr>
                <w:color w:val="auto"/>
                <w:sz w:val="20"/>
                <w:szCs w:val="20"/>
              </w:rPr>
            </w:pPr>
            <w:r>
              <w:rPr>
                <w:color w:val="auto"/>
                <w:sz w:val="20"/>
                <w:szCs w:val="20"/>
              </w:rPr>
              <w:t>77</w:t>
            </w:r>
          </w:p>
        </w:tc>
      </w:tr>
      <w:tr w:rsidR="00CD2595" w:rsidRPr="00FA6E51" w:rsidTr="00067F4A">
        <w:trPr>
          <w:trHeight w:val="371"/>
        </w:trPr>
        <w:tc>
          <w:tcPr>
            <w:tcW w:w="2127" w:type="dxa"/>
            <w:vAlign w:val="center"/>
          </w:tcPr>
          <w:p w:rsidR="00CD2595" w:rsidRPr="008D22E1" w:rsidRDefault="005D69D0" w:rsidP="00067F4A">
            <w:pPr>
              <w:pStyle w:val="BodyText"/>
              <w:spacing w:before="60" w:after="60" w:line="240" w:lineRule="auto"/>
              <w:rPr>
                <w:color w:val="auto"/>
                <w:sz w:val="20"/>
                <w:szCs w:val="20"/>
              </w:rPr>
            </w:pPr>
            <w:r>
              <w:rPr>
                <w:noProof/>
              </w:rPr>
              <mc:AlternateContent>
                <mc:Choice Requires="wps">
                  <w:drawing>
                    <wp:anchor distT="0" distB="0" distL="114300" distR="114300" simplePos="0" relativeHeight="251691008" behindDoc="0" locked="0" layoutInCell="1" allowOverlap="1" wp14:anchorId="7F2160E8" wp14:editId="3E8FA442">
                      <wp:simplePos x="0" y="0"/>
                      <wp:positionH relativeFrom="column">
                        <wp:posOffset>-146685</wp:posOffset>
                      </wp:positionH>
                      <wp:positionV relativeFrom="paragraph">
                        <wp:posOffset>220345</wp:posOffset>
                      </wp:positionV>
                      <wp:extent cx="5740400" cy="61214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12140"/>
                              </a:xfrm>
                              <a:prstGeom prst="rect">
                                <a:avLst/>
                              </a:prstGeom>
                              <a:noFill/>
                              <a:ln w="9525">
                                <a:noFill/>
                                <a:miter lim="800000"/>
                                <a:headEnd/>
                                <a:tailEnd/>
                              </a:ln>
                            </wps:spPr>
                            <wps:txbx>
                              <w:txbxContent>
                                <w:p w:rsidR="005D69D0" w:rsidRPr="008B61BE" w:rsidRDefault="005D69D0" w:rsidP="005D69D0">
                                  <w:pPr>
                                    <w:spacing w:line="80" w:lineRule="atLeast"/>
                                    <w:ind w:left="720" w:hanging="720"/>
                                    <w:rPr>
                                      <w:sz w:val="14"/>
                                    </w:rPr>
                                  </w:pPr>
                                  <w:r w:rsidRPr="008B61BE">
                                    <w:rPr>
                                      <w:sz w:val="14"/>
                                    </w:rPr>
                                    <w:t xml:space="preserve">Note:      </w:t>
                                  </w:r>
                                  <w:r>
                                    <w:rPr>
                                      <w:sz w:val="14"/>
                                    </w:rPr>
                                    <w:t xml:space="preserve"> </w:t>
                                  </w:r>
                                  <w:r>
                                    <w:rPr>
                                      <w:sz w:val="14"/>
                                    </w:rPr>
                                    <w:tab/>
                                  </w:r>
                                  <w:r w:rsidRPr="008B61BE">
                                    <w:rPr>
                                      <w:sz w:val="14"/>
                                    </w:rPr>
                                    <w:t xml:space="preserve">Counts are based on data reported by Youth Service providers in the </w:t>
                                  </w:r>
                                  <w:r>
                                    <w:rPr>
                                      <w:sz w:val="14"/>
                                    </w:rPr>
                                    <w:t xml:space="preserve">Activity Reporting Tool (ART) and include short courses, such as obtaining a driver’s license. Counts for Education, Training and Work-based Learning are not mutually exclusive: people may participate in more than one activity. </w:t>
                                  </w:r>
                                </w:p>
                                <w:p w:rsidR="005D69D0" w:rsidRDefault="005D69D0" w:rsidP="005D69D0">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5D69D0" w:rsidRPr="008B61BE" w:rsidRDefault="005D69D0" w:rsidP="005D69D0">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o:spid="_x0000_s1027" type="#_x0000_t202" style="position:absolute;left:0;text-align:left;margin-left:-11.55pt;margin-top:17.35pt;width:452pt;height:4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" filled="f" stroked="f">
                      <v:textbox>
                        <w:txbxContent>
                          <w:p w:rsidR="005D69D0" w:rsidRPr="008B61BE" w:rsidRDefault="005D69D0" w:rsidP="005D69D0">
                            <w:pPr>
                              <w:spacing w:line="80" w:lineRule="atLeast"/>
                              <w:ind w:left="720" w:hanging="720"/>
                              <w:rPr>
                                <w:sz w:val="14"/>
                              </w:rPr>
                            </w:pPr>
                            <w:r w:rsidRPr="008B61BE">
                              <w:rPr>
                                <w:sz w:val="14"/>
                              </w:rPr>
                              <w:t xml:space="preserve">Note:      </w:t>
                            </w:r>
                            <w:r>
                              <w:rPr>
                                <w:sz w:val="14"/>
                              </w:rPr>
                              <w:t xml:space="preserve"> </w:t>
                            </w:r>
                            <w:r>
                              <w:rPr>
                                <w:sz w:val="14"/>
                              </w:rPr>
                              <w:tab/>
                            </w:r>
                            <w:r w:rsidRPr="008B61BE">
                              <w:rPr>
                                <w:sz w:val="14"/>
                              </w:rPr>
                              <w:t xml:space="preserve">Counts are based on data reported by Youth Service providers in the </w:t>
                            </w:r>
                            <w:r>
                              <w:rPr>
                                <w:sz w:val="14"/>
                              </w:rPr>
                              <w:t xml:space="preserve">Activity Reporting Tool (ART) and include short courses, such as obtaining a driver’s license. Counts for Education, Training and Work-based Learning are not mutually exclusive: people may participate in more than one activity. </w:t>
                            </w:r>
                          </w:p>
                          <w:p w:rsidR="005D69D0" w:rsidRDefault="005D69D0" w:rsidP="005D69D0">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5D69D0" w:rsidRPr="008B61BE" w:rsidRDefault="005D69D0" w:rsidP="005D69D0">
                            <w:pPr>
                              <w:pStyle w:val="BodyText"/>
                              <w:spacing w:before="0" w:line="80" w:lineRule="atLeast"/>
                              <w:rPr>
                                <w:color w:val="auto"/>
                                <w:sz w:val="14"/>
                              </w:rPr>
                            </w:pPr>
                          </w:p>
                        </w:txbxContent>
                      </v:textbox>
                    </v:shape>
                  </w:pict>
                </mc:Fallback>
              </mc:AlternateContent>
            </w:r>
            <w:r w:rsidR="00CD2595">
              <w:rPr>
                <w:color w:val="auto"/>
                <w:sz w:val="20"/>
                <w:szCs w:val="20"/>
              </w:rPr>
              <w:t>March 2014</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Pr>
                <w:color w:val="auto"/>
                <w:sz w:val="20"/>
                <w:szCs w:val="20"/>
              </w:rPr>
              <w:t>88</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Pr>
                <w:color w:val="auto"/>
                <w:sz w:val="20"/>
                <w:szCs w:val="20"/>
              </w:rPr>
              <w:t>87</w:t>
            </w:r>
          </w:p>
        </w:tc>
        <w:tc>
          <w:tcPr>
            <w:tcW w:w="992" w:type="dxa"/>
          </w:tcPr>
          <w:p w:rsidR="00CD2595" w:rsidRPr="005B2018" w:rsidRDefault="00CD2595" w:rsidP="00067F4A">
            <w:pPr>
              <w:pStyle w:val="TableText"/>
              <w:spacing w:before="60" w:after="60"/>
              <w:jc w:val="center"/>
              <w:rPr>
                <w:color w:val="auto"/>
                <w:sz w:val="20"/>
                <w:szCs w:val="20"/>
              </w:rPr>
            </w:pPr>
            <w:r>
              <w:rPr>
                <w:color w:val="auto"/>
                <w:sz w:val="20"/>
                <w:szCs w:val="20"/>
              </w:rPr>
              <w:t>77</w:t>
            </w:r>
          </w:p>
        </w:tc>
      </w:tr>
    </w:tbl>
    <w:p w:rsidR="00CD2595" w:rsidRDefault="00CD2595" w:rsidP="00CD2595">
      <w:pPr>
        <w:pStyle w:val="Tablenotes"/>
        <w:ind w:hanging="567"/>
        <w:rPr>
          <w:color w:val="auto"/>
          <w:sz w:val="14"/>
        </w:rPr>
      </w:pPr>
    </w:p>
    <w:p w:rsidR="00CD2595" w:rsidRDefault="00CD2595" w:rsidP="00CD2595">
      <w:pPr>
        <w:pStyle w:val="Tablenotes"/>
        <w:ind w:hanging="567"/>
        <w:rPr>
          <w:color w:val="auto"/>
          <w:sz w:val="14"/>
        </w:rPr>
      </w:pPr>
    </w:p>
    <w:p w:rsidR="005D69D0" w:rsidRDefault="005D69D0" w:rsidP="00CD2595">
      <w:pPr>
        <w:pStyle w:val="Tablenotes"/>
        <w:ind w:hanging="567"/>
        <w:rPr>
          <w:color w:val="auto"/>
          <w:sz w:val="14"/>
        </w:rPr>
      </w:pPr>
    </w:p>
    <w:p w:rsidR="005D69D0" w:rsidRDefault="005D69D0" w:rsidP="00CD2595">
      <w:pPr>
        <w:pStyle w:val="Tablenotes"/>
        <w:ind w:hanging="567"/>
        <w:rPr>
          <w:color w:val="auto"/>
          <w:sz w:val="14"/>
        </w:rPr>
      </w:pPr>
    </w:p>
    <w:p w:rsidR="005D69D0" w:rsidRDefault="005D69D0" w:rsidP="00CD2595">
      <w:pPr>
        <w:pStyle w:val="Tablenotes"/>
        <w:ind w:hanging="567"/>
        <w:rPr>
          <w:color w:val="auto"/>
          <w:sz w:val="14"/>
        </w:rPr>
      </w:pPr>
    </w:p>
    <w:p w:rsidR="005D69D0" w:rsidRDefault="005D69D0" w:rsidP="00CD2595">
      <w:pPr>
        <w:pStyle w:val="Tablenotes"/>
        <w:ind w:hanging="567"/>
        <w:rPr>
          <w:color w:val="auto"/>
          <w:sz w:val="14"/>
        </w:rPr>
      </w:pPr>
    </w:p>
    <w:p w:rsidR="00CD2595" w:rsidRPr="00CD2595" w:rsidRDefault="00CD2595" w:rsidP="00CD2595">
      <w:pPr>
        <w:pStyle w:val="Caption"/>
        <w:shd w:val="clear" w:color="auto" w:fill="73B5C7"/>
        <w:spacing w:before="0"/>
        <w:ind w:left="851" w:right="341" w:hanging="851"/>
        <w:rPr>
          <w:b/>
          <w:color w:val="FFFFFF" w:themeColor="background1"/>
          <w:sz w:val="2"/>
          <w:szCs w:val="2"/>
        </w:rPr>
      </w:pPr>
      <w:r w:rsidRPr="00CD2595">
        <w:rPr>
          <w:b/>
          <w:color w:val="FFFFFF" w:themeColor="background1"/>
        </w:rPr>
        <w:t xml:space="preserve">Table </w:t>
      </w:r>
      <w:r w:rsidR="005D69D0">
        <w:rPr>
          <w:b/>
          <w:color w:val="FFFFFF" w:themeColor="background1"/>
        </w:rPr>
        <w:t>3</w:t>
      </w:r>
      <w:r w:rsidRPr="00CD2595">
        <w:rPr>
          <w:b/>
          <w:color w:val="FFFFFF" w:themeColor="background1"/>
        </w:rPr>
        <w:t xml:space="preserve">: </w:t>
      </w:r>
      <w:r w:rsidRPr="00CD2595">
        <w:rPr>
          <w:b/>
          <w:color w:val="FFFFFF" w:themeColor="background1"/>
          <w:lang w:val="en-NZ"/>
        </w:rPr>
        <w:t xml:space="preserve"> Proportion of participants enrolled in education, training or work-based learning </w:t>
      </w:r>
      <w:r w:rsidRPr="00CD2595">
        <w:rPr>
          <w:b/>
          <w:color w:val="FFFFFF" w:themeColor="background1"/>
        </w:rPr>
        <w:t>(either full-time or part-time)</w:t>
      </w:r>
      <w:r w:rsidRPr="00CD2595">
        <w:rPr>
          <w:b/>
          <w:color w:val="FFFFFF" w:themeColor="background1"/>
          <w:lang w:val="en-NZ"/>
        </w:rPr>
        <w:t>; by duration in Youth Service</w:t>
      </w:r>
    </w:p>
    <w:tbl>
      <w:tblPr>
        <w:tblW w:w="5671" w:type="dxa"/>
        <w:tblInd w:w="115" w:type="dxa"/>
        <w:tblBorders>
          <w:top w:val="single" w:sz="4" w:space="0" w:color="215868"/>
          <w:left w:val="single" w:sz="4" w:space="0" w:color="215868"/>
          <w:bottom w:val="single" w:sz="4" w:space="0" w:color="215868"/>
          <w:right w:val="single" w:sz="4" w:space="0" w:color="215868"/>
          <w:insideH w:val="single" w:sz="2" w:space="0" w:color="007073"/>
          <w:insideV w:val="single" w:sz="2" w:space="0" w:color="F6F6F6"/>
        </w:tblBorders>
        <w:tblLayout w:type="fixed"/>
        <w:tblCellMar>
          <w:left w:w="115" w:type="dxa"/>
          <w:right w:w="115" w:type="dxa"/>
        </w:tblCellMar>
        <w:tblLook w:val="04A0" w:firstRow="1" w:lastRow="0" w:firstColumn="1" w:lastColumn="0" w:noHBand="0" w:noVBand="1"/>
      </w:tblPr>
      <w:tblGrid>
        <w:gridCol w:w="2127"/>
        <w:gridCol w:w="1276"/>
        <w:gridCol w:w="1276"/>
        <w:gridCol w:w="992"/>
      </w:tblGrid>
      <w:tr w:rsidR="00CD2595" w:rsidRPr="00FA6E51" w:rsidTr="00CD2595">
        <w:trPr>
          <w:trHeight w:val="313"/>
        </w:trPr>
        <w:tc>
          <w:tcPr>
            <w:tcW w:w="2127" w:type="dxa"/>
            <w:tcBorders>
              <w:top w:val="nil"/>
              <w:left w:val="nil"/>
              <w:bottom w:val="single" w:sz="2" w:space="0" w:color="4BACC6" w:themeColor="accent5"/>
              <w:right w:val="nil"/>
            </w:tcBorders>
            <w:shd w:val="clear" w:color="auto" w:fill="auto"/>
            <w:vAlign w:val="center"/>
          </w:tcPr>
          <w:p w:rsidR="00CD2595" w:rsidRDefault="00CD2595" w:rsidP="00067F4A">
            <w:pPr>
              <w:pStyle w:val="TableSubHeading"/>
              <w:spacing w:before="60" w:after="60"/>
              <w:rPr>
                <w:color w:val="31849B"/>
                <w:sz w:val="20"/>
                <w:szCs w:val="20"/>
              </w:rPr>
            </w:pPr>
          </w:p>
        </w:tc>
        <w:tc>
          <w:tcPr>
            <w:tcW w:w="1276" w:type="dxa"/>
            <w:tcBorders>
              <w:top w:val="nil"/>
              <w:left w:val="nil"/>
              <w:bottom w:val="single" w:sz="2" w:space="0" w:color="4BACC6" w:themeColor="accent5"/>
              <w:right w:val="nil"/>
            </w:tcBorders>
            <w:shd w:val="clear" w:color="auto" w:fill="auto"/>
            <w:vAlign w:val="center"/>
          </w:tcPr>
          <w:p w:rsidR="00CD2595" w:rsidRPr="00C667B7" w:rsidRDefault="00CD2595" w:rsidP="00067F4A">
            <w:pPr>
              <w:pStyle w:val="TableSubHeading"/>
              <w:tabs>
                <w:tab w:val="left" w:pos="1329"/>
              </w:tabs>
              <w:spacing w:before="60" w:after="60"/>
              <w:jc w:val="center"/>
              <w:rPr>
                <w:color w:val="31849B"/>
                <w:sz w:val="20"/>
                <w:szCs w:val="20"/>
              </w:rPr>
            </w:pPr>
          </w:p>
        </w:tc>
        <w:tc>
          <w:tcPr>
            <w:tcW w:w="1276" w:type="dxa"/>
            <w:tcBorders>
              <w:top w:val="nil"/>
              <w:left w:val="nil"/>
              <w:bottom w:val="single" w:sz="2" w:space="0" w:color="4BACC6" w:themeColor="accent5"/>
              <w:right w:val="nil"/>
            </w:tcBorders>
            <w:shd w:val="clear" w:color="auto" w:fill="auto"/>
            <w:vAlign w:val="center"/>
          </w:tcPr>
          <w:p w:rsidR="00CD2595" w:rsidRPr="00C667B7" w:rsidRDefault="00CD2595" w:rsidP="00067F4A">
            <w:pPr>
              <w:pStyle w:val="TableSubHeading"/>
              <w:spacing w:before="60" w:after="60"/>
              <w:ind w:left="-115" w:right="-75"/>
              <w:jc w:val="center"/>
              <w:rPr>
                <w:color w:val="31849B"/>
                <w:sz w:val="20"/>
                <w:szCs w:val="20"/>
              </w:rPr>
            </w:pPr>
          </w:p>
        </w:tc>
        <w:tc>
          <w:tcPr>
            <w:tcW w:w="992" w:type="dxa"/>
            <w:tcBorders>
              <w:top w:val="nil"/>
              <w:left w:val="nil"/>
              <w:bottom w:val="single" w:sz="2" w:space="0" w:color="4BACC6" w:themeColor="accent5"/>
              <w:right w:val="nil"/>
            </w:tcBorders>
            <w:shd w:val="clear" w:color="auto" w:fill="auto"/>
            <w:vAlign w:val="center"/>
          </w:tcPr>
          <w:p w:rsidR="00CD2595" w:rsidRPr="00C667B7" w:rsidRDefault="00CD2595" w:rsidP="00067F4A">
            <w:pPr>
              <w:pStyle w:val="TableSubHeading"/>
              <w:spacing w:before="60" w:after="60"/>
              <w:ind w:left="-115" w:right="-75"/>
              <w:jc w:val="center"/>
              <w:rPr>
                <w:color w:val="31849B"/>
                <w:sz w:val="20"/>
                <w:szCs w:val="20"/>
              </w:rPr>
            </w:pPr>
          </w:p>
        </w:tc>
      </w:tr>
      <w:tr w:rsidR="00CD2595" w:rsidRPr="00FA6E51" w:rsidTr="00CD2595">
        <w:trPr>
          <w:trHeight w:val="313"/>
        </w:trPr>
        <w:tc>
          <w:tcPr>
            <w:tcW w:w="2127" w:type="dxa"/>
            <w:tcBorders>
              <w:top w:val="single" w:sz="2" w:space="0" w:color="4BACC6" w:themeColor="accent5"/>
              <w:bottom w:val="single" w:sz="2" w:space="0" w:color="007073"/>
            </w:tcBorders>
            <w:shd w:val="clear" w:color="auto" w:fill="EEEEED"/>
            <w:vAlign w:val="center"/>
          </w:tcPr>
          <w:p w:rsidR="00CD2595" w:rsidRPr="00C667B7" w:rsidRDefault="00CD2595" w:rsidP="00067F4A">
            <w:pPr>
              <w:pStyle w:val="TableSubHeading"/>
              <w:spacing w:before="60" w:after="60"/>
              <w:rPr>
                <w:color w:val="31849B"/>
                <w:sz w:val="20"/>
                <w:szCs w:val="20"/>
              </w:rPr>
            </w:pPr>
            <w:r>
              <w:rPr>
                <w:color w:val="31849B"/>
                <w:sz w:val="20"/>
                <w:szCs w:val="20"/>
              </w:rPr>
              <w:t xml:space="preserve">Months after starting in the Youth Service </w:t>
            </w:r>
          </w:p>
        </w:tc>
        <w:tc>
          <w:tcPr>
            <w:tcW w:w="1276" w:type="dxa"/>
            <w:tcBorders>
              <w:top w:val="single" w:sz="2" w:space="0" w:color="4BACC6" w:themeColor="accent5"/>
              <w:bottom w:val="single" w:sz="2" w:space="0" w:color="007073"/>
            </w:tcBorders>
            <w:shd w:val="clear" w:color="auto" w:fill="EEEEED"/>
            <w:vAlign w:val="center"/>
          </w:tcPr>
          <w:p w:rsidR="00CD2595" w:rsidRPr="00C667B7" w:rsidRDefault="00CD2595" w:rsidP="00067F4A">
            <w:pPr>
              <w:pStyle w:val="TableSubHeading"/>
              <w:tabs>
                <w:tab w:val="left" w:pos="1329"/>
              </w:tabs>
              <w:spacing w:before="60" w:after="60"/>
              <w:jc w:val="center"/>
              <w:rPr>
                <w:color w:val="31849B"/>
                <w:sz w:val="20"/>
                <w:szCs w:val="20"/>
              </w:rPr>
            </w:pPr>
            <w:r w:rsidRPr="00C667B7">
              <w:rPr>
                <w:color w:val="31849B"/>
                <w:sz w:val="20"/>
                <w:szCs w:val="20"/>
              </w:rPr>
              <w:t>YP</w:t>
            </w:r>
            <w:r>
              <w:rPr>
                <w:color w:val="31849B"/>
                <w:sz w:val="20"/>
                <w:szCs w:val="20"/>
              </w:rPr>
              <w:t xml:space="preserve"> (%)</w:t>
            </w:r>
          </w:p>
        </w:tc>
        <w:tc>
          <w:tcPr>
            <w:tcW w:w="1276" w:type="dxa"/>
            <w:tcBorders>
              <w:top w:val="single" w:sz="2" w:space="0" w:color="4BACC6" w:themeColor="accent5"/>
              <w:bottom w:val="single" w:sz="2" w:space="0" w:color="007073"/>
            </w:tcBorders>
            <w:shd w:val="clear" w:color="auto" w:fill="EEEEED"/>
            <w:vAlign w:val="center"/>
          </w:tcPr>
          <w:p w:rsidR="00CD2595" w:rsidRPr="00C667B7" w:rsidRDefault="00CD2595" w:rsidP="00067F4A">
            <w:pPr>
              <w:pStyle w:val="TableSubHeading"/>
              <w:spacing w:before="60" w:after="60"/>
              <w:ind w:left="-115" w:right="-75"/>
              <w:jc w:val="center"/>
              <w:rPr>
                <w:color w:val="31849B"/>
                <w:sz w:val="20"/>
                <w:szCs w:val="20"/>
              </w:rPr>
            </w:pPr>
            <w:r w:rsidRPr="00C667B7">
              <w:rPr>
                <w:color w:val="31849B"/>
                <w:sz w:val="20"/>
                <w:szCs w:val="20"/>
              </w:rPr>
              <w:t xml:space="preserve">YPP </w:t>
            </w:r>
            <w:r>
              <w:rPr>
                <w:color w:val="31849B"/>
                <w:sz w:val="20"/>
                <w:szCs w:val="20"/>
              </w:rPr>
              <w:t>(%)</w:t>
            </w:r>
          </w:p>
        </w:tc>
        <w:tc>
          <w:tcPr>
            <w:tcW w:w="992" w:type="dxa"/>
            <w:tcBorders>
              <w:top w:val="single" w:sz="2" w:space="0" w:color="4BACC6" w:themeColor="accent5"/>
              <w:bottom w:val="single" w:sz="2" w:space="0" w:color="007073"/>
            </w:tcBorders>
            <w:shd w:val="clear" w:color="auto" w:fill="EEEEED"/>
            <w:vAlign w:val="center"/>
          </w:tcPr>
          <w:p w:rsidR="00CD2595" w:rsidRPr="00C667B7" w:rsidRDefault="00CD2595" w:rsidP="00067F4A">
            <w:pPr>
              <w:pStyle w:val="TableSubHeading"/>
              <w:spacing w:before="60" w:after="60"/>
              <w:ind w:left="-115" w:right="-75"/>
              <w:jc w:val="center"/>
              <w:rPr>
                <w:color w:val="31849B"/>
                <w:sz w:val="20"/>
                <w:szCs w:val="20"/>
              </w:rPr>
            </w:pPr>
            <w:r w:rsidRPr="00C667B7">
              <w:rPr>
                <w:color w:val="31849B"/>
                <w:sz w:val="20"/>
                <w:szCs w:val="20"/>
              </w:rPr>
              <w:t>NEET</w:t>
            </w:r>
            <w:r>
              <w:rPr>
                <w:color w:val="31849B"/>
                <w:sz w:val="20"/>
                <w:szCs w:val="20"/>
              </w:rPr>
              <w:t xml:space="preserve"> (%)</w:t>
            </w:r>
          </w:p>
        </w:tc>
      </w:tr>
      <w:tr w:rsidR="00CD2595" w:rsidRPr="00FA6E51" w:rsidTr="00CD2595">
        <w:trPr>
          <w:trHeight w:val="350"/>
        </w:trPr>
        <w:tc>
          <w:tcPr>
            <w:tcW w:w="2127" w:type="dxa"/>
            <w:tcBorders>
              <w:top w:val="single" w:sz="2" w:space="0" w:color="007073"/>
            </w:tcBorders>
            <w:vAlign w:val="center"/>
          </w:tcPr>
          <w:p w:rsidR="00CD2595" w:rsidRPr="00C667B7" w:rsidRDefault="00CD2595" w:rsidP="00067F4A">
            <w:pPr>
              <w:pStyle w:val="BodyText"/>
              <w:spacing w:before="60" w:after="60" w:line="240" w:lineRule="auto"/>
              <w:rPr>
                <w:color w:val="auto"/>
                <w:sz w:val="20"/>
                <w:szCs w:val="20"/>
              </w:rPr>
            </w:pPr>
            <w:r>
              <w:rPr>
                <w:color w:val="auto"/>
                <w:sz w:val="20"/>
                <w:szCs w:val="20"/>
              </w:rPr>
              <w:t>2</w:t>
            </w:r>
          </w:p>
        </w:tc>
        <w:tc>
          <w:tcPr>
            <w:tcW w:w="1276" w:type="dxa"/>
            <w:tcBorders>
              <w:top w:val="single" w:sz="2" w:space="0" w:color="007073"/>
            </w:tcBorders>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54</w:t>
            </w:r>
          </w:p>
        </w:tc>
        <w:tc>
          <w:tcPr>
            <w:tcW w:w="1276" w:type="dxa"/>
            <w:tcBorders>
              <w:top w:val="single" w:sz="2" w:space="0" w:color="007073"/>
            </w:tcBorders>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43</w:t>
            </w:r>
          </w:p>
        </w:tc>
        <w:tc>
          <w:tcPr>
            <w:tcW w:w="992" w:type="dxa"/>
            <w:tcBorders>
              <w:top w:val="single" w:sz="2" w:space="0" w:color="007073"/>
            </w:tcBorders>
          </w:tcPr>
          <w:p w:rsidR="00CD2595" w:rsidRPr="00C667B7" w:rsidRDefault="00CD2595" w:rsidP="00067F4A">
            <w:pPr>
              <w:pStyle w:val="TableText"/>
              <w:spacing w:before="60" w:after="60"/>
              <w:jc w:val="center"/>
              <w:rPr>
                <w:color w:val="auto"/>
                <w:sz w:val="20"/>
                <w:szCs w:val="20"/>
              </w:rPr>
            </w:pPr>
            <w:r>
              <w:rPr>
                <w:color w:val="auto"/>
                <w:sz w:val="20"/>
                <w:szCs w:val="20"/>
              </w:rPr>
              <w:t>63</w:t>
            </w:r>
          </w:p>
        </w:tc>
      </w:tr>
      <w:tr w:rsidR="00CD2595" w:rsidRPr="00FA6E51" w:rsidTr="00067F4A">
        <w:trPr>
          <w:trHeight w:val="350"/>
        </w:trPr>
        <w:tc>
          <w:tcPr>
            <w:tcW w:w="2127" w:type="dxa"/>
            <w:vAlign w:val="center"/>
          </w:tcPr>
          <w:p w:rsidR="00CD2595" w:rsidRPr="00C667B7" w:rsidRDefault="00CD2595" w:rsidP="00067F4A">
            <w:pPr>
              <w:pStyle w:val="BodyText"/>
              <w:spacing w:before="60" w:after="60" w:line="240" w:lineRule="auto"/>
              <w:rPr>
                <w:color w:val="auto"/>
                <w:sz w:val="20"/>
                <w:szCs w:val="20"/>
              </w:rPr>
            </w:pPr>
            <w:r>
              <w:rPr>
                <w:color w:val="auto"/>
                <w:sz w:val="20"/>
                <w:szCs w:val="20"/>
              </w:rPr>
              <w:t>4</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65</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51</w:t>
            </w:r>
          </w:p>
        </w:tc>
        <w:tc>
          <w:tcPr>
            <w:tcW w:w="992" w:type="dxa"/>
          </w:tcPr>
          <w:p w:rsidR="00CD2595" w:rsidRPr="00C667B7" w:rsidRDefault="00CD2595" w:rsidP="00067F4A">
            <w:pPr>
              <w:pStyle w:val="TableText"/>
              <w:spacing w:before="60" w:after="60"/>
              <w:jc w:val="center"/>
              <w:rPr>
                <w:color w:val="auto"/>
                <w:sz w:val="20"/>
                <w:szCs w:val="20"/>
              </w:rPr>
            </w:pPr>
            <w:r>
              <w:rPr>
                <w:color w:val="auto"/>
                <w:sz w:val="20"/>
                <w:szCs w:val="20"/>
              </w:rPr>
              <w:t>73</w:t>
            </w:r>
          </w:p>
        </w:tc>
      </w:tr>
      <w:tr w:rsidR="00CD2595" w:rsidRPr="00FA6E51" w:rsidTr="00067F4A">
        <w:trPr>
          <w:trHeight w:val="350"/>
        </w:trPr>
        <w:tc>
          <w:tcPr>
            <w:tcW w:w="2127" w:type="dxa"/>
            <w:vAlign w:val="center"/>
          </w:tcPr>
          <w:p w:rsidR="00CD2595" w:rsidRPr="00C667B7" w:rsidRDefault="00CD2595" w:rsidP="00067F4A">
            <w:pPr>
              <w:pStyle w:val="BodyText"/>
              <w:spacing w:before="60" w:after="60" w:line="240" w:lineRule="auto"/>
              <w:rPr>
                <w:color w:val="auto"/>
                <w:sz w:val="20"/>
                <w:szCs w:val="20"/>
              </w:rPr>
            </w:pPr>
            <w:r>
              <w:rPr>
                <w:color w:val="auto"/>
                <w:sz w:val="20"/>
                <w:szCs w:val="20"/>
              </w:rPr>
              <w:t>6</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75</w:t>
            </w:r>
          </w:p>
        </w:tc>
        <w:tc>
          <w:tcPr>
            <w:tcW w:w="1276" w:type="dxa"/>
            <w:shd w:val="clear" w:color="auto" w:fill="auto"/>
            <w:vAlign w:val="center"/>
          </w:tcPr>
          <w:p w:rsidR="00CD2595" w:rsidRPr="00C667B7" w:rsidRDefault="00CD2595" w:rsidP="00067F4A">
            <w:pPr>
              <w:pStyle w:val="TableText"/>
              <w:spacing w:before="60" w:after="60"/>
              <w:jc w:val="center"/>
              <w:rPr>
                <w:color w:val="auto"/>
                <w:sz w:val="20"/>
                <w:szCs w:val="20"/>
              </w:rPr>
            </w:pPr>
            <w:r>
              <w:rPr>
                <w:color w:val="auto"/>
                <w:sz w:val="20"/>
                <w:szCs w:val="20"/>
              </w:rPr>
              <w:t>60</w:t>
            </w:r>
          </w:p>
        </w:tc>
        <w:tc>
          <w:tcPr>
            <w:tcW w:w="992" w:type="dxa"/>
          </w:tcPr>
          <w:p w:rsidR="00CD2595" w:rsidRPr="00C667B7" w:rsidRDefault="00CD2595" w:rsidP="00067F4A">
            <w:pPr>
              <w:pStyle w:val="TableText"/>
              <w:spacing w:before="60" w:after="60"/>
              <w:jc w:val="center"/>
              <w:rPr>
                <w:color w:val="auto"/>
                <w:sz w:val="20"/>
                <w:szCs w:val="20"/>
              </w:rPr>
            </w:pPr>
            <w:r>
              <w:rPr>
                <w:color w:val="auto"/>
                <w:sz w:val="20"/>
                <w:szCs w:val="20"/>
              </w:rPr>
              <w:t>81</w:t>
            </w:r>
          </w:p>
        </w:tc>
      </w:tr>
      <w:tr w:rsidR="00CD2595" w:rsidRPr="00FA6E51" w:rsidTr="00067F4A">
        <w:trPr>
          <w:trHeight w:val="371"/>
        </w:trPr>
        <w:tc>
          <w:tcPr>
            <w:tcW w:w="2127" w:type="dxa"/>
            <w:vAlign w:val="center"/>
          </w:tcPr>
          <w:p w:rsidR="00CD2595" w:rsidRPr="008D22E1" w:rsidRDefault="00CD2595" w:rsidP="00067F4A">
            <w:pPr>
              <w:pStyle w:val="BodyText"/>
              <w:spacing w:before="60" w:after="60" w:line="240" w:lineRule="auto"/>
              <w:rPr>
                <w:color w:val="auto"/>
                <w:sz w:val="20"/>
                <w:szCs w:val="20"/>
              </w:rPr>
            </w:pPr>
            <w:r>
              <w:rPr>
                <w:color w:val="auto"/>
                <w:sz w:val="20"/>
                <w:szCs w:val="20"/>
              </w:rPr>
              <w:t>8</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79</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66</w:t>
            </w:r>
          </w:p>
        </w:tc>
        <w:tc>
          <w:tcPr>
            <w:tcW w:w="992" w:type="dxa"/>
          </w:tcPr>
          <w:p w:rsidR="00CD2595" w:rsidRPr="005B2018" w:rsidRDefault="00CD2595" w:rsidP="00067F4A">
            <w:pPr>
              <w:pStyle w:val="TableText"/>
              <w:spacing w:before="60" w:after="60"/>
              <w:jc w:val="center"/>
              <w:rPr>
                <w:color w:val="auto"/>
                <w:sz w:val="20"/>
                <w:szCs w:val="20"/>
              </w:rPr>
            </w:pPr>
            <w:r w:rsidRPr="005B2018">
              <w:rPr>
                <w:color w:val="auto"/>
                <w:sz w:val="20"/>
                <w:szCs w:val="20"/>
              </w:rPr>
              <w:t>85</w:t>
            </w:r>
          </w:p>
        </w:tc>
      </w:tr>
      <w:tr w:rsidR="00CD2595" w:rsidRPr="00FA6E51" w:rsidTr="00067F4A">
        <w:trPr>
          <w:trHeight w:val="371"/>
        </w:trPr>
        <w:tc>
          <w:tcPr>
            <w:tcW w:w="2127" w:type="dxa"/>
            <w:vAlign w:val="center"/>
          </w:tcPr>
          <w:p w:rsidR="00CD2595" w:rsidRPr="008D22E1" w:rsidRDefault="00CD2595" w:rsidP="00067F4A">
            <w:pPr>
              <w:pStyle w:val="BodyText"/>
              <w:spacing w:before="60" w:after="60" w:line="240" w:lineRule="auto"/>
              <w:rPr>
                <w:color w:val="auto"/>
                <w:sz w:val="20"/>
                <w:szCs w:val="20"/>
              </w:rPr>
            </w:pPr>
            <w:r>
              <w:rPr>
                <w:color w:val="auto"/>
                <w:sz w:val="20"/>
                <w:szCs w:val="20"/>
              </w:rPr>
              <w:t>10</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83</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74</w:t>
            </w:r>
          </w:p>
        </w:tc>
        <w:tc>
          <w:tcPr>
            <w:tcW w:w="992" w:type="dxa"/>
          </w:tcPr>
          <w:p w:rsidR="00CD2595" w:rsidRPr="005B2018" w:rsidRDefault="00CD2595" w:rsidP="00067F4A">
            <w:pPr>
              <w:pStyle w:val="TableText"/>
              <w:spacing w:before="60" w:after="60"/>
              <w:jc w:val="center"/>
              <w:rPr>
                <w:color w:val="auto"/>
                <w:sz w:val="20"/>
                <w:szCs w:val="20"/>
              </w:rPr>
            </w:pPr>
            <w:r w:rsidRPr="005B2018">
              <w:rPr>
                <w:color w:val="auto"/>
                <w:sz w:val="20"/>
                <w:szCs w:val="20"/>
              </w:rPr>
              <w:t>87</w:t>
            </w:r>
          </w:p>
        </w:tc>
      </w:tr>
      <w:tr w:rsidR="00CD2595" w:rsidRPr="00FA6E51" w:rsidTr="00067F4A">
        <w:trPr>
          <w:trHeight w:val="371"/>
        </w:trPr>
        <w:tc>
          <w:tcPr>
            <w:tcW w:w="2127" w:type="dxa"/>
            <w:vAlign w:val="center"/>
          </w:tcPr>
          <w:p w:rsidR="00CD2595" w:rsidRPr="008D22E1" w:rsidRDefault="00CD2595" w:rsidP="00067F4A">
            <w:pPr>
              <w:pStyle w:val="BodyText"/>
              <w:spacing w:before="60" w:after="60" w:line="240" w:lineRule="auto"/>
              <w:rPr>
                <w:color w:val="auto"/>
                <w:sz w:val="20"/>
                <w:szCs w:val="20"/>
              </w:rPr>
            </w:pPr>
            <w:r w:rsidRPr="008D22E1">
              <w:rPr>
                <w:color w:val="auto"/>
                <w:sz w:val="20"/>
                <w:szCs w:val="20"/>
              </w:rPr>
              <w:t>12</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85</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79</w:t>
            </w:r>
          </w:p>
        </w:tc>
        <w:tc>
          <w:tcPr>
            <w:tcW w:w="992" w:type="dxa"/>
          </w:tcPr>
          <w:p w:rsidR="00CD2595" w:rsidRPr="005B2018" w:rsidRDefault="00CD2595" w:rsidP="00067F4A">
            <w:pPr>
              <w:pStyle w:val="TableText"/>
              <w:spacing w:before="60" w:after="60"/>
              <w:jc w:val="center"/>
              <w:rPr>
                <w:color w:val="auto"/>
                <w:sz w:val="20"/>
                <w:szCs w:val="20"/>
              </w:rPr>
            </w:pPr>
            <w:r w:rsidRPr="005B2018">
              <w:rPr>
                <w:color w:val="auto"/>
                <w:sz w:val="20"/>
                <w:szCs w:val="20"/>
              </w:rPr>
              <w:t>88</w:t>
            </w:r>
          </w:p>
        </w:tc>
      </w:tr>
      <w:tr w:rsidR="00CD2595" w:rsidRPr="00FA6E51" w:rsidTr="00067F4A">
        <w:trPr>
          <w:trHeight w:val="371"/>
        </w:trPr>
        <w:tc>
          <w:tcPr>
            <w:tcW w:w="2127" w:type="dxa"/>
            <w:vAlign w:val="center"/>
          </w:tcPr>
          <w:p w:rsidR="00CD2595" w:rsidRPr="008D22E1" w:rsidRDefault="00CD2595" w:rsidP="00067F4A">
            <w:pPr>
              <w:pStyle w:val="BodyText"/>
              <w:spacing w:before="60" w:after="60" w:line="240" w:lineRule="auto"/>
              <w:rPr>
                <w:color w:val="auto"/>
                <w:sz w:val="20"/>
                <w:szCs w:val="20"/>
              </w:rPr>
            </w:pPr>
            <w:r w:rsidRPr="008D22E1">
              <w:rPr>
                <w:color w:val="auto"/>
                <w:sz w:val="20"/>
                <w:szCs w:val="20"/>
              </w:rPr>
              <w:t>14</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83</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81</w:t>
            </w:r>
          </w:p>
        </w:tc>
        <w:tc>
          <w:tcPr>
            <w:tcW w:w="992" w:type="dxa"/>
          </w:tcPr>
          <w:p w:rsidR="00CD2595" w:rsidRPr="005B2018" w:rsidRDefault="00CD2595" w:rsidP="00067F4A">
            <w:pPr>
              <w:pStyle w:val="TableText"/>
              <w:spacing w:before="60" w:after="60"/>
              <w:jc w:val="center"/>
              <w:rPr>
                <w:color w:val="auto"/>
                <w:sz w:val="20"/>
                <w:szCs w:val="20"/>
              </w:rPr>
            </w:pPr>
            <w:r w:rsidRPr="005B2018">
              <w:rPr>
                <w:color w:val="auto"/>
                <w:sz w:val="20"/>
                <w:szCs w:val="20"/>
              </w:rPr>
              <w:t>88</w:t>
            </w:r>
          </w:p>
        </w:tc>
      </w:tr>
      <w:tr w:rsidR="00CD2595" w:rsidRPr="00FA6E51" w:rsidTr="00067F4A">
        <w:trPr>
          <w:trHeight w:val="371"/>
        </w:trPr>
        <w:tc>
          <w:tcPr>
            <w:tcW w:w="2127" w:type="dxa"/>
            <w:vAlign w:val="center"/>
          </w:tcPr>
          <w:p w:rsidR="00CD2595" w:rsidRPr="008D22E1" w:rsidRDefault="00CD2595" w:rsidP="00067F4A">
            <w:pPr>
              <w:pStyle w:val="BodyText"/>
              <w:spacing w:before="60" w:after="60" w:line="240" w:lineRule="auto"/>
              <w:rPr>
                <w:color w:val="auto"/>
                <w:sz w:val="20"/>
                <w:szCs w:val="20"/>
              </w:rPr>
            </w:pPr>
            <w:r w:rsidRPr="008D22E1">
              <w:rPr>
                <w:color w:val="auto"/>
                <w:sz w:val="20"/>
                <w:szCs w:val="20"/>
              </w:rPr>
              <w:t>16</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80</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83</w:t>
            </w:r>
          </w:p>
        </w:tc>
        <w:tc>
          <w:tcPr>
            <w:tcW w:w="992" w:type="dxa"/>
          </w:tcPr>
          <w:p w:rsidR="00CD2595" w:rsidRPr="005B2018" w:rsidRDefault="00CD2595" w:rsidP="00067F4A">
            <w:pPr>
              <w:pStyle w:val="TableText"/>
              <w:spacing w:before="60" w:after="60"/>
              <w:jc w:val="center"/>
              <w:rPr>
                <w:color w:val="auto"/>
                <w:sz w:val="20"/>
                <w:szCs w:val="20"/>
              </w:rPr>
            </w:pPr>
            <w:r w:rsidRPr="005B2018">
              <w:rPr>
                <w:color w:val="auto"/>
                <w:sz w:val="20"/>
                <w:szCs w:val="20"/>
              </w:rPr>
              <w:t>90</w:t>
            </w:r>
          </w:p>
        </w:tc>
      </w:tr>
      <w:tr w:rsidR="00CD2595" w:rsidRPr="00FA6E51" w:rsidTr="00067F4A">
        <w:trPr>
          <w:trHeight w:val="371"/>
        </w:trPr>
        <w:tc>
          <w:tcPr>
            <w:tcW w:w="2127" w:type="dxa"/>
            <w:vAlign w:val="center"/>
          </w:tcPr>
          <w:p w:rsidR="00CD2595" w:rsidRPr="008D22E1" w:rsidRDefault="00CD2595" w:rsidP="00067F4A">
            <w:pPr>
              <w:pStyle w:val="BodyText"/>
              <w:spacing w:before="60" w:after="60" w:line="240" w:lineRule="auto"/>
              <w:rPr>
                <w:color w:val="auto"/>
                <w:sz w:val="20"/>
                <w:szCs w:val="20"/>
              </w:rPr>
            </w:pPr>
            <w:r w:rsidRPr="008D22E1">
              <w:rPr>
                <w:color w:val="auto"/>
                <w:sz w:val="20"/>
                <w:szCs w:val="20"/>
              </w:rPr>
              <w:t>18</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74</w:t>
            </w:r>
          </w:p>
        </w:tc>
        <w:tc>
          <w:tcPr>
            <w:tcW w:w="1276" w:type="dxa"/>
            <w:shd w:val="clear" w:color="auto" w:fill="auto"/>
            <w:vAlign w:val="center"/>
          </w:tcPr>
          <w:p w:rsidR="00CD2595" w:rsidRPr="005B2018" w:rsidRDefault="00CD2595" w:rsidP="00067F4A">
            <w:pPr>
              <w:pStyle w:val="TableText"/>
              <w:spacing w:before="60" w:after="60"/>
              <w:jc w:val="center"/>
              <w:rPr>
                <w:color w:val="auto"/>
                <w:sz w:val="20"/>
                <w:szCs w:val="20"/>
              </w:rPr>
            </w:pPr>
            <w:r w:rsidRPr="005B2018">
              <w:rPr>
                <w:color w:val="auto"/>
                <w:sz w:val="20"/>
                <w:szCs w:val="20"/>
              </w:rPr>
              <w:t>81</w:t>
            </w:r>
          </w:p>
        </w:tc>
        <w:tc>
          <w:tcPr>
            <w:tcW w:w="992" w:type="dxa"/>
          </w:tcPr>
          <w:p w:rsidR="00CD2595" w:rsidRPr="005B2018" w:rsidRDefault="00CD2595" w:rsidP="00067F4A">
            <w:pPr>
              <w:pStyle w:val="TableText"/>
              <w:spacing w:before="60" w:after="60"/>
              <w:jc w:val="center"/>
              <w:rPr>
                <w:color w:val="auto"/>
                <w:sz w:val="20"/>
                <w:szCs w:val="20"/>
              </w:rPr>
            </w:pPr>
            <w:r w:rsidRPr="005B2018">
              <w:rPr>
                <w:color w:val="auto"/>
                <w:sz w:val="20"/>
                <w:szCs w:val="20"/>
              </w:rPr>
              <w:t>92</w:t>
            </w:r>
          </w:p>
        </w:tc>
      </w:tr>
    </w:tbl>
    <w:p w:rsidR="00CD2595" w:rsidRDefault="005D69D0" w:rsidP="005D69D0">
      <w:pPr>
        <w:pStyle w:val="Tablenotes"/>
        <w:ind w:left="0"/>
        <w:rPr>
          <w:color w:val="auto"/>
          <w:sz w:val="14"/>
        </w:rPr>
      </w:pPr>
      <w:r>
        <w:rPr>
          <w:noProof/>
        </w:rPr>
        <mc:AlternateContent>
          <mc:Choice Requires="wps">
            <w:drawing>
              <wp:anchor distT="0" distB="0" distL="114300" distR="114300" simplePos="0" relativeHeight="251693056" behindDoc="0" locked="0" layoutInCell="1" allowOverlap="1" wp14:anchorId="33B435A4" wp14:editId="237AB397">
                <wp:simplePos x="0" y="0"/>
                <wp:positionH relativeFrom="column">
                  <wp:posOffset>-119877</wp:posOffset>
                </wp:positionH>
                <wp:positionV relativeFrom="paragraph">
                  <wp:posOffset>828</wp:posOffset>
                </wp:positionV>
                <wp:extent cx="5740400" cy="6121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12140"/>
                        </a:xfrm>
                        <a:prstGeom prst="rect">
                          <a:avLst/>
                        </a:prstGeom>
                        <a:noFill/>
                        <a:ln w="9525">
                          <a:noFill/>
                          <a:miter lim="800000"/>
                          <a:headEnd/>
                          <a:tailEnd/>
                        </a:ln>
                      </wps:spPr>
                      <wps:txbx>
                        <w:txbxContent>
                          <w:p w:rsidR="005D69D0" w:rsidRPr="008B61BE" w:rsidRDefault="005D69D0" w:rsidP="005D69D0">
                            <w:pPr>
                              <w:spacing w:line="80" w:lineRule="atLeast"/>
                              <w:ind w:left="720" w:hanging="720"/>
                              <w:rPr>
                                <w:sz w:val="14"/>
                              </w:rPr>
                            </w:pPr>
                            <w:r w:rsidRPr="008B61BE">
                              <w:rPr>
                                <w:sz w:val="14"/>
                              </w:rPr>
                              <w:t xml:space="preserve">Note:      </w:t>
                            </w:r>
                            <w:r>
                              <w:rPr>
                                <w:sz w:val="14"/>
                              </w:rPr>
                              <w:t xml:space="preserve"> </w:t>
                            </w:r>
                            <w:r>
                              <w:rPr>
                                <w:sz w:val="14"/>
                              </w:rPr>
                              <w:tab/>
                            </w:r>
                            <w:r w:rsidRPr="008B61BE">
                              <w:rPr>
                                <w:sz w:val="14"/>
                              </w:rPr>
                              <w:t xml:space="preserve">Counts are based on data reported by Youth Service providers in the </w:t>
                            </w:r>
                            <w:r>
                              <w:rPr>
                                <w:sz w:val="14"/>
                              </w:rPr>
                              <w:t xml:space="preserve">Activity Reporting Tool (ART) and include short courses, such as obtaining a driver’s license. Counts for Education, Training and Work-based Learning are not mutually exclusive: people may participate in more than one activity. </w:t>
                            </w:r>
                          </w:p>
                          <w:p w:rsidR="005D69D0" w:rsidRDefault="005D69D0" w:rsidP="005D69D0">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5D69D0" w:rsidRPr="008B61BE" w:rsidRDefault="005D69D0" w:rsidP="005D69D0">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9.45pt;margin-top:.05pt;width:452pt;height:4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" filled="f" stroked="f">
                <v:textbox>
                  <w:txbxContent>
                    <w:p w:rsidR="005D69D0" w:rsidRPr="008B61BE" w:rsidRDefault="005D69D0" w:rsidP="005D69D0">
                      <w:pPr>
                        <w:spacing w:line="80" w:lineRule="atLeast"/>
                        <w:ind w:left="720" w:hanging="720"/>
                        <w:rPr>
                          <w:sz w:val="14"/>
                        </w:rPr>
                      </w:pPr>
                      <w:r w:rsidRPr="008B61BE">
                        <w:rPr>
                          <w:sz w:val="14"/>
                        </w:rPr>
                        <w:t xml:space="preserve">Note:      </w:t>
                      </w:r>
                      <w:r>
                        <w:rPr>
                          <w:sz w:val="14"/>
                        </w:rPr>
                        <w:t xml:space="preserve"> </w:t>
                      </w:r>
                      <w:r>
                        <w:rPr>
                          <w:sz w:val="14"/>
                        </w:rPr>
                        <w:tab/>
                      </w:r>
                      <w:r w:rsidRPr="008B61BE">
                        <w:rPr>
                          <w:sz w:val="14"/>
                        </w:rPr>
                        <w:t xml:space="preserve">Counts are based on data reported by Youth Service providers in the </w:t>
                      </w:r>
                      <w:r>
                        <w:rPr>
                          <w:sz w:val="14"/>
                        </w:rPr>
                        <w:t xml:space="preserve">Activity Reporting Tool (ART) and include short courses, such as obtaining a driver’s license. Counts for Education, Training and Work-based Learning are not mutually exclusive: people may participate in more than one activity. </w:t>
                      </w:r>
                    </w:p>
                    <w:p w:rsidR="005D69D0" w:rsidRDefault="005D69D0" w:rsidP="005D69D0">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5D69D0" w:rsidRPr="008B61BE" w:rsidRDefault="005D69D0" w:rsidP="005D69D0">
                      <w:pPr>
                        <w:pStyle w:val="BodyText"/>
                        <w:spacing w:before="0" w:line="80" w:lineRule="atLeast"/>
                        <w:rPr>
                          <w:color w:val="auto"/>
                          <w:sz w:val="14"/>
                        </w:rPr>
                      </w:pPr>
                    </w:p>
                  </w:txbxContent>
                </v:textbox>
              </v:shape>
            </w:pict>
          </mc:Fallback>
        </mc:AlternateContent>
      </w:r>
    </w:p>
    <w:p w:rsidR="00CD2595" w:rsidRDefault="00CD2595" w:rsidP="00CD2595">
      <w:pPr>
        <w:pStyle w:val="Tablenotes"/>
        <w:rPr>
          <w:noProof/>
        </w:rPr>
      </w:pPr>
    </w:p>
    <w:p w:rsidR="003845C3" w:rsidRPr="006E5C3F" w:rsidRDefault="003845C3" w:rsidP="00B5357A">
      <w:pPr>
        <w:rPr>
          <w:sz w:val="2"/>
          <w:szCs w:val="2"/>
        </w:rPr>
      </w:pPr>
    </w:p>
    <w:p w:rsidR="000A7F2C" w:rsidRPr="00B87EF5" w:rsidRDefault="008F79CC" w:rsidP="000A7F2C">
      <w:pPr>
        <w:pStyle w:val="Caption"/>
        <w:shd w:val="clear" w:color="auto" w:fill="73B5C7"/>
        <w:spacing w:before="0"/>
        <w:ind w:left="992" w:right="18" w:hanging="992"/>
        <w:rPr>
          <w:b/>
          <w:color w:val="FFFFFF" w:themeColor="background1"/>
          <w:lang w:val="en-NZ"/>
        </w:rPr>
      </w:pPr>
      <w:r>
        <w:rPr>
          <w:b/>
          <w:color w:val="FFFFFF" w:themeColor="background1"/>
          <w:lang w:val="en-NZ"/>
        </w:rPr>
        <w:lastRenderedPageBreak/>
        <w:t xml:space="preserve">Figure 1:  </w:t>
      </w:r>
      <w:r w:rsidR="000A7F2C" w:rsidRPr="00B87EF5">
        <w:rPr>
          <w:b/>
          <w:color w:val="FFFFFF" w:themeColor="background1"/>
          <w:lang w:val="en-NZ"/>
        </w:rPr>
        <w:t xml:space="preserve">Youth Service: total proportions enrolled in </w:t>
      </w:r>
      <w:r>
        <w:rPr>
          <w:b/>
          <w:color w:val="FFFFFF" w:themeColor="background1"/>
          <w:lang w:val="en-NZ"/>
        </w:rPr>
        <w:t xml:space="preserve">part-time or full-time </w:t>
      </w:r>
      <w:r w:rsidR="000A7F2C" w:rsidRPr="00B87EF5">
        <w:rPr>
          <w:b/>
          <w:color w:val="FFFFFF" w:themeColor="background1"/>
          <w:lang w:val="en-NZ"/>
        </w:rPr>
        <w:t>education, training or work-based learning</w:t>
      </w:r>
    </w:p>
    <w:p w:rsidR="000A7F2C" w:rsidRDefault="006E5C3F" w:rsidP="00B5357A">
      <w:r>
        <w:rPr>
          <w:noProof/>
          <w:lang w:eastAsia="en-NZ"/>
        </w:rPr>
        <mc:AlternateContent>
          <mc:Choice Requires="wps">
            <w:drawing>
              <wp:anchor distT="0" distB="0" distL="114300" distR="114300" simplePos="0" relativeHeight="251677696" behindDoc="0" locked="0" layoutInCell="1" allowOverlap="1" wp14:anchorId="4690171C" wp14:editId="20D36A3C">
                <wp:simplePos x="0" y="0"/>
                <wp:positionH relativeFrom="column">
                  <wp:posOffset>-231140</wp:posOffset>
                </wp:positionH>
                <wp:positionV relativeFrom="paragraph">
                  <wp:posOffset>3648075</wp:posOffset>
                </wp:positionV>
                <wp:extent cx="6164580" cy="52451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524510"/>
                        </a:xfrm>
                        <a:prstGeom prst="rect">
                          <a:avLst/>
                        </a:prstGeom>
                        <a:noFill/>
                        <a:ln w="9525">
                          <a:noFill/>
                          <a:miter lim="800000"/>
                          <a:headEnd/>
                          <a:tailEnd/>
                        </a:ln>
                      </wps:spPr>
                      <wps:txb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Default="00CD2595" w:rsidP="00CD2595">
                            <w:pPr>
                              <w:pStyle w:val="BodyText"/>
                              <w:spacing w:before="0" w:line="80" w:lineRule="atLeast"/>
                              <w:rPr>
                                <w:color w:val="auto"/>
                                <w:sz w:val="14"/>
                              </w:rPr>
                            </w:pPr>
                          </w:p>
                          <w:p w:rsidR="006E5C3F" w:rsidRDefault="006E5C3F" w:rsidP="00CD2595">
                            <w:pPr>
                              <w:pStyle w:val="BodyText"/>
                              <w:spacing w:before="0" w:line="80" w:lineRule="atLeast"/>
                              <w:rPr>
                                <w:color w:val="auto"/>
                                <w:sz w:val="14"/>
                              </w:rPr>
                            </w:pPr>
                          </w:p>
                          <w:p w:rsidR="006E5C3F" w:rsidRPr="008B61BE" w:rsidRDefault="006E5C3F"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margin-left:-18.2pt;margin-top:287.25pt;width:485.4pt;height:4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" filled="f" stroked="f">
                <v:textbo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Default="00CD2595" w:rsidP="00CD2595">
                      <w:pPr>
                        <w:pStyle w:val="BodyText"/>
                        <w:spacing w:before="0" w:line="80" w:lineRule="atLeast"/>
                        <w:rPr>
                          <w:color w:val="auto"/>
                          <w:sz w:val="14"/>
                        </w:rPr>
                      </w:pPr>
                    </w:p>
                    <w:p w:rsidR="006E5C3F" w:rsidRDefault="006E5C3F" w:rsidP="00CD2595">
                      <w:pPr>
                        <w:pStyle w:val="BodyText"/>
                        <w:spacing w:before="0" w:line="80" w:lineRule="atLeast"/>
                        <w:rPr>
                          <w:color w:val="auto"/>
                          <w:sz w:val="14"/>
                        </w:rPr>
                      </w:pPr>
                    </w:p>
                    <w:p w:rsidR="006E5C3F" w:rsidRPr="008B61BE" w:rsidRDefault="006E5C3F" w:rsidP="00CD2595">
                      <w:pPr>
                        <w:pStyle w:val="BodyText"/>
                        <w:spacing w:before="0" w:line="80" w:lineRule="atLeast"/>
                        <w:rPr>
                          <w:color w:val="auto"/>
                          <w:sz w:val="14"/>
                        </w:rPr>
                      </w:pPr>
                    </w:p>
                  </w:txbxContent>
                </v:textbox>
              </v:shape>
            </w:pict>
          </mc:Fallback>
        </mc:AlternateContent>
      </w:r>
      <w:r w:rsidR="00A92685">
        <w:rPr>
          <w:noProof/>
          <w:lang w:eastAsia="en-NZ"/>
        </w:rPr>
        <w:drawing>
          <wp:inline distT="0" distB="0" distL="0" distR="0" wp14:anchorId="372B0FCF" wp14:editId="0A0A41EF">
            <wp:extent cx="5495925" cy="36480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2595" w:rsidRDefault="00CD2595" w:rsidP="00B5357A">
      <w:pPr>
        <w:rPr>
          <w:sz w:val="24"/>
          <w:szCs w:val="24"/>
          <w:vertAlign w:val="superscript"/>
        </w:rPr>
      </w:pPr>
    </w:p>
    <w:p w:rsidR="00CD2595" w:rsidRDefault="00CD2595" w:rsidP="00B5357A">
      <w:pPr>
        <w:rPr>
          <w:sz w:val="24"/>
          <w:szCs w:val="24"/>
          <w:vertAlign w:val="superscript"/>
        </w:rPr>
      </w:pPr>
    </w:p>
    <w:p w:rsidR="000A7F2C" w:rsidRPr="00B87EF5" w:rsidRDefault="008F79CC" w:rsidP="000A7F2C">
      <w:pPr>
        <w:pStyle w:val="Caption"/>
        <w:shd w:val="clear" w:color="auto" w:fill="73B5C7"/>
        <w:spacing w:before="0"/>
        <w:ind w:left="0" w:right="18" w:firstLine="0"/>
        <w:rPr>
          <w:b/>
          <w:color w:val="FFFFFF" w:themeColor="background1"/>
          <w:lang w:val="en-NZ"/>
        </w:rPr>
      </w:pPr>
      <w:r>
        <w:rPr>
          <w:b/>
          <w:color w:val="FFFFFF" w:themeColor="background1"/>
          <w:lang w:val="en-NZ"/>
        </w:rPr>
        <w:t xml:space="preserve">Figure 2:  </w:t>
      </w:r>
      <w:r w:rsidR="000A7F2C" w:rsidRPr="00B87EF5">
        <w:rPr>
          <w:b/>
          <w:color w:val="FFFFFF" w:themeColor="background1"/>
          <w:lang w:val="en-NZ"/>
        </w:rPr>
        <w:t>Youth Payment</w:t>
      </w:r>
      <w:r>
        <w:rPr>
          <w:b/>
          <w:color w:val="FFFFFF" w:themeColor="background1"/>
          <w:lang w:val="en-NZ"/>
        </w:rPr>
        <w:t xml:space="preserve">: </w:t>
      </w:r>
      <w:r w:rsidR="000A7F2C" w:rsidRPr="00B87EF5">
        <w:rPr>
          <w:b/>
          <w:color w:val="FFFFFF" w:themeColor="background1"/>
          <w:lang w:val="en-NZ"/>
        </w:rPr>
        <w:t>proportion enrolled in each main activity</w:t>
      </w:r>
      <w:r>
        <w:rPr>
          <w:b/>
          <w:color w:val="FFFFFF" w:themeColor="background1"/>
          <w:lang w:val="en-NZ"/>
        </w:rPr>
        <w:t xml:space="preserve"> (part-time or full-time)</w:t>
      </w:r>
    </w:p>
    <w:p w:rsidR="000A7F2C" w:rsidRDefault="00CD2595" w:rsidP="00B5357A">
      <w:r>
        <w:rPr>
          <w:noProof/>
          <w:lang w:eastAsia="en-NZ"/>
        </w:rPr>
        <mc:AlternateContent>
          <mc:Choice Requires="wps">
            <w:drawing>
              <wp:anchor distT="0" distB="0" distL="114300" distR="114300" simplePos="0" relativeHeight="251675648" behindDoc="0" locked="0" layoutInCell="1" allowOverlap="1" wp14:anchorId="5B2170F9" wp14:editId="2CF7DD12">
                <wp:simplePos x="0" y="0"/>
                <wp:positionH relativeFrom="column">
                  <wp:posOffset>-182880</wp:posOffset>
                </wp:positionH>
                <wp:positionV relativeFrom="paragraph">
                  <wp:posOffset>3523587</wp:posOffset>
                </wp:positionV>
                <wp:extent cx="6268554" cy="52451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554" cy="524510"/>
                        </a:xfrm>
                        <a:prstGeom prst="rect">
                          <a:avLst/>
                        </a:prstGeom>
                        <a:noFill/>
                        <a:ln w="9525">
                          <a:noFill/>
                          <a:miter lim="800000"/>
                          <a:headEnd/>
                          <a:tailEnd/>
                        </a:ln>
                      </wps:spPr>
                      <wps:txb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14.4pt;margin-top:277.45pt;width:493.6pt;height:4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" filled="f" stroked="f">
                <v:textbo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v:textbox>
              </v:shape>
            </w:pict>
          </mc:Fallback>
        </mc:AlternateContent>
      </w:r>
      <w:r w:rsidR="000A7F2C" w:rsidRPr="00B87EF5">
        <w:rPr>
          <w:noProof/>
          <w:lang w:eastAsia="en-NZ"/>
        </w:rPr>
        <w:drawing>
          <wp:inline distT="0" distB="0" distL="0" distR="0" wp14:anchorId="47D2F47E" wp14:editId="02FA65D6">
            <wp:extent cx="5410200" cy="35718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2595" w:rsidRDefault="00CD2595" w:rsidP="00B5357A"/>
    <w:p w:rsidR="000A7F2C" w:rsidRPr="00B87EF5" w:rsidRDefault="008F79CC" w:rsidP="000A7F2C">
      <w:pPr>
        <w:pStyle w:val="Caption"/>
        <w:shd w:val="clear" w:color="auto" w:fill="73B5C7"/>
        <w:spacing w:before="0"/>
        <w:ind w:left="992" w:right="18" w:hanging="992"/>
        <w:rPr>
          <w:b/>
          <w:color w:val="FFFFFF" w:themeColor="background1"/>
          <w:lang w:val="en-NZ"/>
        </w:rPr>
      </w:pPr>
      <w:r>
        <w:rPr>
          <w:b/>
          <w:color w:val="FFFFFF" w:themeColor="background1"/>
          <w:lang w:val="en-NZ"/>
        </w:rPr>
        <w:lastRenderedPageBreak/>
        <w:t xml:space="preserve">Figure 3:  </w:t>
      </w:r>
      <w:r w:rsidR="000A7F2C" w:rsidRPr="00B87EF5">
        <w:rPr>
          <w:b/>
          <w:color w:val="FFFFFF" w:themeColor="background1"/>
          <w:lang w:val="en-NZ"/>
        </w:rPr>
        <w:t>Youth Parent Payment</w:t>
      </w:r>
      <w:r>
        <w:rPr>
          <w:b/>
          <w:color w:val="FFFFFF" w:themeColor="background1"/>
          <w:lang w:val="en-NZ"/>
        </w:rPr>
        <w:t xml:space="preserve">: </w:t>
      </w:r>
      <w:r w:rsidR="000A7F2C" w:rsidRPr="00B87EF5">
        <w:rPr>
          <w:b/>
          <w:color w:val="FFFFFF" w:themeColor="background1"/>
          <w:lang w:val="en-NZ"/>
        </w:rPr>
        <w:t>proportion enrolled in each main activity</w:t>
      </w:r>
      <w:r>
        <w:rPr>
          <w:b/>
          <w:color w:val="FFFFFF" w:themeColor="background1"/>
          <w:lang w:val="en-NZ"/>
        </w:rPr>
        <w:t xml:space="preserve"> (part-time or full-time)</w:t>
      </w:r>
    </w:p>
    <w:p w:rsidR="000A7F2C" w:rsidRDefault="00CD2595" w:rsidP="00B5357A">
      <w:r>
        <w:rPr>
          <w:noProof/>
          <w:lang w:eastAsia="en-NZ"/>
        </w:rPr>
        <mc:AlternateContent>
          <mc:Choice Requires="wps">
            <w:drawing>
              <wp:anchor distT="0" distB="0" distL="114300" distR="114300" simplePos="0" relativeHeight="251673600" behindDoc="0" locked="0" layoutInCell="1" allowOverlap="1" wp14:anchorId="16982EC3" wp14:editId="6746A037">
                <wp:simplePos x="0" y="0"/>
                <wp:positionH relativeFrom="column">
                  <wp:posOffset>-278765</wp:posOffset>
                </wp:positionH>
                <wp:positionV relativeFrom="paragraph">
                  <wp:posOffset>3613785</wp:posOffset>
                </wp:positionV>
                <wp:extent cx="6363970" cy="52451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24510"/>
                        </a:xfrm>
                        <a:prstGeom prst="rect">
                          <a:avLst/>
                        </a:prstGeom>
                        <a:noFill/>
                        <a:ln w="9525">
                          <a:noFill/>
                          <a:miter lim="800000"/>
                          <a:headEnd/>
                          <a:tailEnd/>
                        </a:ln>
                      </wps:spPr>
                      <wps:txb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21.95pt;margin-top:284.55pt;width:501.1pt;height:4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" filled="f" stroked="f">
                <v:textbo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v:textbox>
              </v:shape>
            </w:pict>
          </mc:Fallback>
        </mc:AlternateContent>
      </w:r>
      <w:r w:rsidRPr="00B87EF5">
        <w:rPr>
          <w:noProof/>
          <w:lang w:eastAsia="en-NZ"/>
        </w:rPr>
        <w:drawing>
          <wp:inline distT="0" distB="0" distL="0" distR="0" wp14:anchorId="2E0B097A" wp14:editId="78775F83">
            <wp:extent cx="5334000" cy="36480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2685" w:rsidRDefault="00A92685" w:rsidP="00B5357A"/>
    <w:p w:rsidR="00CD2595" w:rsidRDefault="00CD2595" w:rsidP="00B5357A"/>
    <w:p w:rsidR="00A92685" w:rsidRPr="00B87EF5" w:rsidRDefault="00A92685" w:rsidP="00A92685">
      <w:pPr>
        <w:pStyle w:val="Caption"/>
        <w:shd w:val="clear" w:color="auto" w:fill="73B5C7"/>
        <w:spacing w:before="0"/>
        <w:ind w:left="992" w:right="18" w:hanging="992"/>
        <w:rPr>
          <w:b/>
          <w:color w:val="FFFFFF" w:themeColor="background1"/>
          <w:lang w:val="en-NZ"/>
        </w:rPr>
      </w:pPr>
      <w:r>
        <w:rPr>
          <w:b/>
          <w:color w:val="FFFFFF" w:themeColor="background1"/>
          <w:lang w:val="en-NZ"/>
        </w:rPr>
        <w:t xml:space="preserve">Figure 4:  NEET: </w:t>
      </w:r>
      <w:r w:rsidRPr="00B87EF5">
        <w:rPr>
          <w:b/>
          <w:color w:val="FFFFFF" w:themeColor="background1"/>
          <w:lang w:val="en-NZ"/>
        </w:rPr>
        <w:t>proportion enrolled in each main activity</w:t>
      </w:r>
      <w:r>
        <w:rPr>
          <w:b/>
          <w:color w:val="FFFFFF" w:themeColor="background1"/>
          <w:lang w:val="en-NZ"/>
        </w:rPr>
        <w:t xml:space="preserve"> (part-time or full-time)</w:t>
      </w:r>
    </w:p>
    <w:p w:rsidR="00A92685" w:rsidRDefault="00CD2595" w:rsidP="00A92685">
      <w:r>
        <w:rPr>
          <w:noProof/>
          <w:lang w:eastAsia="en-NZ"/>
        </w:rPr>
        <mc:AlternateContent>
          <mc:Choice Requires="wps">
            <w:drawing>
              <wp:anchor distT="0" distB="0" distL="114300" distR="114300" simplePos="0" relativeHeight="251671552" behindDoc="0" locked="0" layoutInCell="1" allowOverlap="1" wp14:anchorId="7D7AA41B" wp14:editId="64F692BF">
                <wp:simplePos x="0" y="0"/>
                <wp:positionH relativeFrom="column">
                  <wp:posOffset>-199390</wp:posOffset>
                </wp:positionH>
                <wp:positionV relativeFrom="paragraph">
                  <wp:posOffset>3563620</wp:posOffset>
                </wp:positionV>
                <wp:extent cx="6363970" cy="52451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24510"/>
                        </a:xfrm>
                        <a:prstGeom prst="rect">
                          <a:avLst/>
                        </a:prstGeom>
                        <a:noFill/>
                        <a:ln w="9525">
                          <a:noFill/>
                          <a:miter lim="800000"/>
                          <a:headEnd/>
                          <a:tailEnd/>
                        </a:ln>
                      </wps:spPr>
                      <wps:txb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5.7pt;margin-top:280.6pt;width:501.1pt;height: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" filled="f" stroked="f">
                <v:textbo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v:textbox>
              </v:shape>
            </w:pict>
          </mc:Fallback>
        </mc:AlternateContent>
      </w:r>
      <w:r w:rsidR="00A92685">
        <w:rPr>
          <w:noProof/>
          <w:lang w:eastAsia="en-NZ"/>
        </w:rPr>
        <w:drawing>
          <wp:inline distT="0" distB="0" distL="0" distR="0" wp14:anchorId="03137E69" wp14:editId="1DE536F9">
            <wp:extent cx="5731510" cy="3552189"/>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2595" w:rsidRDefault="00CD2595">
      <w:pPr>
        <w:spacing w:before="0" w:after="200" w:line="276" w:lineRule="auto"/>
        <w:rPr>
          <w:sz w:val="24"/>
          <w:szCs w:val="24"/>
          <w:vertAlign w:val="superscript"/>
        </w:rPr>
      </w:pPr>
      <w:r>
        <w:rPr>
          <w:sz w:val="24"/>
          <w:szCs w:val="24"/>
          <w:vertAlign w:val="superscript"/>
        </w:rPr>
        <w:br w:type="page"/>
      </w:r>
    </w:p>
    <w:p w:rsidR="00CD2595" w:rsidRPr="00CD2595" w:rsidRDefault="00CD2595" w:rsidP="00CD2595">
      <w:pPr>
        <w:pStyle w:val="Caption"/>
        <w:shd w:val="clear" w:color="auto" w:fill="73B5C7"/>
        <w:spacing w:before="0"/>
        <w:ind w:left="851" w:right="-188" w:hanging="851"/>
        <w:jc w:val="both"/>
        <w:rPr>
          <w:b/>
          <w:color w:val="FFFFFF" w:themeColor="background1"/>
          <w:sz w:val="2"/>
          <w:szCs w:val="2"/>
        </w:rPr>
      </w:pPr>
      <w:r>
        <w:rPr>
          <w:b/>
          <w:color w:val="FFFFFF" w:themeColor="background1"/>
        </w:rPr>
        <w:lastRenderedPageBreak/>
        <w:t>Figure 5</w:t>
      </w:r>
      <w:r w:rsidRPr="00CD2595">
        <w:rPr>
          <w:b/>
          <w:color w:val="FFFFFF" w:themeColor="background1"/>
        </w:rPr>
        <w:t>: Proportion of participants enrolled in budgeting activities; by duration in Youth Service</w:t>
      </w:r>
    </w:p>
    <w:p w:rsidR="00CD2595" w:rsidRDefault="00CD2595" w:rsidP="00CD2595">
      <w:pPr>
        <w:spacing w:before="0" w:after="200" w:line="276" w:lineRule="auto"/>
      </w:pPr>
      <w:r>
        <w:rPr>
          <w:noProof/>
          <w:lang w:eastAsia="en-NZ"/>
        </w:rPr>
        <mc:AlternateContent>
          <mc:Choice Requires="wps">
            <w:drawing>
              <wp:anchor distT="0" distB="0" distL="114300" distR="114300" simplePos="0" relativeHeight="251669504" behindDoc="0" locked="0" layoutInCell="1" allowOverlap="1" wp14:anchorId="785405F3" wp14:editId="4A753CAE">
                <wp:simplePos x="0" y="0"/>
                <wp:positionH relativeFrom="column">
                  <wp:posOffset>-373711</wp:posOffset>
                </wp:positionH>
                <wp:positionV relativeFrom="paragraph">
                  <wp:posOffset>3502301</wp:posOffset>
                </wp:positionV>
                <wp:extent cx="6133382" cy="5245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382" cy="524510"/>
                        </a:xfrm>
                        <a:prstGeom prst="rect">
                          <a:avLst/>
                        </a:prstGeom>
                        <a:noFill/>
                        <a:ln w="9525">
                          <a:noFill/>
                          <a:miter lim="800000"/>
                          <a:headEnd/>
                          <a:tailEnd/>
                        </a:ln>
                      </wps:spPr>
                      <wps:txbx>
                        <w:txbxContent>
                          <w:p w:rsidR="00CD2595" w:rsidRDefault="00CD2595" w:rsidP="00334CFC">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334CFC">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334CFC">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29.45pt;margin-top:275.75pt;width:482.95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" filled="f" stroked="f">
                <v:textbox>
                  <w:txbxContent>
                    <w:p w:rsidR="00CD2595" w:rsidRDefault="00CD2595" w:rsidP="00334CFC">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334CFC">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334CFC">
                      <w:pPr>
                        <w:pStyle w:val="BodyText"/>
                        <w:spacing w:before="0" w:line="80" w:lineRule="atLeast"/>
                        <w:rPr>
                          <w:color w:val="auto"/>
                          <w:sz w:val="14"/>
                        </w:rPr>
                      </w:pPr>
                    </w:p>
                  </w:txbxContent>
                </v:textbox>
              </v:shape>
            </w:pict>
          </mc:Fallback>
        </mc:AlternateContent>
      </w:r>
      <w:r>
        <w:rPr>
          <w:noProof/>
          <w:lang w:eastAsia="en-NZ"/>
        </w:rPr>
        <w:drawing>
          <wp:anchor distT="0" distB="0" distL="114300" distR="114300" simplePos="0" relativeHeight="251668480" behindDoc="0" locked="0" layoutInCell="1" allowOverlap="1" wp14:anchorId="0EA5AD5D" wp14:editId="04F88D93">
            <wp:simplePos x="0" y="0"/>
            <wp:positionH relativeFrom="column">
              <wp:posOffset>-247015</wp:posOffset>
            </wp:positionH>
            <wp:positionV relativeFrom="paragraph">
              <wp:posOffset>138430</wp:posOffset>
            </wp:positionV>
            <wp:extent cx="6001385" cy="3416935"/>
            <wp:effectExtent l="0" t="0" r="0" b="0"/>
            <wp:wrapNone/>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Pr="00CD2595" w:rsidRDefault="00CD2595" w:rsidP="00CD2595"/>
    <w:p w:rsidR="00CD2595" w:rsidRDefault="00CD2595" w:rsidP="00CD2595">
      <w:pPr>
        <w:spacing w:before="0" w:after="200" w:line="276" w:lineRule="auto"/>
      </w:pPr>
    </w:p>
    <w:p w:rsidR="00CD2595" w:rsidRDefault="00CD2595" w:rsidP="00CD2595">
      <w:pPr>
        <w:pStyle w:val="Caption"/>
        <w:shd w:val="clear" w:color="auto" w:fill="73B5C7"/>
        <w:spacing w:before="0"/>
        <w:ind w:left="0" w:right="-188" w:firstLine="0"/>
        <w:jc w:val="both"/>
        <w:rPr>
          <w:b/>
          <w:color w:val="FFFFFF" w:themeColor="background1"/>
        </w:rPr>
      </w:pPr>
      <w:r>
        <w:rPr>
          <w:b/>
          <w:color w:val="FFFFFF" w:themeColor="background1"/>
        </w:rPr>
        <w:t>Figure 6</w:t>
      </w:r>
      <w:r w:rsidRPr="00CD2595">
        <w:rPr>
          <w:b/>
          <w:color w:val="FFFFFF" w:themeColor="background1"/>
        </w:rPr>
        <w:t xml:space="preserve">: Proportion of </w:t>
      </w:r>
      <w:r w:rsidRPr="00CD2595">
        <w:rPr>
          <w:b/>
          <w:bCs w:val="0"/>
          <w:color w:val="FFFFFF" w:themeColor="background1"/>
        </w:rPr>
        <w:t>YPP participants enrolled in parenting activities; by duration in Youth Service</w:t>
      </w:r>
    </w:p>
    <w:p w:rsidR="00CD2595" w:rsidRDefault="00CD2595" w:rsidP="00CD2595">
      <w:pPr>
        <w:pStyle w:val="BodyText"/>
        <w:spacing w:before="120" w:after="120"/>
        <w:ind w:right="57"/>
        <w:rPr>
          <w:rFonts w:ascii="Arial Mäori" w:eastAsia="Calibri" w:hAnsi="Arial Mäori" w:cs="Times New Roman"/>
          <w:color w:val="auto"/>
          <w:lang w:eastAsia="en-US"/>
        </w:rPr>
      </w:pPr>
      <w:r>
        <w:rPr>
          <w:noProof/>
        </w:rPr>
        <w:drawing>
          <wp:anchor distT="0" distB="0" distL="114300" distR="114300" simplePos="0" relativeHeight="251679744" behindDoc="0" locked="0" layoutInCell="1" allowOverlap="1">
            <wp:simplePos x="0" y="0"/>
            <wp:positionH relativeFrom="column">
              <wp:posOffset>-180505</wp:posOffset>
            </wp:positionH>
            <wp:positionV relativeFrom="paragraph">
              <wp:posOffset>0</wp:posOffset>
            </wp:positionV>
            <wp:extent cx="5941060" cy="28136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1060" cy="281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p>
    <w:p w:rsidR="00CD2595" w:rsidRDefault="00CD2595" w:rsidP="00CD2595">
      <w:pPr>
        <w:pStyle w:val="bullet10"/>
        <w:spacing w:after="120"/>
        <w:ind w:right="-84"/>
        <w:rPr>
          <w:rFonts w:ascii="Arial Mäori" w:eastAsia="Calibri" w:hAnsi="Arial Mäori" w:cs="Times New Roman"/>
          <w:lang w:eastAsia="en-US"/>
        </w:rPr>
      </w:pPr>
      <w:r>
        <w:rPr>
          <w:rFonts w:ascii="Arial Mäori" w:eastAsia="Calibri" w:hAnsi="Arial Mäori" w:cs="Times New Roman"/>
          <w:noProof/>
        </w:rPr>
        <mc:AlternateContent>
          <mc:Choice Requires="wps">
            <w:drawing>
              <wp:anchor distT="0" distB="0" distL="114300" distR="114300" simplePos="0" relativeHeight="251680768" behindDoc="0" locked="0" layoutInCell="1" allowOverlap="1">
                <wp:simplePos x="0" y="0"/>
                <wp:positionH relativeFrom="column">
                  <wp:posOffset>-183487</wp:posOffset>
                </wp:positionH>
                <wp:positionV relativeFrom="paragraph">
                  <wp:posOffset>35229</wp:posOffset>
                </wp:positionV>
                <wp:extent cx="6363970" cy="5245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24510"/>
                        </a:xfrm>
                        <a:prstGeom prst="rect">
                          <a:avLst/>
                        </a:prstGeom>
                        <a:noFill/>
                        <a:ln w="9525">
                          <a:noFill/>
                          <a:miter lim="800000"/>
                          <a:headEnd/>
                          <a:tailEnd/>
                        </a:ln>
                      </wps:spPr>
                      <wps:txb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14.45pt;margin-top:2.75pt;width:501.1pt;height:4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" filled="f" stroked="f">
                <v:textbox>
                  <w:txbxContent>
                    <w:p w:rsidR="00CD2595" w:rsidRDefault="00CD2595" w:rsidP="00CD2595">
                      <w:pPr>
                        <w:pStyle w:val="BodyText"/>
                        <w:spacing w:before="0" w:line="240" w:lineRule="auto"/>
                        <w:ind w:left="720" w:right="-85" w:hanging="720"/>
                        <w:rPr>
                          <w:color w:val="auto"/>
                          <w:sz w:val="14"/>
                          <w:lang w:val="en-GB"/>
                        </w:rPr>
                      </w:pPr>
                      <w:r w:rsidRPr="008B61BE">
                        <w:rPr>
                          <w:color w:val="auto"/>
                          <w:sz w:val="14"/>
                        </w:rPr>
                        <w:t xml:space="preserve">Note:      </w:t>
                      </w:r>
                      <w:r>
                        <w:rPr>
                          <w:color w:val="auto"/>
                          <w:sz w:val="14"/>
                        </w:rPr>
                        <w:tab/>
                      </w:r>
                      <w:r w:rsidRPr="008C6F6A">
                        <w:rPr>
                          <w:color w:val="auto"/>
                          <w:sz w:val="14"/>
                          <w:lang w:val="en-GB"/>
                        </w:rPr>
                        <w:t>The total number of participants enrolled in the Youth Service generally declines across the 18-month period</w:t>
                      </w:r>
                      <w:r>
                        <w:rPr>
                          <w:color w:val="auto"/>
                          <w:sz w:val="14"/>
                          <w:lang w:val="en-GB"/>
                        </w:rPr>
                        <w:t>. T</w:t>
                      </w:r>
                      <w:r w:rsidRPr="008C6F6A">
                        <w:rPr>
                          <w:color w:val="auto"/>
                          <w:sz w:val="14"/>
                          <w:lang w:val="en-GB"/>
                        </w:rPr>
                        <w:t>his means that small variations in activity enrolment will have a larger effect on the percentage enrolled at later months, co</w:t>
                      </w:r>
                      <w:r>
                        <w:rPr>
                          <w:color w:val="auto"/>
                          <w:sz w:val="14"/>
                          <w:lang w:val="en-GB"/>
                        </w:rPr>
                        <w:t xml:space="preserve">mpared to the earlier months.  </w:t>
                      </w:r>
                      <w:r w:rsidRPr="008C6F6A">
                        <w:rPr>
                          <w:color w:val="auto"/>
                          <w:sz w:val="14"/>
                          <w:lang w:val="en-GB"/>
                        </w:rPr>
                        <w:t xml:space="preserve">This effect is purely statistical in nature. </w:t>
                      </w:r>
                    </w:p>
                    <w:p w:rsidR="00CD2595" w:rsidRDefault="00CD2595" w:rsidP="00CD2595">
                      <w:pPr>
                        <w:pStyle w:val="BodyText"/>
                        <w:spacing w:before="0" w:line="80" w:lineRule="atLeast"/>
                        <w:rPr>
                          <w:color w:val="auto"/>
                          <w:sz w:val="14"/>
                        </w:rPr>
                      </w:pPr>
                      <w:r w:rsidRPr="008B61BE">
                        <w:rPr>
                          <w:color w:val="auto"/>
                          <w:sz w:val="14"/>
                        </w:rPr>
                        <w:t xml:space="preserve">Source: </w:t>
                      </w:r>
                      <w:r>
                        <w:rPr>
                          <w:color w:val="auto"/>
                          <w:sz w:val="14"/>
                        </w:rPr>
                        <w:tab/>
                      </w:r>
                      <w:r w:rsidRPr="008B61BE">
                        <w:rPr>
                          <w:color w:val="auto"/>
                          <w:sz w:val="14"/>
                        </w:rPr>
                        <w:t xml:space="preserve">Activity Reporting Tool (ART), MSD </w:t>
                      </w:r>
                    </w:p>
                    <w:p w:rsidR="00CD2595" w:rsidRPr="008B61BE" w:rsidRDefault="00CD2595" w:rsidP="00CD2595">
                      <w:pPr>
                        <w:pStyle w:val="BodyText"/>
                        <w:spacing w:before="0" w:line="80" w:lineRule="atLeast"/>
                        <w:rPr>
                          <w:color w:val="auto"/>
                          <w:sz w:val="14"/>
                        </w:rPr>
                      </w:pPr>
                    </w:p>
                  </w:txbxContent>
                </v:textbox>
              </v:shape>
            </w:pict>
          </mc:Fallback>
        </mc:AlternateContent>
      </w:r>
    </w:p>
    <w:p w:rsidR="00CD2595" w:rsidRPr="00CB0968" w:rsidRDefault="00CD2595" w:rsidP="00CD2595">
      <w:pPr>
        <w:pStyle w:val="BodyText"/>
        <w:ind w:right="3"/>
        <w:rPr>
          <w:color w:val="auto"/>
        </w:rPr>
      </w:pPr>
    </w:p>
    <w:p w:rsidR="000A7F2C" w:rsidRPr="00B87EF5" w:rsidRDefault="000A7F2C" w:rsidP="00A721DB">
      <w:pPr>
        <w:pStyle w:val="Caption"/>
        <w:shd w:val="clear" w:color="auto" w:fill="73B5C7"/>
        <w:spacing w:before="0"/>
        <w:ind w:left="992" w:right="17" w:hanging="992"/>
        <w:rPr>
          <w:b/>
          <w:color w:val="FFFFFF" w:themeColor="background1"/>
          <w:lang w:val="en-NZ"/>
        </w:rPr>
      </w:pPr>
      <w:r w:rsidRPr="00B87EF5">
        <w:rPr>
          <w:b/>
          <w:color w:val="FFFFFF" w:themeColor="background1"/>
          <w:lang w:val="en-NZ"/>
        </w:rPr>
        <w:lastRenderedPageBreak/>
        <w:t xml:space="preserve">Figure </w:t>
      </w:r>
      <w:r w:rsidR="00CD2595">
        <w:rPr>
          <w:b/>
          <w:color w:val="FFFFFF" w:themeColor="background1"/>
          <w:lang w:val="en-NZ"/>
        </w:rPr>
        <w:t>7</w:t>
      </w:r>
      <w:r w:rsidRPr="00B87EF5">
        <w:rPr>
          <w:b/>
          <w:color w:val="FFFFFF" w:themeColor="background1"/>
          <w:lang w:val="en-NZ"/>
        </w:rPr>
        <w:t>:</w:t>
      </w:r>
      <w:r w:rsidRPr="00B87EF5">
        <w:rPr>
          <w:b/>
          <w:color w:val="FFFFFF" w:themeColor="background1"/>
          <w:lang w:val="en-NZ"/>
        </w:rPr>
        <w:tab/>
        <w:t xml:space="preserve">Proportion of Youth Payment participants enrolled in </w:t>
      </w:r>
      <w:r w:rsidR="004F2DEF">
        <w:rPr>
          <w:b/>
          <w:color w:val="FFFFFF" w:themeColor="background1"/>
          <w:lang w:val="en-NZ"/>
        </w:rPr>
        <w:t xml:space="preserve">a </w:t>
      </w:r>
      <w:r w:rsidRPr="00B87EF5">
        <w:rPr>
          <w:b/>
          <w:color w:val="FFFFFF" w:themeColor="background1"/>
          <w:lang w:val="en-NZ"/>
        </w:rPr>
        <w:t>youth related main benefit compared to comparison group</w:t>
      </w:r>
    </w:p>
    <w:p w:rsidR="000A7F2C" w:rsidRDefault="008D5B3F" w:rsidP="00B5357A">
      <w:r>
        <w:rPr>
          <w:noProof/>
          <w:lang w:eastAsia="en-NZ"/>
        </w:rPr>
        <w:drawing>
          <wp:inline distT="0" distB="0" distL="0" distR="0" wp14:anchorId="3F0086CF" wp14:editId="12407657">
            <wp:extent cx="5734050" cy="38481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7F2C" w:rsidRPr="00B87EF5" w:rsidRDefault="000A7F2C" w:rsidP="000A7F2C">
      <w:pPr>
        <w:pStyle w:val="Caption"/>
        <w:shd w:val="clear" w:color="auto" w:fill="73B5C7"/>
        <w:spacing w:before="0"/>
        <w:ind w:right="18" w:hanging="993"/>
        <w:rPr>
          <w:b/>
          <w:color w:val="FFFFFF" w:themeColor="background1"/>
          <w:lang w:val="en-NZ"/>
        </w:rPr>
      </w:pPr>
      <w:r w:rsidRPr="00B87EF5">
        <w:rPr>
          <w:b/>
          <w:color w:val="FFFFFF" w:themeColor="background1"/>
          <w:lang w:val="en-NZ"/>
        </w:rPr>
        <w:t xml:space="preserve">Figure </w:t>
      </w:r>
      <w:r w:rsidR="00CD2595">
        <w:rPr>
          <w:b/>
          <w:color w:val="FFFFFF" w:themeColor="background1"/>
          <w:lang w:val="en-NZ"/>
        </w:rPr>
        <w:t>8</w:t>
      </w:r>
      <w:r w:rsidRPr="00B87EF5">
        <w:rPr>
          <w:b/>
          <w:color w:val="FFFFFF" w:themeColor="background1"/>
          <w:lang w:val="en-NZ"/>
        </w:rPr>
        <w:t>:    Proportion of Youth Parent Payment participants enrolled in youth related main benefit compared to comparison group</w:t>
      </w:r>
    </w:p>
    <w:p w:rsidR="000A7F2C" w:rsidRDefault="00CD2595" w:rsidP="00B5357A">
      <w:r>
        <w:rPr>
          <w:rFonts w:ascii="Arial" w:hAnsi="Arial" w:cs="Arial"/>
          <w:noProof/>
          <w:sz w:val="14"/>
          <w:lang w:eastAsia="en-NZ"/>
        </w:rPr>
        <mc:AlternateContent>
          <mc:Choice Requires="wps">
            <w:drawing>
              <wp:anchor distT="0" distB="0" distL="114300" distR="114300" simplePos="0" relativeHeight="251686912" behindDoc="0" locked="0" layoutInCell="1" allowOverlap="1" wp14:anchorId="4645894E" wp14:editId="74B14189">
                <wp:simplePos x="0" y="0"/>
                <wp:positionH relativeFrom="column">
                  <wp:posOffset>-273050</wp:posOffset>
                </wp:positionH>
                <wp:positionV relativeFrom="paragraph">
                  <wp:posOffset>3574415</wp:posOffset>
                </wp:positionV>
                <wp:extent cx="6363970" cy="6134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613410"/>
                        </a:xfrm>
                        <a:prstGeom prst="rect">
                          <a:avLst/>
                        </a:prstGeom>
                        <a:noFill/>
                        <a:ln w="9525">
                          <a:noFill/>
                          <a:miter lim="800000"/>
                          <a:headEnd/>
                          <a:tailEnd/>
                        </a:ln>
                      </wps:spPr>
                      <wps:txbx>
                        <w:txbxContent>
                          <w:p w:rsidR="00CD2595" w:rsidRDefault="00CD2595" w:rsidP="00CD2595">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sidRPr="00DF27EF">
                              <w:rPr>
                                <w:rFonts w:ascii="Arial" w:hAnsi="Arial" w:cs="Arial"/>
                                <w:color w:val="auto"/>
                                <w:sz w:val="14"/>
                                <w:lang w:val="en-GB"/>
                              </w:rPr>
                              <w:t>Participants: started the Youth Service after 20 August 2012.</w:t>
                            </w:r>
                          </w:p>
                          <w:p w:rsidR="00CD2595" w:rsidRDefault="00CD2595" w:rsidP="00CD2595">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CD2595">
                            <w:pPr>
                              <w:pStyle w:val="Tablenotes"/>
                              <w:ind w:left="720"/>
                              <w:rPr>
                                <w:rFonts w:ascii="Arial" w:hAnsi="Arial" w:cs="Arial"/>
                                <w:color w:val="auto"/>
                                <w:sz w:val="14"/>
                                <w:lang w:val="en-GB"/>
                              </w:rPr>
                            </w:pPr>
                            <w:r w:rsidRPr="00DF27EF">
                              <w:rPr>
                                <w:rFonts w:ascii="Arial" w:hAnsi="Arial" w:cs="Arial"/>
                                <w:color w:val="auto"/>
                                <w:sz w:val="14"/>
                                <w:lang w:val="en-GB"/>
                              </w:rPr>
                              <w:t>Any main benefit: any spell on youth or working age main benefit.</w:t>
                            </w:r>
                          </w:p>
                          <w:p w:rsidR="00CD2595" w:rsidRDefault="00CD2595" w:rsidP="00CD2595">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1.5pt;margin-top:281.45pt;width:501.1pt;height:4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" filled="f" stroked="f">
                <v:textbox>
                  <w:txbxContent>
                    <w:p w:rsidR="00CD2595" w:rsidRDefault="00CD2595" w:rsidP="00CD2595">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sidRPr="00DF27EF">
                        <w:rPr>
                          <w:rFonts w:ascii="Arial" w:hAnsi="Arial" w:cs="Arial"/>
                          <w:color w:val="auto"/>
                          <w:sz w:val="14"/>
                          <w:lang w:val="en-GB"/>
                        </w:rPr>
                        <w:t>Participants: started the Youth Service after 20 August 2012.</w:t>
                      </w:r>
                    </w:p>
                    <w:p w:rsidR="00CD2595" w:rsidRDefault="00CD2595" w:rsidP="00CD2595">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CD2595">
                      <w:pPr>
                        <w:pStyle w:val="Tablenotes"/>
                        <w:ind w:left="720"/>
                        <w:rPr>
                          <w:rFonts w:ascii="Arial" w:hAnsi="Arial" w:cs="Arial"/>
                          <w:color w:val="auto"/>
                          <w:sz w:val="14"/>
                          <w:lang w:val="en-GB"/>
                        </w:rPr>
                      </w:pPr>
                      <w:r w:rsidRPr="00DF27EF">
                        <w:rPr>
                          <w:rFonts w:ascii="Arial" w:hAnsi="Arial" w:cs="Arial"/>
                          <w:color w:val="auto"/>
                          <w:sz w:val="14"/>
                          <w:lang w:val="en-GB"/>
                        </w:rPr>
                        <w:t>Any main benefit: any spell on youth or working age main benefit.</w:t>
                      </w:r>
                    </w:p>
                    <w:p w:rsidR="00CD2595" w:rsidRDefault="00CD2595" w:rsidP="00CD2595">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CD2595">
                      <w:pPr>
                        <w:pStyle w:val="BodyText"/>
                        <w:spacing w:before="0" w:line="80" w:lineRule="atLeast"/>
                        <w:rPr>
                          <w:color w:val="auto"/>
                          <w:sz w:val="14"/>
                        </w:rPr>
                      </w:pPr>
                    </w:p>
                  </w:txbxContent>
                </v:textbox>
              </v:shape>
            </w:pict>
          </mc:Fallback>
        </mc:AlternateContent>
      </w:r>
      <w:r w:rsidR="008D5B3F">
        <w:rPr>
          <w:noProof/>
          <w:lang w:eastAsia="en-NZ"/>
        </w:rPr>
        <w:drawing>
          <wp:inline distT="0" distB="0" distL="0" distR="0" wp14:anchorId="3A8945FC" wp14:editId="3F4EAD90">
            <wp:extent cx="5734050" cy="37242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2595" w:rsidRDefault="00CD2595" w:rsidP="00CD2595">
      <w:pPr>
        <w:pStyle w:val="Tablenotes"/>
        <w:rPr>
          <w:rFonts w:ascii="Arial" w:hAnsi="Arial" w:cs="Arial"/>
          <w:color w:val="auto"/>
          <w:sz w:val="14"/>
          <w:lang w:val="en-GB"/>
        </w:rPr>
      </w:pPr>
      <w:r>
        <w:rPr>
          <w:noProof/>
        </w:rPr>
        <mc:AlternateContent>
          <mc:Choice Requires="wps">
            <w:drawing>
              <wp:anchor distT="0" distB="0" distL="114300" distR="114300" simplePos="0" relativeHeight="251681792" behindDoc="0" locked="0" layoutInCell="1" allowOverlap="1" wp14:anchorId="48653F0F" wp14:editId="6F3102CE">
                <wp:simplePos x="0" y="0"/>
                <wp:positionH relativeFrom="column">
                  <wp:posOffset>735330</wp:posOffset>
                </wp:positionH>
                <wp:positionV relativeFrom="paragraph">
                  <wp:posOffset>6303645</wp:posOffset>
                </wp:positionV>
                <wp:extent cx="6363970" cy="61341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613410"/>
                        </a:xfrm>
                        <a:prstGeom prst="rect">
                          <a:avLst/>
                        </a:prstGeom>
                        <a:noFill/>
                        <a:ln w="9525">
                          <a:noFill/>
                          <a:miter lim="800000"/>
                          <a:headEnd/>
                          <a:tailEnd/>
                        </a:ln>
                      </wps:spPr>
                      <wps:txbx>
                        <w:txbxContent>
                          <w:p w:rsidR="00CD2595" w:rsidRDefault="00CD2595" w:rsidP="00D73E9F">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sidRPr="00DF27EF">
                              <w:rPr>
                                <w:rFonts w:ascii="Arial" w:hAnsi="Arial" w:cs="Arial"/>
                                <w:color w:val="auto"/>
                                <w:sz w:val="14"/>
                                <w:lang w:val="en-GB"/>
                              </w:rPr>
                              <w:t>Participants: started the Youth Service after 20 August 2012.</w:t>
                            </w:r>
                          </w:p>
                          <w:p w:rsidR="00CD2595" w:rsidRDefault="00CD2595" w:rsidP="00D73E9F">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D73E9F">
                            <w:pPr>
                              <w:pStyle w:val="Tablenotes"/>
                              <w:ind w:left="720"/>
                              <w:rPr>
                                <w:rFonts w:ascii="Arial" w:hAnsi="Arial" w:cs="Arial"/>
                                <w:color w:val="auto"/>
                                <w:sz w:val="14"/>
                                <w:lang w:val="en-GB"/>
                              </w:rPr>
                            </w:pPr>
                            <w:r w:rsidRPr="00DF27EF">
                              <w:rPr>
                                <w:rFonts w:ascii="Arial" w:hAnsi="Arial" w:cs="Arial"/>
                                <w:color w:val="auto"/>
                                <w:sz w:val="14"/>
                                <w:lang w:val="en-GB"/>
                              </w:rPr>
                              <w:t>Any main benefit: any spell on youth or working age main benefit.</w:t>
                            </w:r>
                          </w:p>
                          <w:p w:rsidR="00CD2595" w:rsidRDefault="00CD2595" w:rsidP="00D73E9F">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D73E9F">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left:0;text-align:left;margin-left:57.9pt;margin-top:496.35pt;width:501.1pt;height:4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" filled="f" stroked="f">
                <v:textbox>
                  <w:txbxContent>
                    <w:p w:rsidR="00CD2595" w:rsidRDefault="00CD2595" w:rsidP="00D73E9F">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sidRPr="00DF27EF">
                        <w:rPr>
                          <w:rFonts w:ascii="Arial" w:hAnsi="Arial" w:cs="Arial"/>
                          <w:color w:val="auto"/>
                          <w:sz w:val="14"/>
                          <w:lang w:val="en-GB"/>
                        </w:rPr>
                        <w:t>Participants: started the Youth Service after 20 August 2012.</w:t>
                      </w:r>
                    </w:p>
                    <w:p w:rsidR="00CD2595" w:rsidRDefault="00CD2595" w:rsidP="00D73E9F">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D73E9F">
                      <w:pPr>
                        <w:pStyle w:val="Tablenotes"/>
                        <w:ind w:left="720"/>
                        <w:rPr>
                          <w:rFonts w:ascii="Arial" w:hAnsi="Arial" w:cs="Arial"/>
                          <w:color w:val="auto"/>
                          <w:sz w:val="14"/>
                          <w:lang w:val="en-GB"/>
                        </w:rPr>
                      </w:pPr>
                      <w:r w:rsidRPr="00DF27EF">
                        <w:rPr>
                          <w:rFonts w:ascii="Arial" w:hAnsi="Arial" w:cs="Arial"/>
                          <w:color w:val="auto"/>
                          <w:sz w:val="14"/>
                          <w:lang w:val="en-GB"/>
                        </w:rPr>
                        <w:t>Any main benefit: any spell on youth or working age main benefit.</w:t>
                      </w:r>
                    </w:p>
                    <w:p w:rsidR="00CD2595" w:rsidRDefault="00CD2595" w:rsidP="00D73E9F">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D73E9F">
                      <w:pPr>
                        <w:pStyle w:val="BodyText"/>
                        <w:spacing w:before="0" w:line="80" w:lineRule="atLeast"/>
                        <w:rPr>
                          <w:color w:val="auto"/>
                          <w:sz w:val="14"/>
                        </w:rPr>
                      </w:pPr>
                    </w:p>
                  </w:txbxContent>
                </v:textbox>
              </v:shape>
            </w:pict>
          </mc:Fallback>
        </mc:AlternateContent>
      </w:r>
      <w:r>
        <w:br w:type="page"/>
      </w:r>
    </w:p>
    <w:p w:rsidR="00CD2595" w:rsidRPr="00CD2595" w:rsidRDefault="00CD2595" w:rsidP="00CD2595">
      <w:pPr>
        <w:pStyle w:val="Caption"/>
        <w:shd w:val="clear" w:color="auto" w:fill="73B5C7"/>
        <w:spacing w:before="0"/>
        <w:ind w:right="17" w:hanging="993"/>
        <w:rPr>
          <w:b/>
          <w:color w:val="FFFFFF" w:themeColor="background1"/>
          <w:lang w:val="en-NZ"/>
        </w:rPr>
      </w:pPr>
      <w:r w:rsidRPr="00CD2595">
        <w:rPr>
          <w:b/>
          <w:noProof/>
          <w:color w:val="FFFFFF" w:themeColor="background1"/>
          <w:lang w:val="en-NZ"/>
        </w:rPr>
        <w:lastRenderedPageBreak/>
        <w:drawing>
          <wp:anchor distT="0" distB="0" distL="114300" distR="114300" simplePos="0" relativeHeight="251663360" behindDoc="1" locked="0" layoutInCell="1" allowOverlap="1" wp14:anchorId="711E1C7D" wp14:editId="2B37D4BB">
            <wp:simplePos x="0" y="0"/>
            <wp:positionH relativeFrom="column">
              <wp:posOffset>516890</wp:posOffset>
            </wp:positionH>
            <wp:positionV relativeFrom="paragraph">
              <wp:posOffset>445770</wp:posOffset>
            </wp:positionV>
            <wp:extent cx="4561840" cy="3028950"/>
            <wp:effectExtent l="635" t="3810" r="0" b="0"/>
            <wp:wrapTight wrapText="bothSides">
              <wp:wrapPolygon edited="0">
                <wp:start x="123" y="249"/>
                <wp:lineTo x="123" y="21301"/>
                <wp:lineTo x="21396" y="21301"/>
                <wp:lineTo x="21396" y="249"/>
                <wp:lineTo x="123" y="249"/>
              </wp:wrapPolygon>
            </wp:wrapTight>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CD2595">
        <w:rPr>
          <w:b/>
          <w:color w:val="FFFFFF" w:themeColor="background1"/>
          <w:lang w:val="en-NZ"/>
        </w:rPr>
        <w:t xml:space="preserve">Figure </w:t>
      </w:r>
      <w:r>
        <w:rPr>
          <w:b/>
          <w:color w:val="FFFFFF" w:themeColor="background1"/>
          <w:lang w:val="en-NZ"/>
        </w:rPr>
        <w:t>9</w:t>
      </w:r>
      <w:r w:rsidRPr="00CD2595">
        <w:rPr>
          <w:b/>
          <w:color w:val="FFFFFF" w:themeColor="background1"/>
          <w:lang w:val="en-NZ"/>
        </w:rPr>
        <w:t>:  Proportion of Youth Payment and Young Parent Payment participants, and their comparison group, who gained NCEA credits within 12 months of Youth Service</w:t>
      </w:r>
    </w:p>
    <w:p w:rsidR="00CD2595" w:rsidRPr="005328F1" w:rsidRDefault="00CD2595" w:rsidP="00CD2595">
      <w:pPr>
        <w:pStyle w:val="BodyText"/>
      </w:pPr>
    </w:p>
    <w:p w:rsidR="00CD2595" w:rsidRDefault="00CD2595" w:rsidP="00CD2595">
      <w:pPr>
        <w:pStyle w:val="BodyText"/>
        <w:spacing w:after="120"/>
        <w:ind w:left="357" w:right="-85"/>
        <w:rPr>
          <w:b/>
          <w:color w:val="auto"/>
        </w:rPr>
      </w:pPr>
      <w:r>
        <w:rPr>
          <w:rFonts w:ascii="Arial Mäori" w:hAnsi="Arial Mäori"/>
          <w:noProof/>
          <w:color w:val="auto"/>
        </w:rPr>
        <mc:AlternateContent>
          <mc:Choice Requires="wps">
            <w:drawing>
              <wp:anchor distT="0" distB="0" distL="114300" distR="114300" simplePos="0" relativeHeight="251662336" behindDoc="0" locked="0" layoutInCell="1" allowOverlap="1" wp14:anchorId="6074AE9C" wp14:editId="775B7F6B">
                <wp:simplePos x="0" y="0"/>
                <wp:positionH relativeFrom="column">
                  <wp:posOffset>-540385</wp:posOffset>
                </wp:positionH>
                <wp:positionV relativeFrom="paragraph">
                  <wp:posOffset>952500</wp:posOffset>
                </wp:positionV>
                <wp:extent cx="1852295" cy="262255"/>
                <wp:effectExtent l="5080" t="10795" r="889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52295" cy="26225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2595" w:rsidRPr="008A76B5" w:rsidRDefault="00CD2595" w:rsidP="00CD2595">
                            <w:pPr>
                              <w:jc w:val="center"/>
                              <w:rPr>
                                <w:sz w:val="18"/>
                              </w:rPr>
                            </w:pPr>
                            <w:r w:rsidRPr="008A76B5">
                              <w:rPr>
                                <w:sz w:val="18"/>
                              </w:rPr>
                              <w:t>Proportion of clients</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left:0;text-align:left;margin-left:-42.55pt;margin-top:75pt;width:145.85pt;height:20.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" filled="f" fillcolor="#bbe0e3" strokecolor="white">
                <v:textbox style="layout-flow:vertical;mso-layout-flow-alt:bottom-to-top" inset="0,0,0,0">
                  <w:txbxContent>
                    <w:p w:rsidR="00CD2595" w:rsidRPr="008A76B5" w:rsidRDefault="00CD2595" w:rsidP="00CD2595">
                      <w:pPr>
                        <w:jc w:val="center"/>
                        <w:rPr>
                          <w:sz w:val="18"/>
                        </w:rPr>
                      </w:pPr>
                      <w:r w:rsidRPr="008A76B5">
                        <w:rPr>
                          <w:sz w:val="18"/>
                        </w:rPr>
                        <w:t>Proportion of clients</w:t>
                      </w:r>
                    </w:p>
                  </w:txbxContent>
                </v:textbox>
              </v:rect>
            </w:pict>
          </mc:Fallback>
        </mc:AlternateContent>
      </w:r>
    </w:p>
    <w:p w:rsidR="00CD2595" w:rsidRDefault="00CD2595" w:rsidP="00CD2595">
      <w:pPr>
        <w:pStyle w:val="BodyText"/>
        <w:spacing w:after="120"/>
        <w:ind w:left="357" w:right="-85"/>
        <w:rPr>
          <w:b/>
          <w:color w:val="auto"/>
        </w:rPr>
      </w:pPr>
    </w:p>
    <w:p w:rsidR="00CD2595" w:rsidRDefault="00CD2595" w:rsidP="00CD2595">
      <w:pPr>
        <w:pStyle w:val="BodyText"/>
        <w:spacing w:after="120"/>
        <w:ind w:left="357" w:right="-85"/>
        <w:rPr>
          <w:b/>
          <w:color w:val="auto"/>
        </w:rPr>
      </w:pPr>
    </w:p>
    <w:p w:rsidR="00CD2595" w:rsidRDefault="00CD2595" w:rsidP="00CD2595">
      <w:pPr>
        <w:pStyle w:val="BodyText"/>
        <w:spacing w:after="120"/>
        <w:ind w:left="357" w:right="-85"/>
        <w:rPr>
          <w:b/>
          <w:color w:val="auto"/>
        </w:rPr>
      </w:pPr>
    </w:p>
    <w:p w:rsidR="00CD2595" w:rsidRDefault="00CD2595" w:rsidP="00CD2595">
      <w:pPr>
        <w:pStyle w:val="BodyText"/>
        <w:spacing w:after="120"/>
        <w:ind w:left="357" w:right="-85"/>
        <w:rPr>
          <w:b/>
          <w:color w:val="auto"/>
        </w:rPr>
      </w:pPr>
    </w:p>
    <w:p w:rsidR="00CD2595" w:rsidRDefault="00CD2595" w:rsidP="00CD2595">
      <w:pPr>
        <w:pStyle w:val="BodyText"/>
        <w:spacing w:after="120"/>
        <w:ind w:left="357" w:right="-85"/>
        <w:rPr>
          <w:b/>
          <w:color w:val="auto"/>
        </w:rPr>
      </w:pPr>
    </w:p>
    <w:p w:rsidR="00CD2595" w:rsidRDefault="00CD2595" w:rsidP="00CD2595">
      <w:pPr>
        <w:pStyle w:val="BodyText"/>
        <w:spacing w:after="120"/>
        <w:ind w:left="357" w:right="-85"/>
        <w:rPr>
          <w:b/>
          <w:color w:val="auto"/>
        </w:rPr>
      </w:pPr>
    </w:p>
    <w:p w:rsidR="00CD2595" w:rsidRDefault="00CD2595" w:rsidP="00CD2595">
      <w:pPr>
        <w:pStyle w:val="BodyText"/>
        <w:spacing w:after="120"/>
        <w:ind w:left="357" w:right="-85"/>
        <w:rPr>
          <w:b/>
          <w:color w:val="auto"/>
        </w:rPr>
      </w:pPr>
    </w:p>
    <w:p w:rsidR="00CD2595" w:rsidRDefault="00CD2595" w:rsidP="00CD2595">
      <w:pPr>
        <w:pStyle w:val="BodyText"/>
        <w:spacing w:after="120"/>
        <w:ind w:left="357" w:right="-85"/>
        <w:rPr>
          <w:b/>
          <w:color w:val="auto"/>
        </w:rPr>
      </w:pPr>
      <w:r>
        <w:rPr>
          <w:b/>
          <w:noProof/>
          <w:color w:val="auto"/>
        </w:rPr>
        <mc:AlternateContent>
          <mc:Choice Requires="wps">
            <w:drawing>
              <wp:anchor distT="0" distB="0" distL="114300" distR="114300" simplePos="0" relativeHeight="251661312" behindDoc="0" locked="0" layoutInCell="1" allowOverlap="1" wp14:anchorId="0C342988" wp14:editId="4829EB0C">
                <wp:simplePos x="0" y="0"/>
                <wp:positionH relativeFrom="column">
                  <wp:posOffset>29210</wp:posOffset>
                </wp:positionH>
                <wp:positionV relativeFrom="paragraph">
                  <wp:posOffset>71120</wp:posOffset>
                </wp:positionV>
                <wp:extent cx="6363970" cy="532130"/>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32130"/>
                        </a:xfrm>
                        <a:prstGeom prst="rect">
                          <a:avLst/>
                        </a:prstGeom>
                        <a:noFill/>
                        <a:ln w="9525">
                          <a:noFill/>
                          <a:miter lim="800000"/>
                          <a:headEnd/>
                          <a:tailEnd/>
                        </a:ln>
                      </wps:spPr>
                      <wps:txbx>
                        <w:txbxContent>
                          <w:p w:rsidR="00CD2595" w:rsidRDefault="00CD2595" w:rsidP="00CD2595">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Pr>
                                <w:rFonts w:ascii="Arial" w:hAnsi="Arial" w:cs="Arial"/>
                                <w:color w:val="auto"/>
                                <w:sz w:val="14"/>
                                <w:lang w:val="en-GB"/>
                              </w:rPr>
                              <w:t>Youth Service clients: YP and YPP participants who started</w:t>
                            </w:r>
                            <w:r w:rsidRPr="00DF27EF">
                              <w:rPr>
                                <w:rFonts w:ascii="Arial" w:hAnsi="Arial" w:cs="Arial"/>
                                <w:color w:val="auto"/>
                                <w:sz w:val="14"/>
                                <w:lang w:val="en-GB"/>
                              </w:rPr>
                              <w:t xml:space="preserve"> Youth Service after 20 August 2012.</w:t>
                            </w:r>
                          </w:p>
                          <w:p w:rsidR="00CD2595" w:rsidRDefault="00CD2595" w:rsidP="00CD2595">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CD2595">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left:0;text-align:left;margin-left:2.3pt;margin-top:5.6pt;width:501.1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" filled="f" stroked="f">
                <v:textbox>
                  <w:txbxContent>
                    <w:p w:rsidR="00CD2595" w:rsidRDefault="00CD2595" w:rsidP="00CD2595">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Pr>
                          <w:rFonts w:ascii="Arial" w:hAnsi="Arial" w:cs="Arial"/>
                          <w:color w:val="auto"/>
                          <w:sz w:val="14"/>
                          <w:lang w:val="en-GB"/>
                        </w:rPr>
                        <w:t>Youth Service clients: YP and YPP participants who started</w:t>
                      </w:r>
                      <w:r w:rsidRPr="00DF27EF">
                        <w:rPr>
                          <w:rFonts w:ascii="Arial" w:hAnsi="Arial" w:cs="Arial"/>
                          <w:color w:val="auto"/>
                          <w:sz w:val="14"/>
                          <w:lang w:val="en-GB"/>
                        </w:rPr>
                        <w:t xml:space="preserve"> Youth Service after 20 August 2012.</w:t>
                      </w:r>
                    </w:p>
                    <w:p w:rsidR="00CD2595" w:rsidRDefault="00CD2595" w:rsidP="00CD2595">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CD2595">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CD2595">
                      <w:pPr>
                        <w:pStyle w:val="BodyText"/>
                        <w:spacing w:before="0" w:line="80" w:lineRule="atLeast"/>
                        <w:rPr>
                          <w:color w:val="auto"/>
                          <w:sz w:val="14"/>
                        </w:rPr>
                      </w:pPr>
                    </w:p>
                  </w:txbxContent>
                </v:textbox>
              </v:shape>
            </w:pict>
          </mc:Fallback>
        </mc:AlternateContent>
      </w:r>
    </w:p>
    <w:p w:rsidR="00CD2595" w:rsidRDefault="00CD2595" w:rsidP="00CD2595">
      <w:pPr>
        <w:pStyle w:val="BodyText"/>
        <w:spacing w:before="120" w:after="120"/>
        <w:ind w:left="357" w:right="-85"/>
        <w:rPr>
          <w:b/>
          <w:color w:val="auto"/>
        </w:rPr>
      </w:pPr>
    </w:p>
    <w:p w:rsidR="000A7F2C" w:rsidRDefault="000A7F2C" w:rsidP="00B5357A"/>
    <w:p w:rsidR="00CD2595" w:rsidRPr="00CD2595" w:rsidRDefault="00CD2595" w:rsidP="00CD2595">
      <w:pPr>
        <w:pStyle w:val="Caption"/>
        <w:shd w:val="clear" w:color="auto" w:fill="73B5C7"/>
        <w:spacing w:before="0"/>
        <w:ind w:right="-227" w:hanging="993"/>
        <w:rPr>
          <w:b/>
          <w:color w:val="FFFFFF" w:themeColor="background1"/>
          <w:lang w:val="en-NZ"/>
        </w:rPr>
      </w:pPr>
      <w:r w:rsidRPr="00CD2595">
        <w:rPr>
          <w:b/>
          <w:noProof/>
          <w:color w:val="FFFFFF" w:themeColor="background1"/>
          <w:lang w:val="en-NZ"/>
        </w:rPr>
        <w:drawing>
          <wp:anchor distT="0" distB="0" distL="114300" distR="114300" simplePos="0" relativeHeight="251666432" behindDoc="1" locked="0" layoutInCell="1" allowOverlap="1" wp14:anchorId="59B8504B" wp14:editId="0EED2F7B">
            <wp:simplePos x="0" y="0"/>
            <wp:positionH relativeFrom="column">
              <wp:posOffset>511175</wp:posOffset>
            </wp:positionH>
            <wp:positionV relativeFrom="paragraph">
              <wp:posOffset>313055</wp:posOffset>
            </wp:positionV>
            <wp:extent cx="5748655" cy="3736975"/>
            <wp:effectExtent l="0" t="0" r="0" b="0"/>
            <wp:wrapTight wrapText="bothSides">
              <wp:wrapPolygon edited="0">
                <wp:start x="644" y="110"/>
                <wp:lineTo x="0" y="330"/>
                <wp:lineTo x="0" y="771"/>
                <wp:lineTo x="644" y="2092"/>
                <wp:lineTo x="215" y="2092"/>
                <wp:lineTo x="215" y="2533"/>
                <wp:lineTo x="644" y="3854"/>
                <wp:lineTo x="215" y="3854"/>
                <wp:lineTo x="143" y="12773"/>
                <wp:lineTo x="215" y="16186"/>
                <wp:lineTo x="429" y="19049"/>
                <wp:lineTo x="4581" y="19710"/>
                <wp:lineTo x="10808" y="19710"/>
                <wp:lineTo x="3293" y="20150"/>
                <wp:lineTo x="3221" y="20701"/>
                <wp:lineTo x="4366" y="20921"/>
                <wp:lineTo x="14387" y="20921"/>
                <wp:lineTo x="14530" y="20150"/>
                <wp:lineTo x="13671" y="19930"/>
                <wp:lineTo x="10808" y="19710"/>
                <wp:lineTo x="15389" y="19269"/>
                <wp:lineTo x="15175" y="18719"/>
                <wp:lineTo x="1217" y="17948"/>
                <wp:lineTo x="20042" y="17728"/>
                <wp:lineTo x="20185" y="15305"/>
                <wp:lineTo x="1217" y="14424"/>
                <wp:lineTo x="1217" y="12663"/>
                <wp:lineTo x="10379" y="12663"/>
                <wp:lineTo x="20686" y="11782"/>
                <wp:lineTo x="20615" y="9690"/>
                <wp:lineTo x="20328" y="8809"/>
                <wp:lineTo x="16893" y="8479"/>
                <wp:lineTo x="1217" y="7377"/>
                <wp:lineTo x="1217" y="5616"/>
                <wp:lineTo x="20758" y="5506"/>
                <wp:lineTo x="20758" y="3854"/>
                <wp:lineTo x="20615" y="2092"/>
                <wp:lineTo x="1217" y="2092"/>
                <wp:lineTo x="1217" y="110"/>
                <wp:lineTo x="644" y="110"/>
              </wp:wrapPolygon>
            </wp:wrapTight>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CD2595">
        <w:rPr>
          <w:b/>
          <w:color w:val="FFFFFF" w:themeColor="background1"/>
          <w:lang w:val="en-NZ"/>
        </w:rPr>
        <w:t xml:space="preserve">Figure </w:t>
      </w:r>
      <w:r w:rsidR="00381E59">
        <w:rPr>
          <w:b/>
          <w:color w:val="FFFFFF" w:themeColor="background1"/>
          <w:lang w:val="en-NZ"/>
        </w:rPr>
        <w:t>10</w:t>
      </w:r>
      <w:r w:rsidRPr="00CD2595">
        <w:rPr>
          <w:b/>
          <w:color w:val="FFFFFF" w:themeColor="background1"/>
          <w:lang w:val="en-NZ"/>
        </w:rPr>
        <w:t>:  Proportion of Youth Payment and Young Parent Payment participants, and their comparison group, who met the requirements of NCEA Level 2 within 12 months of enrolling in the service</w:t>
      </w:r>
    </w:p>
    <w:p w:rsidR="00CD2595" w:rsidRPr="0092367A" w:rsidRDefault="00CD2595" w:rsidP="00CD2595">
      <w:r w:rsidRPr="003038C7">
        <w:t xml:space="preserve"> </w:t>
      </w:r>
    </w:p>
    <w:p w:rsidR="00CD2595" w:rsidRDefault="00CD2595" w:rsidP="00CD2595">
      <w:pPr>
        <w:pStyle w:val="BodyText"/>
        <w:rPr>
          <w:lang w:val="en-GB"/>
        </w:rPr>
      </w:pPr>
    </w:p>
    <w:p w:rsidR="00CD2595" w:rsidRPr="00CD2595" w:rsidRDefault="00CD2595" w:rsidP="00CD2595">
      <w:pPr>
        <w:spacing w:before="0"/>
        <w:rPr>
          <w:sz w:val="2"/>
          <w:szCs w:val="2"/>
        </w:rPr>
      </w:pPr>
      <w:bookmarkStart w:id="1" w:name="_GoBack"/>
      <w:bookmarkEnd w:id="1"/>
      <w:r>
        <w:rPr>
          <w:b/>
          <w:noProof/>
          <w:sz w:val="16"/>
          <w:szCs w:val="16"/>
          <w:lang w:eastAsia="en-NZ"/>
        </w:rPr>
        <mc:AlternateContent>
          <mc:Choice Requires="wps">
            <w:drawing>
              <wp:anchor distT="0" distB="0" distL="114300" distR="114300" simplePos="0" relativeHeight="251665408" behindDoc="0" locked="0" layoutInCell="1" allowOverlap="1" wp14:anchorId="3641BA13" wp14:editId="128C2C78">
                <wp:simplePos x="0" y="0"/>
                <wp:positionH relativeFrom="column">
                  <wp:posOffset>-99115</wp:posOffset>
                </wp:positionH>
                <wp:positionV relativeFrom="paragraph">
                  <wp:posOffset>3105508</wp:posOffset>
                </wp:positionV>
                <wp:extent cx="6363970" cy="53213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32130"/>
                        </a:xfrm>
                        <a:prstGeom prst="rect">
                          <a:avLst/>
                        </a:prstGeom>
                        <a:noFill/>
                        <a:ln w="9525">
                          <a:noFill/>
                          <a:miter lim="800000"/>
                          <a:headEnd/>
                          <a:tailEnd/>
                        </a:ln>
                      </wps:spPr>
                      <wps:txbx>
                        <w:txbxContent>
                          <w:p w:rsidR="00CD2595" w:rsidRDefault="00CD2595" w:rsidP="00CD2595">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Pr>
                                <w:rFonts w:ascii="Arial" w:hAnsi="Arial" w:cs="Arial"/>
                                <w:color w:val="auto"/>
                                <w:sz w:val="14"/>
                                <w:lang w:val="en-GB"/>
                              </w:rPr>
                              <w:t>Youth Service clients: YP and YPP participants who started</w:t>
                            </w:r>
                            <w:r w:rsidRPr="00DF27EF">
                              <w:rPr>
                                <w:rFonts w:ascii="Arial" w:hAnsi="Arial" w:cs="Arial"/>
                                <w:color w:val="auto"/>
                                <w:sz w:val="14"/>
                                <w:lang w:val="en-GB"/>
                              </w:rPr>
                              <w:t xml:space="preserve"> Youth Service after 20 August 2012.</w:t>
                            </w:r>
                          </w:p>
                          <w:p w:rsidR="00CD2595" w:rsidRDefault="00CD2595" w:rsidP="00CD2595">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CD2595">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CD2595">
                            <w:pPr>
                              <w:pStyle w:val="BodyText"/>
                              <w:spacing w:before="0" w:line="80" w:lineRule="atLeast"/>
                              <w:rPr>
                                <w:color w:val="aut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9" type="#_x0000_t202" style="position:absolute;margin-left:-7.8pt;margin-top:244.55pt;width:501.1pt;height:4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" filled="f" stroked="f">
                <v:textbox>
                  <w:txbxContent>
                    <w:p w:rsidR="00CD2595" w:rsidRDefault="00CD2595" w:rsidP="00CD2595">
                      <w:pPr>
                        <w:pStyle w:val="Tablenotes"/>
                        <w:ind w:left="0"/>
                        <w:rPr>
                          <w:rFonts w:ascii="Arial" w:hAnsi="Arial" w:cs="Arial"/>
                          <w:color w:val="auto"/>
                          <w:sz w:val="14"/>
                          <w:lang w:val="en-GB"/>
                        </w:rPr>
                      </w:pPr>
                      <w:r w:rsidRPr="008B61BE">
                        <w:rPr>
                          <w:color w:val="auto"/>
                          <w:sz w:val="14"/>
                        </w:rPr>
                        <w:t>Note</w:t>
                      </w:r>
                      <w:r>
                        <w:rPr>
                          <w:color w:val="auto"/>
                          <w:sz w:val="14"/>
                        </w:rPr>
                        <w:t>s</w:t>
                      </w:r>
                      <w:r w:rsidRPr="008B61BE">
                        <w:rPr>
                          <w:color w:val="auto"/>
                          <w:sz w:val="14"/>
                        </w:rPr>
                        <w:t xml:space="preserve">:      </w:t>
                      </w:r>
                      <w:r>
                        <w:rPr>
                          <w:color w:val="auto"/>
                          <w:sz w:val="14"/>
                        </w:rPr>
                        <w:tab/>
                      </w:r>
                      <w:r>
                        <w:rPr>
                          <w:rFonts w:ascii="Arial" w:hAnsi="Arial" w:cs="Arial"/>
                          <w:color w:val="auto"/>
                          <w:sz w:val="14"/>
                          <w:lang w:val="en-GB"/>
                        </w:rPr>
                        <w:t>Youth Service clients: YP and YPP participants who started</w:t>
                      </w:r>
                      <w:r w:rsidRPr="00DF27EF">
                        <w:rPr>
                          <w:rFonts w:ascii="Arial" w:hAnsi="Arial" w:cs="Arial"/>
                          <w:color w:val="auto"/>
                          <w:sz w:val="14"/>
                          <w:lang w:val="en-GB"/>
                        </w:rPr>
                        <w:t xml:space="preserve"> Youth Service after 20 August 2012.</w:t>
                      </w:r>
                    </w:p>
                    <w:p w:rsidR="00CD2595" w:rsidRDefault="00CD2595" w:rsidP="00CD2595">
                      <w:pPr>
                        <w:pStyle w:val="Tablenotes"/>
                        <w:ind w:left="0" w:firstLine="720"/>
                        <w:rPr>
                          <w:rFonts w:ascii="Arial" w:hAnsi="Arial" w:cs="Arial"/>
                          <w:color w:val="auto"/>
                          <w:sz w:val="14"/>
                          <w:lang w:val="en-GB"/>
                        </w:rPr>
                      </w:pPr>
                      <w:r w:rsidRPr="00DF27EF">
                        <w:rPr>
                          <w:rFonts w:ascii="Arial" w:hAnsi="Arial" w:cs="Arial"/>
                          <w:color w:val="auto"/>
                          <w:sz w:val="14"/>
                          <w:lang w:val="en-GB"/>
                        </w:rPr>
                        <w:t>Comparison: matched to the participants and started a youth related benefit between 1 January 2008 and July 2012.</w:t>
                      </w:r>
                    </w:p>
                    <w:p w:rsidR="00CD2595" w:rsidRDefault="00CD2595" w:rsidP="00CD2595">
                      <w:pPr>
                        <w:pStyle w:val="BodyText"/>
                        <w:spacing w:before="0" w:line="240" w:lineRule="auto"/>
                        <w:ind w:left="720" w:right="-85" w:hanging="720"/>
                        <w:rPr>
                          <w:color w:val="auto"/>
                          <w:sz w:val="14"/>
                        </w:rPr>
                      </w:pPr>
                      <w:r w:rsidRPr="008B61BE">
                        <w:rPr>
                          <w:color w:val="auto"/>
                          <w:sz w:val="14"/>
                        </w:rPr>
                        <w:t xml:space="preserve">Source: </w:t>
                      </w:r>
                      <w:r>
                        <w:rPr>
                          <w:color w:val="auto"/>
                          <w:sz w:val="14"/>
                        </w:rPr>
                        <w:tab/>
                        <w:t>MSD administrative data (research data, not official statistics)</w:t>
                      </w:r>
                      <w:r w:rsidRPr="008B61BE">
                        <w:rPr>
                          <w:color w:val="auto"/>
                          <w:sz w:val="14"/>
                        </w:rPr>
                        <w:t xml:space="preserve"> </w:t>
                      </w:r>
                    </w:p>
                    <w:p w:rsidR="00CD2595" w:rsidRPr="008B61BE" w:rsidRDefault="00CD2595" w:rsidP="00CD2595">
                      <w:pPr>
                        <w:pStyle w:val="BodyText"/>
                        <w:spacing w:before="0" w:line="80" w:lineRule="atLeast"/>
                        <w:rPr>
                          <w:color w:val="auto"/>
                          <w:sz w:val="14"/>
                        </w:rPr>
                      </w:pPr>
                    </w:p>
                  </w:txbxContent>
                </v:textbox>
              </v:shape>
            </w:pict>
          </mc:Fallback>
        </mc:AlternateContent>
      </w:r>
      <w:r>
        <w:rPr>
          <w:noProof/>
          <w:lang w:eastAsia="en-NZ"/>
        </w:rPr>
        <mc:AlternateContent>
          <mc:Choice Requires="wps">
            <w:drawing>
              <wp:anchor distT="0" distB="0" distL="114300" distR="114300" simplePos="0" relativeHeight="251667456" behindDoc="0" locked="0" layoutInCell="1" allowOverlap="1" wp14:anchorId="2692A899" wp14:editId="635AC77A">
                <wp:simplePos x="0" y="0"/>
                <wp:positionH relativeFrom="column">
                  <wp:posOffset>-546100</wp:posOffset>
                </wp:positionH>
                <wp:positionV relativeFrom="paragraph">
                  <wp:posOffset>1037590</wp:posOffset>
                </wp:positionV>
                <wp:extent cx="1852295" cy="262255"/>
                <wp:effectExtent l="8890" t="13970" r="508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52295" cy="26225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2595" w:rsidRPr="008A76B5" w:rsidRDefault="00CD2595" w:rsidP="00CD2595">
                            <w:pPr>
                              <w:jc w:val="center"/>
                              <w:rPr>
                                <w:sz w:val="18"/>
                              </w:rPr>
                            </w:pPr>
                            <w:r w:rsidRPr="008A76B5">
                              <w:rPr>
                                <w:sz w:val="18"/>
                              </w:rPr>
                              <w:t>Proportion of clients</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0" style="position:absolute;margin-left:-43pt;margin-top:81.7pt;width:145.85pt;height:20.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" filled="f" fillcolor="#bbe0e3" strokecolor="white">
                <v:textbox style="layout-flow:vertical;mso-layout-flow-alt:bottom-to-top" inset="0,0,0,0">
                  <w:txbxContent>
                    <w:p w:rsidR="00CD2595" w:rsidRPr="008A76B5" w:rsidRDefault="00CD2595" w:rsidP="00CD2595">
                      <w:pPr>
                        <w:jc w:val="center"/>
                        <w:rPr>
                          <w:sz w:val="18"/>
                        </w:rPr>
                      </w:pPr>
                      <w:r w:rsidRPr="008A76B5">
                        <w:rPr>
                          <w:sz w:val="18"/>
                        </w:rPr>
                        <w:t>Proportion of clients</w:t>
                      </w:r>
                    </w:p>
                  </w:txbxContent>
                </v:textbox>
              </v:rect>
            </w:pict>
          </mc:Fallback>
        </mc:AlternateContent>
      </w:r>
    </w:p>
    <w:sectPr w:rsidR="00CD2595" w:rsidRPr="00CD2595" w:rsidSect="00CD2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12" w:rsidRDefault="00B46912" w:rsidP="001A4CFB">
      <w:pPr>
        <w:spacing w:before="0"/>
      </w:pPr>
      <w:r>
        <w:separator/>
      </w:r>
    </w:p>
  </w:endnote>
  <w:endnote w:type="continuationSeparator" w:id="0">
    <w:p w:rsidR="00B46912" w:rsidRDefault="00B46912" w:rsidP="001A4C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CC" w:rsidRPr="008F79CC" w:rsidRDefault="008F79CC">
    <w:pPr>
      <w:pStyle w:val="Footer"/>
      <w:jc w:val="right"/>
      <w:rPr>
        <w:color w:val="007073"/>
      </w:rPr>
    </w:pPr>
    <w:r w:rsidRPr="008F79CC">
      <w:rPr>
        <w:color w:val="007073"/>
      </w:rPr>
      <w:t xml:space="preserve">Youth Service </w:t>
    </w:r>
    <w:r w:rsidR="006646D3">
      <w:rPr>
        <w:color w:val="007073"/>
      </w:rPr>
      <w:t xml:space="preserve">Evaluation Snapshot: </w:t>
    </w:r>
    <w:r w:rsidR="00A052EA">
      <w:rPr>
        <w:color w:val="007073"/>
      </w:rPr>
      <w:t>June 2014</w:t>
    </w:r>
    <w:r w:rsidRPr="008F79CC">
      <w:rPr>
        <w:color w:val="007073"/>
      </w:rPr>
      <w:tab/>
    </w:r>
    <w:sdt>
      <w:sdtPr>
        <w:rPr>
          <w:color w:val="007073"/>
        </w:rPr>
        <w:id w:val="1318690191"/>
        <w:docPartObj>
          <w:docPartGallery w:val="Page Numbers (Bottom of Page)"/>
          <w:docPartUnique/>
        </w:docPartObj>
      </w:sdtPr>
      <w:sdtEndPr>
        <w:rPr>
          <w:noProof/>
        </w:rPr>
      </w:sdtEndPr>
      <w:sdtContent>
        <w:r w:rsidRPr="008F79CC">
          <w:rPr>
            <w:color w:val="007073"/>
          </w:rPr>
          <w:fldChar w:fldCharType="begin"/>
        </w:r>
        <w:r w:rsidRPr="008F79CC">
          <w:rPr>
            <w:color w:val="007073"/>
          </w:rPr>
          <w:instrText xml:space="preserve"> PAGE   \* MERGEFORMAT </w:instrText>
        </w:r>
        <w:r w:rsidRPr="008F79CC">
          <w:rPr>
            <w:color w:val="007073"/>
          </w:rPr>
          <w:fldChar w:fldCharType="separate"/>
        </w:r>
        <w:r w:rsidR="00164CE6">
          <w:rPr>
            <w:noProof/>
            <w:color w:val="007073"/>
          </w:rPr>
          <w:t>11</w:t>
        </w:r>
        <w:r w:rsidRPr="008F79CC">
          <w:rPr>
            <w:noProof/>
            <w:color w:val="007073"/>
          </w:rPr>
          <w:fldChar w:fldCharType="end"/>
        </w:r>
      </w:sdtContent>
    </w:sdt>
  </w:p>
  <w:p w:rsidR="0067343C" w:rsidRDefault="00673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12" w:rsidRDefault="00B46912" w:rsidP="001A4CFB">
      <w:pPr>
        <w:spacing w:before="0"/>
      </w:pPr>
      <w:r>
        <w:separator/>
      </w:r>
    </w:p>
  </w:footnote>
  <w:footnote w:type="continuationSeparator" w:id="0">
    <w:p w:rsidR="00B46912" w:rsidRDefault="00B46912" w:rsidP="001A4CFB">
      <w:pPr>
        <w:spacing w:before="0"/>
      </w:pPr>
      <w:r>
        <w:continuationSeparator/>
      </w:r>
    </w:p>
  </w:footnote>
  <w:footnote w:id="1">
    <w:p w:rsidR="00A32DF2" w:rsidRPr="00294D73" w:rsidRDefault="00A32DF2">
      <w:pPr>
        <w:pStyle w:val="FootnoteText"/>
        <w:rPr>
          <w:sz w:val="16"/>
          <w:lang w:val="en-NZ"/>
        </w:rPr>
      </w:pPr>
      <w:r>
        <w:rPr>
          <w:rStyle w:val="FootnoteReference"/>
        </w:rPr>
        <w:footnoteRef/>
      </w:r>
      <w:r>
        <w:t xml:space="preserve"> </w:t>
      </w:r>
      <w:r>
        <w:rPr>
          <w:lang w:eastAsia="en-NZ"/>
        </w:rPr>
        <w:t xml:space="preserve"> </w:t>
      </w:r>
      <w:r w:rsidRPr="00294D73">
        <w:rPr>
          <w:sz w:val="16"/>
          <w:lang w:eastAsia="en-NZ"/>
        </w:rPr>
        <w:t xml:space="preserve">This comparison group is made up of Independent Youth Benefit, </w:t>
      </w:r>
      <w:r w:rsidR="00294D73">
        <w:rPr>
          <w:sz w:val="16"/>
          <w:lang w:eastAsia="en-NZ"/>
        </w:rPr>
        <w:t xml:space="preserve">Emergency Maintenance Allowance, </w:t>
      </w:r>
      <w:r w:rsidRPr="00294D73">
        <w:rPr>
          <w:sz w:val="16"/>
          <w:lang w:eastAsia="en-NZ"/>
        </w:rPr>
        <w:t>and Domestic Purposes Benefit clients.</w:t>
      </w:r>
    </w:p>
  </w:footnote>
  <w:footnote w:id="2">
    <w:p w:rsidR="00C628CE" w:rsidRPr="004C7A80" w:rsidRDefault="00C628CE" w:rsidP="00294D73">
      <w:pPr>
        <w:pStyle w:val="FootnoteText"/>
        <w:spacing w:after="0"/>
        <w:rPr>
          <w:lang w:val="en-NZ"/>
        </w:rPr>
      </w:pPr>
      <w:r w:rsidRPr="004C7A80">
        <w:rPr>
          <w:rStyle w:val="FootnoteReference"/>
        </w:rPr>
        <w:footnoteRef/>
      </w:r>
      <w:r w:rsidRPr="004C7A80">
        <w:t xml:space="preserve"> </w:t>
      </w:r>
      <w:r w:rsidRPr="00294D73">
        <w:rPr>
          <w:sz w:val="16"/>
          <w:lang w:val="en-NZ"/>
        </w:rPr>
        <w:t>Some these young people may have been engaged in short courses, such as obtaining a driver’s license</w:t>
      </w:r>
      <w:r>
        <w:rPr>
          <w:lang w:val="en-NZ"/>
        </w:rPr>
        <w:t>.</w:t>
      </w:r>
    </w:p>
  </w:footnote>
  <w:footnote w:id="3">
    <w:p w:rsidR="00294D73" w:rsidRPr="00294D73" w:rsidRDefault="00294D73" w:rsidP="00294D73">
      <w:pPr>
        <w:pStyle w:val="NoSpacing"/>
        <w:ind w:left="142" w:hanging="142"/>
        <w:rPr>
          <w:rFonts w:ascii="Arial" w:eastAsiaTheme="majorEastAsia" w:hAnsi="Arial" w:cs="Arial"/>
          <w:bCs/>
          <w:iCs/>
        </w:rPr>
      </w:pPr>
      <w:r>
        <w:rPr>
          <w:rStyle w:val="FootnoteReference"/>
        </w:rPr>
        <w:footnoteRef/>
      </w:r>
      <w:r>
        <w:t xml:space="preserve"> </w:t>
      </w:r>
      <w:r w:rsidRPr="00294D73">
        <w:rPr>
          <w:rFonts w:ascii="Arial" w:hAnsi="Arial"/>
          <w:sz w:val="16"/>
          <w:szCs w:val="16"/>
          <w:lang w:eastAsia="x-none"/>
        </w:rPr>
        <w:t>We are unable to assess whether Youth Service has increased participation in education and training for young people on benefit, as education and training data were not collected for young people receiving benefit prior to the introduction of Youth Service.</w:t>
      </w:r>
      <w:r w:rsidRPr="00294D73">
        <w:rPr>
          <w:rFonts w:ascii="Arial" w:eastAsiaTheme="majorEastAsia" w:hAnsi="Arial" w:cs="Arial"/>
          <w:bCs/>
          <w:iCs/>
          <w:sz w:val="20"/>
        </w:rPr>
        <w:t xml:space="preserve"> </w:t>
      </w:r>
    </w:p>
    <w:p w:rsidR="00294D73" w:rsidRPr="00294D73" w:rsidRDefault="00294D73">
      <w:pPr>
        <w:pStyle w:val="FootnoteText"/>
        <w:rPr>
          <w:lang w:val="en-NZ"/>
        </w:rPr>
      </w:pPr>
    </w:p>
  </w:footnote>
  <w:footnote w:id="4">
    <w:p w:rsidR="00294D73" w:rsidRPr="00950397" w:rsidRDefault="00294D73" w:rsidP="00294D73">
      <w:pPr>
        <w:pStyle w:val="FootnoteText"/>
        <w:tabs>
          <w:tab w:val="left" w:pos="142"/>
        </w:tabs>
        <w:spacing w:after="0"/>
        <w:ind w:left="142" w:hanging="142"/>
        <w:rPr>
          <w:lang w:val="en-NZ"/>
        </w:rPr>
      </w:pPr>
      <w:r w:rsidRPr="00950397">
        <w:rPr>
          <w:rStyle w:val="FootnoteReference"/>
        </w:rPr>
        <w:footnoteRef/>
      </w:r>
      <w:r w:rsidRPr="00950397">
        <w:t xml:space="preserve"> </w:t>
      </w:r>
      <w:r w:rsidRPr="00CD2595">
        <w:rPr>
          <w:sz w:val="16"/>
          <w:lang w:val="en-NZ"/>
        </w:rPr>
        <w:t>Analysis of employment outcomes will be able to be undertaken once MSD has completed linking with the Integrated Data Infrastructure (IDI) at Statistics New Zealand (within 12 months).</w:t>
      </w:r>
    </w:p>
  </w:footnote>
  <w:footnote w:id="5">
    <w:p w:rsidR="00294D73" w:rsidRPr="00950397" w:rsidRDefault="00294D73" w:rsidP="00294D73">
      <w:pPr>
        <w:pStyle w:val="FootnoteText"/>
        <w:spacing w:after="0"/>
        <w:rPr>
          <w:lang w:val="en-NZ"/>
        </w:rPr>
      </w:pPr>
      <w:r w:rsidRPr="00950397">
        <w:rPr>
          <w:rStyle w:val="FootnoteReference"/>
        </w:rPr>
        <w:footnoteRef/>
      </w:r>
      <w:r w:rsidRPr="00950397">
        <w:t xml:space="preserve"> </w:t>
      </w:r>
      <w:proofErr w:type="gramStart"/>
      <w:r w:rsidRPr="00CD2595">
        <w:rPr>
          <w:sz w:val="16"/>
          <w:lang w:val="en-NZ"/>
        </w:rPr>
        <w:t>Young people without children who are receiving a benefit from Work and Income.</w:t>
      </w:r>
      <w:proofErr w:type="gramEnd"/>
      <w:r w:rsidRPr="00950397">
        <w:rPr>
          <w:lang w:val="en-NZ"/>
        </w:rPr>
        <w:t xml:space="preserve"> </w:t>
      </w:r>
    </w:p>
  </w:footnote>
  <w:footnote w:id="6">
    <w:p w:rsidR="00294D73" w:rsidRPr="006150B3" w:rsidRDefault="00294D73" w:rsidP="00294D73">
      <w:pPr>
        <w:pStyle w:val="FootnoteText"/>
        <w:tabs>
          <w:tab w:val="left" w:pos="142"/>
        </w:tabs>
        <w:spacing w:after="0"/>
        <w:ind w:left="142" w:hanging="142"/>
        <w:rPr>
          <w:lang w:val="en-NZ"/>
        </w:rPr>
      </w:pPr>
      <w:r w:rsidRPr="006150B3">
        <w:rPr>
          <w:rStyle w:val="FootnoteReference"/>
        </w:rPr>
        <w:footnoteRef/>
      </w:r>
      <w:r w:rsidRPr="006150B3">
        <w:t xml:space="preserve"> </w:t>
      </w:r>
      <w:r w:rsidRPr="00CD2595">
        <w:rPr>
          <w:sz w:val="16"/>
          <w:lang w:val="en-NZ"/>
        </w:rPr>
        <w:t>In addition, we are unable to assess the impact of Youth Service on the benefit recipient of NEET participants. Historical information on NEET young people who did not receive a benefit from Work and Income is not available for us to construct a comparison group.</w:t>
      </w:r>
      <w:r>
        <w:rPr>
          <w:lang w:val="en-NZ"/>
        </w:rPr>
        <w:t xml:space="preserve"> </w:t>
      </w:r>
    </w:p>
  </w:footnote>
  <w:footnote w:id="7">
    <w:p w:rsidR="006646D3" w:rsidRPr="00A90423" w:rsidRDefault="006646D3" w:rsidP="006646D3">
      <w:pPr>
        <w:pStyle w:val="FootnoteText"/>
        <w:tabs>
          <w:tab w:val="left" w:pos="142"/>
        </w:tabs>
        <w:spacing w:after="0" w:line="240" w:lineRule="auto"/>
        <w:ind w:left="142" w:hanging="142"/>
      </w:pPr>
      <w:r w:rsidRPr="00A90423">
        <w:rPr>
          <w:rStyle w:val="FootnoteReference"/>
        </w:rPr>
        <w:footnoteRef/>
      </w:r>
      <w:r w:rsidRPr="00A90423">
        <w:t xml:space="preserve"> </w:t>
      </w:r>
      <w:r w:rsidRPr="00CD2595">
        <w:rPr>
          <w:sz w:val="16"/>
          <w:lang w:val="en-NZ"/>
        </w:rPr>
        <w:t>Data on NCEA qualifications was not available for this analysis.  Instead we have counted young people as having ‘met the requirements’ for NCEA Level 2 when they had gained 80 NCEA Level 2 credits.</w:t>
      </w:r>
      <w:r w:rsidRPr="00A90423">
        <w:t xml:space="preserve">  </w:t>
      </w:r>
    </w:p>
  </w:footnote>
  <w:footnote w:id="8">
    <w:p w:rsidR="004F54E9" w:rsidRPr="004F54E9" w:rsidRDefault="004F54E9">
      <w:pPr>
        <w:pStyle w:val="FootnoteText"/>
        <w:rPr>
          <w:lang w:val="en-NZ"/>
        </w:rPr>
      </w:pPr>
      <w:r>
        <w:rPr>
          <w:rStyle w:val="FootnoteReference"/>
        </w:rPr>
        <w:footnoteRef/>
      </w:r>
      <w:r>
        <w:t xml:space="preserve"> </w:t>
      </w:r>
      <w:r w:rsidRPr="004F54E9">
        <w:rPr>
          <w:sz w:val="16"/>
          <w:lang w:val="en-NZ"/>
        </w:rPr>
        <w:t xml:space="preserve">The evaluation was able to match NZQA qualifications data for approximately 17,500 (89 per cent) of the 20,000 young people receiving Youth Service for NEET. </w:t>
      </w:r>
      <w:r w:rsidRPr="00CD2595">
        <w:rPr>
          <w:sz w:val="16"/>
          <w:lang w:val="en-NZ"/>
        </w:rPr>
        <w:t>Historical information on NEET young people who did not receive a benefit from Work and Income is not available for us to construct a comparison group for Youth Service: NEET educational achievement.</w:t>
      </w:r>
    </w:p>
  </w:footnote>
  <w:footnote w:id="9">
    <w:p w:rsidR="00AD544E" w:rsidRPr="006150B3" w:rsidRDefault="00AD544E" w:rsidP="00AD544E">
      <w:pPr>
        <w:pStyle w:val="FootnoteText"/>
        <w:tabs>
          <w:tab w:val="left" w:pos="142"/>
        </w:tabs>
        <w:spacing w:after="0" w:line="240" w:lineRule="auto"/>
        <w:ind w:left="142" w:hanging="142"/>
        <w:rPr>
          <w:lang w:val="en-NZ"/>
        </w:rPr>
      </w:pPr>
      <w:r w:rsidRPr="006150B3">
        <w:rPr>
          <w:rStyle w:val="FootnoteReference"/>
        </w:rPr>
        <w:footnoteRef/>
      </w:r>
      <w:r w:rsidRPr="006150B3">
        <w:t xml:space="preserve"> </w:t>
      </w:r>
      <w:r w:rsidRPr="00CD2595">
        <w:rPr>
          <w:sz w:val="16"/>
          <w:lang w:val="en-NZ"/>
        </w:rPr>
        <w:t xml:space="preserve">These include whether they were a teen parent, time from starting a main </w:t>
      </w:r>
      <w:proofErr w:type="gramStart"/>
      <w:r w:rsidRPr="00CD2595">
        <w:rPr>
          <w:sz w:val="16"/>
          <w:lang w:val="en-NZ"/>
        </w:rPr>
        <w:t>benefit,</w:t>
      </w:r>
      <w:proofErr w:type="gramEnd"/>
      <w:r w:rsidRPr="00CD2595">
        <w:rPr>
          <w:sz w:val="16"/>
          <w:lang w:val="en-NZ"/>
        </w:rPr>
        <w:t xml:space="preserve"> and age at first benefit start date.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nsid w:val="00C2453E"/>
    <w:multiLevelType w:val="multilevel"/>
    <w:tmpl w:val="922037D0"/>
    <w:styleLink w:val="RecList"/>
    <w:lvl w:ilvl="0">
      <w:start w:val="1"/>
      <w:numFmt w:val="decimal"/>
      <w:pStyle w:val="RecNumber"/>
      <w:lvlText w:val="%1"/>
      <w:lvlJc w:val="left"/>
      <w:pPr>
        <w:tabs>
          <w:tab w:val="num" w:pos="493"/>
        </w:tabs>
        <w:ind w:left="493" w:hanging="493"/>
      </w:pPr>
      <w:rPr>
        <w:rFonts w:hint="default"/>
      </w:rPr>
    </w:lvl>
    <w:lvl w:ilvl="1">
      <w:start w:val="1"/>
      <w:numFmt w:val="decimal"/>
      <w:pStyle w:val="RecLevel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
    <w:nsid w:val="0E9F2134"/>
    <w:multiLevelType w:val="hybridMultilevel"/>
    <w:tmpl w:val="15A81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10C3CAA"/>
    <w:multiLevelType w:val="hybridMultilevel"/>
    <w:tmpl w:val="1E40D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nsid w:val="200A66A9"/>
    <w:multiLevelType w:val="hybridMultilevel"/>
    <w:tmpl w:val="6B4CE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3F3243"/>
    <w:multiLevelType w:val="hybridMultilevel"/>
    <w:tmpl w:val="344E12CE"/>
    <w:lvl w:ilvl="0" w:tplc="0076012C">
      <w:start w:val="1"/>
      <w:numFmt w:val="bullet"/>
      <w:pStyle w:val="bullet10"/>
      <w:lvlText w:val="•"/>
      <w:lvlJc w:val="left"/>
      <w:pPr>
        <w:tabs>
          <w:tab w:val="num" w:pos="-360"/>
        </w:tabs>
        <w:ind w:left="360" w:hanging="360"/>
      </w:pPr>
      <w:rPr>
        <w:rFonts w:ascii="Trebuchet MS" w:hAnsi="Trebuchet MS" w:hint="default"/>
        <w:color w:val="54534C"/>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nsid w:val="30CA6A26"/>
    <w:multiLevelType w:val="hybridMultilevel"/>
    <w:tmpl w:val="1E5E7964"/>
    <w:lvl w:ilvl="0" w:tplc="43F6B7FA">
      <w:start w:val="1"/>
      <w:numFmt w:val="bullet"/>
      <w:lvlText w:val=""/>
      <w:lvlJc w:val="left"/>
      <w:pPr>
        <w:tabs>
          <w:tab w:val="num" w:pos="360"/>
        </w:tabs>
        <w:ind w:left="360" w:hanging="360"/>
      </w:pPr>
      <w:rPr>
        <w:rFonts w:ascii="Wingdings" w:hAnsi="Wingdings" w:hint="default"/>
      </w:rPr>
    </w:lvl>
    <w:lvl w:ilvl="1" w:tplc="9174930E" w:tentative="1">
      <w:start w:val="1"/>
      <w:numFmt w:val="bullet"/>
      <w:lvlText w:val=""/>
      <w:lvlJc w:val="left"/>
      <w:pPr>
        <w:tabs>
          <w:tab w:val="num" w:pos="1080"/>
        </w:tabs>
        <w:ind w:left="1080" w:hanging="360"/>
      </w:pPr>
      <w:rPr>
        <w:rFonts w:ascii="Wingdings" w:hAnsi="Wingdings" w:hint="default"/>
      </w:rPr>
    </w:lvl>
    <w:lvl w:ilvl="2" w:tplc="E5908254" w:tentative="1">
      <w:start w:val="1"/>
      <w:numFmt w:val="bullet"/>
      <w:lvlText w:val=""/>
      <w:lvlJc w:val="left"/>
      <w:pPr>
        <w:tabs>
          <w:tab w:val="num" w:pos="1800"/>
        </w:tabs>
        <w:ind w:left="1800" w:hanging="360"/>
      </w:pPr>
      <w:rPr>
        <w:rFonts w:ascii="Wingdings" w:hAnsi="Wingdings" w:hint="default"/>
      </w:rPr>
    </w:lvl>
    <w:lvl w:ilvl="3" w:tplc="716CB53C" w:tentative="1">
      <w:start w:val="1"/>
      <w:numFmt w:val="bullet"/>
      <w:lvlText w:val=""/>
      <w:lvlJc w:val="left"/>
      <w:pPr>
        <w:tabs>
          <w:tab w:val="num" w:pos="2520"/>
        </w:tabs>
        <w:ind w:left="2520" w:hanging="360"/>
      </w:pPr>
      <w:rPr>
        <w:rFonts w:ascii="Wingdings" w:hAnsi="Wingdings" w:hint="default"/>
      </w:rPr>
    </w:lvl>
    <w:lvl w:ilvl="4" w:tplc="439ADC12" w:tentative="1">
      <w:start w:val="1"/>
      <w:numFmt w:val="bullet"/>
      <w:lvlText w:val=""/>
      <w:lvlJc w:val="left"/>
      <w:pPr>
        <w:tabs>
          <w:tab w:val="num" w:pos="3240"/>
        </w:tabs>
        <w:ind w:left="3240" w:hanging="360"/>
      </w:pPr>
      <w:rPr>
        <w:rFonts w:ascii="Wingdings" w:hAnsi="Wingdings" w:hint="default"/>
      </w:rPr>
    </w:lvl>
    <w:lvl w:ilvl="5" w:tplc="3CD64D52" w:tentative="1">
      <w:start w:val="1"/>
      <w:numFmt w:val="bullet"/>
      <w:lvlText w:val=""/>
      <w:lvlJc w:val="left"/>
      <w:pPr>
        <w:tabs>
          <w:tab w:val="num" w:pos="3960"/>
        </w:tabs>
        <w:ind w:left="3960" w:hanging="360"/>
      </w:pPr>
      <w:rPr>
        <w:rFonts w:ascii="Wingdings" w:hAnsi="Wingdings" w:hint="default"/>
      </w:rPr>
    </w:lvl>
    <w:lvl w:ilvl="6" w:tplc="D6867108" w:tentative="1">
      <w:start w:val="1"/>
      <w:numFmt w:val="bullet"/>
      <w:lvlText w:val=""/>
      <w:lvlJc w:val="left"/>
      <w:pPr>
        <w:tabs>
          <w:tab w:val="num" w:pos="4680"/>
        </w:tabs>
        <w:ind w:left="4680" w:hanging="360"/>
      </w:pPr>
      <w:rPr>
        <w:rFonts w:ascii="Wingdings" w:hAnsi="Wingdings" w:hint="default"/>
      </w:rPr>
    </w:lvl>
    <w:lvl w:ilvl="7" w:tplc="B65A2F7A" w:tentative="1">
      <w:start w:val="1"/>
      <w:numFmt w:val="bullet"/>
      <w:lvlText w:val=""/>
      <w:lvlJc w:val="left"/>
      <w:pPr>
        <w:tabs>
          <w:tab w:val="num" w:pos="5400"/>
        </w:tabs>
        <w:ind w:left="5400" w:hanging="360"/>
      </w:pPr>
      <w:rPr>
        <w:rFonts w:ascii="Wingdings" w:hAnsi="Wingdings" w:hint="default"/>
      </w:rPr>
    </w:lvl>
    <w:lvl w:ilvl="8" w:tplc="B2D41072" w:tentative="1">
      <w:start w:val="1"/>
      <w:numFmt w:val="bullet"/>
      <w:lvlText w:val=""/>
      <w:lvlJc w:val="left"/>
      <w:pPr>
        <w:tabs>
          <w:tab w:val="num" w:pos="6120"/>
        </w:tabs>
        <w:ind w:left="6120" w:hanging="360"/>
      </w:pPr>
      <w:rPr>
        <w:rFonts w:ascii="Wingdings" w:hAnsi="Wingdings" w:hint="default"/>
      </w:rPr>
    </w:lvl>
  </w:abstractNum>
  <w:abstractNum w:abstractNumId="11">
    <w:nsid w:val="40C624F2"/>
    <w:multiLevelType w:val="hybridMultilevel"/>
    <w:tmpl w:val="16A40D42"/>
    <w:lvl w:ilvl="0" w:tplc="BE6A3356">
      <w:start w:val="1"/>
      <w:numFmt w:val="bullet"/>
      <w:pStyle w:val="bullet2last"/>
      <w:lvlText w:val="–"/>
      <w:lvlJc w:val="left"/>
      <w:pPr>
        <w:tabs>
          <w:tab w:val="num" w:pos="-360"/>
        </w:tabs>
        <w:ind w:left="717" w:hanging="360"/>
      </w:pPr>
      <w:rPr>
        <w:rFonts w:ascii="Times New Roman" w:hAnsi="Times New Roman" w:cs="Times New Roman" w:hint="default"/>
        <w:color w:val="auto"/>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nsid w:val="4F3D2E0E"/>
    <w:multiLevelType w:val="hybridMultilevel"/>
    <w:tmpl w:val="018ED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1A55B97"/>
    <w:multiLevelType w:val="hybridMultilevel"/>
    <w:tmpl w:val="E36E6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2612702"/>
    <w:multiLevelType w:val="multilevel"/>
    <w:tmpl w:val="4ACAA126"/>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2"/>
      <w:lvlJc w:val="left"/>
      <w:pPr>
        <w:tabs>
          <w:tab w:val="num" w:pos="493"/>
        </w:tabs>
        <w:ind w:left="987" w:hanging="494"/>
      </w:pPr>
      <w:rPr>
        <w:rFonts w:ascii="Arial Mäori" w:eastAsia="Times New Roman" w:hAnsi="Arial Mäori" w:cs="Times New Roman"/>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nsid w:val="531805B9"/>
    <w:multiLevelType w:val="hybridMultilevel"/>
    <w:tmpl w:val="659EF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7">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A47C67"/>
    <w:multiLevelType w:val="hybridMultilevel"/>
    <w:tmpl w:val="954AB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BEB1777"/>
    <w:multiLevelType w:val="hybridMultilevel"/>
    <w:tmpl w:val="C4BE50BC"/>
    <w:lvl w:ilvl="0" w:tplc="43F6B7FA">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6FED3773"/>
    <w:multiLevelType w:val="hybridMultilevel"/>
    <w:tmpl w:val="801E971C"/>
    <w:lvl w:ilvl="0" w:tplc="43F6B7FA">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782E47B0"/>
    <w:multiLevelType w:val="hybridMultilevel"/>
    <w:tmpl w:val="AE36BC1C"/>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22">
    <w:nsid w:val="7991033F"/>
    <w:multiLevelType w:val="hybridMultilevel"/>
    <w:tmpl w:val="91F0085C"/>
    <w:lvl w:ilvl="0" w:tplc="43F6B7FA">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7F3E51C0"/>
    <w:multiLevelType w:val="hybridMultilevel"/>
    <w:tmpl w:val="6F3E12D8"/>
    <w:lvl w:ilvl="0" w:tplc="6A54773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8"/>
  </w:num>
  <w:num w:numId="12">
    <w:abstractNumId w:val="10"/>
  </w:num>
  <w:num w:numId="13">
    <w:abstractNumId w:val="21"/>
  </w:num>
  <w:num w:numId="14">
    <w:abstractNumId w:val="13"/>
  </w:num>
  <w:num w:numId="15">
    <w:abstractNumId w:val="4"/>
  </w:num>
  <w:num w:numId="16">
    <w:abstractNumId w:val="12"/>
  </w:num>
  <w:num w:numId="17">
    <w:abstractNumId w:val="3"/>
  </w:num>
  <w:num w:numId="18">
    <w:abstractNumId w:val="2"/>
  </w:num>
  <w:num w:numId="19">
    <w:abstractNumId w:val="14"/>
  </w:num>
  <w:num w:numId="20">
    <w:abstractNumId w:val="23"/>
  </w:num>
  <w:num w:numId="21">
    <w:abstractNumId w:val="15"/>
  </w:num>
  <w:num w:numId="22">
    <w:abstractNumId w:val="7"/>
  </w:num>
  <w:num w:numId="23">
    <w:abstractNumId w:val="18"/>
  </w:num>
  <w:num w:numId="24">
    <w:abstractNumId w:val="22"/>
  </w:num>
  <w:num w:numId="25">
    <w:abstractNumId w:val="19"/>
  </w:num>
  <w:num w:numId="26">
    <w:abstractNumId w:val="20"/>
  </w:num>
  <w:num w:numId="27">
    <w:abstractNumId w:val="1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FB"/>
    <w:rsid w:val="00000B4C"/>
    <w:rsid w:val="000106D0"/>
    <w:rsid w:val="00037CB0"/>
    <w:rsid w:val="00054ABB"/>
    <w:rsid w:val="00070F78"/>
    <w:rsid w:val="00075F4A"/>
    <w:rsid w:val="000A7F2C"/>
    <w:rsid w:val="000B456E"/>
    <w:rsid w:val="000E3BB9"/>
    <w:rsid w:val="00103EC2"/>
    <w:rsid w:val="00106AED"/>
    <w:rsid w:val="00106CFC"/>
    <w:rsid w:val="0016459C"/>
    <w:rsid w:val="00164CE6"/>
    <w:rsid w:val="0017340A"/>
    <w:rsid w:val="0018587D"/>
    <w:rsid w:val="00196294"/>
    <w:rsid w:val="001A1FD9"/>
    <w:rsid w:val="001A4CFB"/>
    <w:rsid w:val="001D3744"/>
    <w:rsid w:val="001E0017"/>
    <w:rsid w:val="00213DA6"/>
    <w:rsid w:val="002153D8"/>
    <w:rsid w:val="00216302"/>
    <w:rsid w:val="002307C4"/>
    <w:rsid w:val="00245A2B"/>
    <w:rsid w:val="00256F47"/>
    <w:rsid w:val="00270E03"/>
    <w:rsid w:val="00292430"/>
    <w:rsid w:val="00294D73"/>
    <w:rsid w:val="002B254C"/>
    <w:rsid w:val="002D1C62"/>
    <w:rsid w:val="002E465F"/>
    <w:rsid w:val="00314538"/>
    <w:rsid w:val="00317058"/>
    <w:rsid w:val="003261DB"/>
    <w:rsid w:val="0033533E"/>
    <w:rsid w:val="00351FB5"/>
    <w:rsid w:val="00354EC2"/>
    <w:rsid w:val="0035611C"/>
    <w:rsid w:val="00374702"/>
    <w:rsid w:val="00381E59"/>
    <w:rsid w:val="003845C3"/>
    <w:rsid w:val="003A2FC6"/>
    <w:rsid w:val="003B4053"/>
    <w:rsid w:val="003C465F"/>
    <w:rsid w:val="003C7B40"/>
    <w:rsid w:val="003E4B5B"/>
    <w:rsid w:val="003F0C21"/>
    <w:rsid w:val="00405003"/>
    <w:rsid w:val="004227ED"/>
    <w:rsid w:val="004248D2"/>
    <w:rsid w:val="0043160A"/>
    <w:rsid w:val="00445BCE"/>
    <w:rsid w:val="00447D7E"/>
    <w:rsid w:val="00451B42"/>
    <w:rsid w:val="00454F25"/>
    <w:rsid w:val="00463C14"/>
    <w:rsid w:val="00471EF9"/>
    <w:rsid w:val="00480CD1"/>
    <w:rsid w:val="004812A5"/>
    <w:rsid w:val="004C4D61"/>
    <w:rsid w:val="004F2DEF"/>
    <w:rsid w:val="004F2F0B"/>
    <w:rsid w:val="004F3B40"/>
    <w:rsid w:val="004F54E9"/>
    <w:rsid w:val="00516C8E"/>
    <w:rsid w:val="00533E65"/>
    <w:rsid w:val="0055165E"/>
    <w:rsid w:val="00555649"/>
    <w:rsid w:val="00561C77"/>
    <w:rsid w:val="00572AA9"/>
    <w:rsid w:val="00573874"/>
    <w:rsid w:val="00583647"/>
    <w:rsid w:val="00595906"/>
    <w:rsid w:val="005A607E"/>
    <w:rsid w:val="005B11F9"/>
    <w:rsid w:val="005B1330"/>
    <w:rsid w:val="005B3FCB"/>
    <w:rsid w:val="005C1E6D"/>
    <w:rsid w:val="005D69D0"/>
    <w:rsid w:val="00613682"/>
    <w:rsid w:val="00617137"/>
    <w:rsid w:val="006219C3"/>
    <w:rsid w:val="00631D73"/>
    <w:rsid w:val="006420E9"/>
    <w:rsid w:val="0065367B"/>
    <w:rsid w:val="006646D3"/>
    <w:rsid w:val="006703F4"/>
    <w:rsid w:val="0067343C"/>
    <w:rsid w:val="00676E37"/>
    <w:rsid w:val="006852C6"/>
    <w:rsid w:val="00697C78"/>
    <w:rsid w:val="006B2EDA"/>
    <w:rsid w:val="006B40AC"/>
    <w:rsid w:val="006B6CDA"/>
    <w:rsid w:val="006D4628"/>
    <w:rsid w:val="006D4769"/>
    <w:rsid w:val="006D5081"/>
    <w:rsid w:val="006E3148"/>
    <w:rsid w:val="006E32F4"/>
    <w:rsid w:val="006E5C3F"/>
    <w:rsid w:val="006F38B0"/>
    <w:rsid w:val="00702B62"/>
    <w:rsid w:val="00710027"/>
    <w:rsid w:val="00741813"/>
    <w:rsid w:val="007455BB"/>
    <w:rsid w:val="00765910"/>
    <w:rsid w:val="00765ACC"/>
    <w:rsid w:val="007956CB"/>
    <w:rsid w:val="007B201A"/>
    <w:rsid w:val="007B68A8"/>
    <w:rsid w:val="007D05D2"/>
    <w:rsid w:val="0080498F"/>
    <w:rsid w:val="00854D9E"/>
    <w:rsid w:val="00860654"/>
    <w:rsid w:val="0086219D"/>
    <w:rsid w:val="00867F8E"/>
    <w:rsid w:val="008976D5"/>
    <w:rsid w:val="008A5652"/>
    <w:rsid w:val="008B4FFB"/>
    <w:rsid w:val="008C7B74"/>
    <w:rsid w:val="008D5B3F"/>
    <w:rsid w:val="008F79CC"/>
    <w:rsid w:val="00903467"/>
    <w:rsid w:val="00906EAA"/>
    <w:rsid w:val="0091545E"/>
    <w:rsid w:val="009378D3"/>
    <w:rsid w:val="00970DD2"/>
    <w:rsid w:val="00974820"/>
    <w:rsid w:val="00980614"/>
    <w:rsid w:val="00996E37"/>
    <w:rsid w:val="009A7C61"/>
    <w:rsid w:val="009B557F"/>
    <w:rsid w:val="009D15F1"/>
    <w:rsid w:val="009D2B10"/>
    <w:rsid w:val="009F3994"/>
    <w:rsid w:val="00A04E58"/>
    <w:rsid w:val="00A052EA"/>
    <w:rsid w:val="00A26268"/>
    <w:rsid w:val="00A32DF2"/>
    <w:rsid w:val="00A371E7"/>
    <w:rsid w:val="00A47A58"/>
    <w:rsid w:val="00A6244E"/>
    <w:rsid w:val="00A721DB"/>
    <w:rsid w:val="00A92685"/>
    <w:rsid w:val="00AD544E"/>
    <w:rsid w:val="00AF50B7"/>
    <w:rsid w:val="00B0472B"/>
    <w:rsid w:val="00B41635"/>
    <w:rsid w:val="00B46912"/>
    <w:rsid w:val="00B5357A"/>
    <w:rsid w:val="00B71722"/>
    <w:rsid w:val="00B83C01"/>
    <w:rsid w:val="00B87EF5"/>
    <w:rsid w:val="00BB4403"/>
    <w:rsid w:val="00BB5422"/>
    <w:rsid w:val="00BC3EE9"/>
    <w:rsid w:val="00BD4B7F"/>
    <w:rsid w:val="00C24195"/>
    <w:rsid w:val="00C3130B"/>
    <w:rsid w:val="00C33DB0"/>
    <w:rsid w:val="00C40AED"/>
    <w:rsid w:val="00C456F7"/>
    <w:rsid w:val="00C5215F"/>
    <w:rsid w:val="00C628CE"/>
    <w:rsid w:val="00CB4A28"/>
    <w:rsid w:val="00CC1348"/>
    <w:rsid w:val="00CD2595"/>
    <w:rsid w:val="00CE46B9"/>
    <w:rsid w:val="00D0249D"/>
    <w:rsid w:val="00D159B3"/>
    <w:rsid w:val="00D30420"/>
    <w:rsid w:val="00D34EA0"/>
    <w:rsid w:val="00D45AEC"/>
    <w:rsid w:val="00D65993"/>
    <w:rsid w:val="00D879B2"/>
    <w:rsid w:val="00D91559"/>
    <w:rsid w:val="00DA0121"/>
    <w:rsid w:val="00DA3222"/>
    <w:rsid w:val="00DB61E2"/>
    <w:rsid w:val="00DB69C1"/>
    <w:rsid w:val="00DB7583"/>
    <w:rsid w:val="00DD4817"/>
    <w:rsid w:val="00DD7526"/>
    <w:rsid w:val="00DE0315"/>
    <w:rsid w:val="00DE32F7"/>
    <w:rsid w:val="00E0351E"/>
    <w:rsid w:val="00E15A1D"/>
    <w:rsid w:val="00E54BC5"/>
    <w:rsid w:val="00E620A2"/>
    <w:rsid w:val="00E671C3"/>
    <w:rsid w:val="00E90142"/>
    <w:rsid w:val="00E9269E"/>
    <w:rsid w:val="00ED42F8"/>
    <w:rsid w:val="00F05F8D"/>
    <w:rsid w:val="00F06EE8"/>
    <w:rsid w:val="00F07349"/>
    <w:rsid w:val="00F12FA7"/>
    <w:rsid w:val="00F203E7"/>
    <w:rsid w:val="00F22AE5"/>
    <w:rsid w:val="00F61448"/>
    <w:rsid w:val="00F65558"/>
    <w:rsid w:val="00F66D16"/>
    <w:rsid w:val="00F84358"/>
    <w:rsid w:val="00F91CDA"/>
    <w:rsid w:val="00F93ED8"/>
    <w:rsid w:val="00F97ACB"/>
    <w:rsid w:val="00FA46CC"/>
    <w:rsid w:val="00FC52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BodyText">
    <w:name w:val="Body Text"/>
    <w:basedOn w:val="Normal"/>
    <w:link w:val="BodyTextChar"/>
    <w:rsid w:val="001A4CFB"/>
    <w:pPr>
      <w:suppressAutoHyphens/>
      <w:autoSpaceDE w:val="0"/>
      <w:autoSpaceDN w:val="0"/>
      <w:adjustRightInd w:val="0"/>
      <w:spacing w:before="240" w:line="280" w:lineRule="atLeast"/>
      <w:jc w:val="both"/>
      <w:textAlignment w:val="center"/>
    </w:pPr>
    <w:rPr>
      <w:rFonts w:ascii="Arial" w:eastAsia="Times New Roman" w:hAnsi="Arial" w:cs="Arial"/>
      <w:color w:val="000000"/>
      <w:lang w:eastAsia="en-NZ"/>
    </w:rPr>
  </w:style>
  <w:style w:type="character" w:customStyle="1" w:styleId="BodyTextChar">
    <w:name w:val="Body Text Char"/>
    <w:basedOn w:val="DefaultParagraphFont"/>
    <w:link w:val="BodyText"/>
    <w:rsid w:val="001A4CFB"/>
    <w:rPr>
      <w:rFonts w:ascii="Arial" w:eastAsia="Times New Roman" w:hAnsi="Arial" w:cs="Arial"/>
      <w:color w:val="000000"/>
      <w:lang w:eastAsia="en-NZ"/>
    </w:rPr>
  </w:style>
  <w:style w:type="paragraph" w:customStyle="1" w:styleId="bullet10">
    <w:name w:val="bullet 1"/>
    <w:basedOn w:val="Normal"/>
    <w:link w:val="bullet1Char"/>
    <w:qFormat/>
    <w:rsid w:val="001A4CFB"/>
    <w:pPr>
      <w:numPr>
        <w:numId w:val="11"/>
      </w:numPr>
      <w:suppressAutoHyphens/>
      <w:autoSpaceDE w:val="0"/>
      <w:autoSpaceDN w:val="0"/>
      <w:adjustRightInd w:val="0"/>
      <w:spacing w:line="280" w:lineRule="atLeast"/>
      <w:textAlignment w:val="center"/>
    </w:pPr>
    <w:rPr>
      <w:rFonts w:ascii="Arial" w:eastAsia="Times New Roman" w:hAnsi="Arial" w:cs="Arial (TT)"/>
      <w:lang w:eastAsia="en-NZ"/>
    </w:rPr>
  </w:style>
  <w:style w:type="character" w:customStyle="1" w:styleId="bullet1Char">
    <w:name w:val="bullet 1 Char"/>
    <w:link w:val="bullet10"/>
    <w:locked/>
    <w:rsid w:val="001A4CFB"/>
    <w:rPr>
      <w:rFonts w:ascii="Arial" w:eastAsia="Times New Roman" w:hAnsi="Arial" w:cs="Arial (TT)"/>
      <w:lang w:eastAsia="en-NZ"/>
    </w:rPr>
  </w:style>
  <w:style w:type="paragraph" w:styleId="BalloonText">
    <w:name w:val="Balloon Text"/>
    <w:basedOn w:val="Normal"/>
    <w:link w:val="BalloonTextChar"/>
    <w:uiPriority w:val="99"/>
    <w:semiHidden/>
    <w:rsid w:val="001A4C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FB"/>
    <w:rPr>
      <w:rFonts w:ascii="Tahoma" w:hAnsi="Tahoma" w:cs="Tahoma"/>
      <w:sz w:val="16"/>
      <w:szCs w:val="16"/>
    </w:rPr>
  </w:style>
  <w:style w:type="paragraph" w:styleId="Caption">
    <w:name w:val="caption"/>
    <w:basedOn w:val="Normal"/>
    <w:next w:val="Normal"/>
    <w:link w:val="CaptionChar"/>
    <w:qFormat/>
    <w:rsid w:val="001A4CFB"/>
    <w:pPr>
      <w:keepNext/>
      <w:suppressAutoHyphens/>
      <w:autoSpaceDE w:val="0"/>
      <w:autoSpaceDN w:val="0"/>
      <w:adjustRightInd w:val="0"/>
      <w:spacing w:before="240"/>
      <w:ind w:left="993" w:hanging="615"/>
      <w:textAlignment w:val="center"/>
    </w:pPr>
    <w:rPr>
      <w:rFonts w:ascii="Arial" w:eastAsia="Times New Roman" w:hAnsi="Arial" w:cs="Arial"/>
      <w:bCs/>
      <w:sz w:val="18"/>
      <w:szCs w:val="18"/>
      <w:lang w:val="en-US" w:eastAsia="en-NZ"/>
    </w:rPr>
  </w:style>
  <w:style w:type="character" w:customStyle="1" w:styleId="CaptionChar">
    <w:name w:val="Caption Char"/>
    <w:link w:val="Caption"/>
    <w:rsid w:val="001A4CFB"/>
    <w:rPr>
      <w:rFonts w:ascii="Arial" w:eastAsia="Times New Roman" w:hAnsi="Arial" w:cs="Arial"/>
      <w:bCs/>
      <w:sz w:val="18"/>
      <w:szCs w:val="18"/>
      <w:lang w:val="en-US" w:eastAsia="en-NZ"/>
    </w:rPr>
  </w:style>
  <w:style w:type="paragraph" w:styleId="NoSpacing">
    <w:name w:val="No Spacing"/>
    <w:uiPriority w:val="1"/>
    <w:qFormat/>
    <w:rsid w:val="001A4CFB"/>
    <w:pPr>
      <w:spacing w:after="0" w:line="240" w:lineRule="auto"/>
    </w:pPr>
    <w:rPr>
      <w:rFonts w:ascii="Arial Mäori" w:hAnsi="Arial Mäori"/>
    </w:rPr>
  </w:style>
  <w:style w:type="paragraph" w:styleId="Header">
    <w:name w:val="header"/>
    <w:basedOn w:val="Normal"/>
    <w:link w:val="HeaderChar"/>
    <w:uiPriority w:val="99"/>
    <w:semiHidden/>
    <w:rsid w:val="0067343C"/>
    <w:pPr>
      <w:tabs>
        <w:tab w:val="center" w:pos="4513"/>
        <w:tab w:val="right" w:pos="9026"/>
      </w:tabs>
      <w:spacing w:before="0"/>
    </w:pPr>
  </w:style>
  <w:style w:type="character" w:customStyle="1" w:styleId="HeaderChar">
    <w:name w:val="Header Char"/>
    <w:basedOn w:val="DefaultParagraphFont"/>
    <w:link w:val="Header"/>
    <w:uiPriority w:val="99"/>
    <w:semiHidden/>
    <w:rsid w:val="0067343C"/>
    <w:rPr>
      <w:rFonts w:ascii="Arial Mäori" w:hAnsi="Arial Mäori"/>
    </w:rPr>
  </w:style>
  <w:style w:type="paragraph" w:styleId="Footer">
    <w:name w:val="footer"/>
    <w:basedOn w:val="Normal"/>
    <w:link w:val="FooterChar"/>
    <w:uiPriority w:val="99"/>
    <w:rsid w:val="0067343C"/>
    <w:pPr>
      <w:tabs>
        <w:tab w:val="center" w:pos="4513"/>
        <w:tab w:val="right" w:pos="9026"/>
      </w:tabs>
      <w:spacing w:before="0"/>
    </w:pPr>
  </w:style>
  <w:style w:type="character" w:customStyle="1" w:styleId="FooterChar">
    <w:name w:val="Footer Char"/>
    <w:basedOn w:val="DefaultParagraphFont"/>
    <w:link w:val="Footer"/>
    <w:uiPriority w:val="99"/>
    <w:rsid w:val="0067343C"/>
    <w:rPr>
      <w:rFonts w:ascii="Arial Mäori" w:hAnsi="Arial Mäori"/>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1"/>
    <w:link w:val="FootnoteText"/>
    <w:rsid w:val="00E620A2"/>
    <w:rPr>
      <w:rFonts w:ascii="Arial" w:hAnsi="Arial"/>
      <w:sz w:val="18"/>
      <w:szCs w:val="16"/>
      <w:lang w:val="en-US" w:eastAsia="x-none"/>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rsid w:val="00E620A2"/>
    <w:pPr>
      <w:tabs>
        <w:tab w:val="left" w:pos="227"/>
      </w:tabs>
      <w:suppressAutoHyphens/>
      <w:autoSpaceDE w:val="0"/>
      <w:autoSpaceDN w:val="0"/>
      <w:adjustRightInd w:val="0"/>
      <w:spacing w:before="0" w:after="57" w:line="220" w:lineRule="atLeast"/>
      <w:ind w:left="227" w:hanging="227"/>
      <w:textAlignment w:val="center"/>
    </w:pPr>
    <w:rPr>
      <w:rFonts w:ascii="Arial" w:hAnsi="Arial"/>
      <w:sz w:val="18"/>
      <w:szCs w:val="16"/>
      <w:lang w:val="en-US" w:eastAsia="x-none"/>
    </w:rPr>
  </w:style>
  <w:style w:type="character" w:customStyle="1" w:styleId="FootnoteTextChar1">
    <w:name w:val="Footnote Text Char1"/>
    <w:aliases w:val="Footnote Text Char Char Char Char Char Char Char Char Char"/>
    <w:basedOn w:val="DefaultParagraphFont"/>
    <w:uiPriority w:val="99"/>
    <w:rsid w:val="00E620A2"/>
    <w:rPr>
      <w:rFonts w:ascii="Arial Mäori" w:hAnsi="Arial Mäori"/>
      <w:sz w:val="20"/>
      <w:szCs w:val="20"/>
    </w:rPr>
  </w:style>
  <w:style w:type="character" w:styleId="FootnoteReference">
    <w:name w:val="footnote reference"/>
    <w:basedOn w:val="FootnoteTextChar"/>
    <w:uiPriority w:val="99"/>
    <w:rsid w:val="00E620A2"/>
    <w:rPr>
      <w:rFonts w:ascii="Arial" w:hAnsi="Arial"/>
      <w:sz w:val="18"/>
      <w:szCs w:val="16"/>
      <w:vertAlign w:val="superscript"/>
      <w:lang w:val="en-US" w:eastAsia="x-none" w:bidi="ar-SA"/>
    </w:rPr>
  </w:style>
  <w:style w:type="character" w:styleId="CommentReference">
    <w:name w:val="annotation reference"/>
    <w:basedOn w:val="DefaultParagraphFont"/>
    <w:uiPriority w:val="99"/>
    <w:semiHidden/>
    <w:rsid w:val="00555649"/>
    <w:rPr>
      <w:sz w:val="16"/>
      <w:szCs w:val="16"/>
    </w:rPr>
  </w:style>
  <w:style w:type="paragraph" w:styleId="CommentText">
    <w:name w:val="annotation text"/>
    <w:basedOn w:val="Normal"/>
    <w:link w:val="CommentTextChar"/>
    <w:uiPriority w:val="99"/>
    <w:semiHidden/>
    <w:rsid w:val="00555649"/>
    <w:rPr>
      <w:sz w:val="20"/>
      <w:szCs w:val="20"/>
    </w:rPr>
  </w:style>
  <w:style w:type="character" w:customStyle="1" w:styleId="CommentTextChar">
    <w:name w:val="Comment Text Char"/>
    <w:basedOn w:val="DefaultParagraphFont"/>
    <w:link w:val="CommentText"/>
    <w:uiPriority w:val="99"/>
    <w:semiHidden/>
    <w:rsid w:val="00555649"/>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555649"/>
    <w:rPr>
      <w:b/>
      <w:bCs/>
    </w:rPr>
  </w:style>
  <w:style w:type="character" w:customStyle="1" w:styleId="CommentSubjectChar">
    <w:name w:val="Comment Subject Char"/>
    <w:basedOn w:val="CommentTextChar"/>
    <w:link w:val="CommentSubject"/>
    <w:uiPriority w:val="99"/>
    <w:semiHidden/>
    <w:rsid w:val="00555649"/>
    <w:rPr>
      <w:rFonts w:ascii="Arial Mäori" w:hAnsi="Arial Mäori"/>
      <w:b/>
      <w:bCs/>
      <w:sz w:val="20"/>
      <w:szCs w:val="20"/>
    </w:rPr>
  </w:style>
  <w:style w:type="paragraph" w:styleId="Revision">
    <w:name w:val="Revision"/>
    <w:hidden/>
    <w:uiPriority w:val="99"/>
    <w:semiHidden/>
    <w:rsid w:val="006E3148"/>
    <w:pPr>
      <w:spacing w:after="0" w:line="240" w:lineRule="auto"/>
    </w:pPr>
    <w:rPr>
      <w:rFonts w:ascii="Arial Mäori" w:hAnsi="Arial Mäori"/>
    </w:rPr>
  </w:style>
  <w:style w:type="numbering" w:customStyle="1" w:styleId="RecList">
    <w:name w:val="Rec List"/>
    <w:basedOn w:val="NoList"/>
    <w:rsid w:val="00ED42F8"/>
    <w:pPr>
      <w:numPr>
        <w:numId w:val="18"/>
      </w:numPr>
    </w:pPr>
  </w:style>
  <w:style w:type="paragraph" w:customStyle="1" w:styleId="ReportBody">
    <w:name w:val="Report Body"/>
    <w:basedOn w:val="Normal"/>
    <w:rsid w:val="00ED42F8"/>
    <w:pPr>
      <w:numPr>
        <w:numId w:val="19"/>
      </w:numPr>
      <w:spacing w:after="120"/>
    </w:pPr>
    <w:rPr>
      <w:rFonts w:eastAsia="Times New Roman" w:cs="Times New Roman"/>
      <w:color w:val="000000"/>
      <w:kern w:val="22"/>
    </w:rPr>
  </w:style>
  <w:style w:type="paragraph" w:customStyle="1" w:styleId="RecNumber">
    <w:name w:val="Rec Number"/>
    <w:basedOn w:val="Normal"/>
    <w:rsid w:val="00ED42F8"/>
    <w:pPr>
      <w:numPr>
        <w:numId w:val="18"/>
      </w:numPr>
      <w:spacing w:before="240" w:line="260" w:lineRule="exact"/>
      <w:jc w:val="both"/>
    </w:pPr>
    <w:rPr>
      <w:rFonts w:eastAsia="Times New Roman" w:cs="Times New Roman"/>
      <w:kern w:val="22"/>
    </w:rPr>
  </w:style>
  <w:style w:type="paragraph" w:customStyle="1" w:styleId="RecLevel2">
    <w:name w:val="Rec Level2"/>
    <w:basedOn w:val="RecNumber"/>
    <w:qFormat/>
    <w:rsid w:val="00ED42F8"/>
    <w:pPr>
      <w:numPr>
        <w:ilvl w:val="1"/>
      </w:numPr>
    </w:pPr>
  </w:style>
  <w:style w:type="paragraph" w:customStyle="1" w:styleId="ReportBody2">
    <w:name w:val="Report Body 2"/>
    <w:basedOn w:val="ReportBody"/>
    <w:qFormat/>
    <w:rsid w:val="00ED42F8"/>
    <w:pPr>
      <w:numPr>
        <w:ilvl w:val="1"/>
      </w:numPr>
    </w:pPr>
  </w:style>
  <w:style w:type="paragraph" w:styleId="EndnoteText">
    <w:name w:val="endnote text"/>
    <w:basedOn w:val="Normal"/>
    <w:link w:val="EndnoteTextChar"/>
    <w:uiPriority w:val="99"/>
    <w:semiHidden/>
    <w:rsid w:val="00196294"/>
    <w:pPr>
      <w:spacing w:before="0"/>
    </w:pPr>
    <w:rPr>
      <w:sz w:val="20"/>
      <w:szCs w:val="20"/>
    </w:rPr>
  </w:style>
  <w:style w:type="character" w:customStyle="1" w:styleId="EndnoteTextChar">
    <w:name w:val="Endnote Text Char"/>
    <w:basedOn w:val="DefaultParagraphFont"/>
    <w:link w:val="EndnoteText"/>
    <w:uiPriority w:val="99"/>
    <w:semiHidden/>
    <w:rsid w:val="00196294"/>
    <w:rPr>
      <w:rFonts w:ascii="Arial Mäori" w:hAnsi="Arial Mäori"/>
      <w:sz w:val="20"/>
      <w:szCs w:val="20"/>
    </w:rPr>
  </w:style>
  <w:style w:type="character" w:styleId="EndnoteReference">
    <w:name w:val="endnote reference"/>
    <w:basedOn w:val="DefaultParagraphFont"/>
    <w:uiPriority w:val="99"/>
    <w:semiHidden/>
    <w:rsid w:val="00196294"/>
    <w:rPr>
      <w:vertAlign w:val="superscript"/>
    </w:rPr>
  </w:style>
  <w:style w:type="paragraph" w:customStyle="1" w:styleId="Bodytext0">
    <w:name w:val="Bodytext"/>
    <w:basedOn w:val="Normal"/>
    <w:qFormat/>
    <w:rsid w:val="0065367B"/>
    <w:pPr>
      <w:suppressAutoHyphens/>
      <w:autoSpaceDE w:val="0"/>
      <w:autoSpaceDN w:val="0"/>
      <w:adjustRightInd w:val="0"/>
      <w:spacing w:before="0" w:after="170" w:line="280" w:lineRule="atLeast"/>
      <w:ind w:right="765"/>
      <w:textAlignment w:val="center"/>
    </w:pPr>
    <w:rPr>
      <w:rFonts w:ascii="Arial" w:eastAsia="Times New Roman" w:hAnsi="Arial" w:cs="Arial"/>
      <w:color w:val="54534C"/>
      <w:lang w:val="en-GB" w:eastAsia="en-NZ"/>
    </w:rPr>
  </w:style>
  <w:style w:type="paragraph" w:customStyle="1" w:styleId="bullet2last">
    <w:name w:val="bullet 2 last"/>
    <w:basedOn w:val="Normal"/>
    <w:qFormat/>
    <w:rsid w:val="00C628CE"/>
    <w:pPr>
      <w:numPr>
        <w:numId w:val="27"/>
      </w:numPr>
      <w:suppressAutoHyphens/>
      <w:autoSpaceDE w:val="0"/>
      <w:autoSpaceDN w:val="0"/>
      <w:adjustRightInd w:val="0"/>
      <w:spacing w:before="0" w:after="170" w:line="320" w:lineRule="atLeast"/>
      <w:ind w:left="714" w:hanging="357"/>
    </w:pPr>
    <w:rPr>
      <w:rFonts w:ascii="Arial" w:eastAsia="Times New Roman" w:hAnsi="Arial" w:cs="Arial"/>
      <w:sz w:val="24"/>
      <w:lang w:val="en-GB" w:eastAsia="en-NZ"/>
    </w:rPr>
  </w:style>
  <w:style w:type="paragraph" w:customStyle="1" w:styleId="Tablenotes">
    <w:name w:val="Table notes"/>
    <w:basedOn w:val="Normal"/>
    <w:rsid w:val="00CD2595"/>
    <w:pPr>
      <w:suppressAutoHyphens/>
      <w:autoSpaceDE w:val="0"/>
      <w:autoSpaceDN w:val="0"/>
      <w:adjustRightInd w:val="0"/>
      <w:spacing w:before="40" w:after="40"/>
      <w:ind w:left="567"/>
      <w:contextualSpacing/>
      <w:textAlignment w:val="center"/>
    </w:pPr>
    <w:rPr>
      <w:rFonts w:eastAsia="Times New Roman" w:cs="Times New Roman"/>
      <w:color w:val="000000"/>
      <w:sz w:val="18"/>
      <w:lang w:eastAsia="en-NZ"/>
    </w:rPr>
  </w:style>
  <w:style w:type="paragraph" w:customStyle="1" w:styleId="TableText">
    <w:name w:val="Table Text"/>
    <w:basedOn w:val="BodyText"/>
    <w:qFormat/>
    <w:rsid w:val="00CD2595"/>
    <w:pPr>
      <w:spacing w:line="240" w:lineRule="auto"/>
      <w:jc w:val="left"/>
    </w:pPr>
    <w:rPr>
      <w:color w:val="54534C"/>
      <w:sz w:val="16"/>
      <w:szCs w:val="16"/>
      <w:lang w:val="en-US"/>
    </w:rPr>
  </w:style>
  <w:style w:type="paragraph" w:customStyle="1" w:styleId="TableSubHeading">
    <w:name w:val="Table Sub Heading"/>
    <w:basedOn w:val="BodyText"/>
    <w:qFormat/>
    <w:rsid w:val="00CD2595"/>
    <w:pPr>
      <w:spacing w:line="240" w:lineRule="auto"/>
      <w:jc w:val="left"/>
    </w:pPr>
    <w:rPr>
      <w:color w:val="007073"/>
      <w:sz w:val="16"/>
      <w:szCs w:val="16"/>
      <w:lang w:val="en-US"/>
    </w:rPr>
  </w:style>
  <w:style w:type="character" w:customStyle="1" w:styleId="BodyTextChar1">
    <w:name w:val="Body Text Char1"/>
    <w:rsid w:val="00CD2595"/>
    <w:rPr>
      <w:rFonts w:ascii="Arial" w:eastAsia="Times New Roman" w:hAnsi="Arial" w:cs="Arial"/>
      <w:color w:val="54534C"/>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BodyText">
    <w:name w:val="Body Text"/>
    <w:basedOn w:val="Normal"/>
    <w:link w:val="BodyTextChar"/>
    <w:rsid w:val="001A4CFB"/>
    <w:pPr>
      <w:suppressAutoHyphens/>
      <w:autoSpaceDE w:val="0"/>
      <w:autoSpaceDN w:val="0"/>
      <w:adjustRightInd w:val="0"/>
      <w:spacing w:before="240" w:line="280" w:lineRule="atLeast"/>
      <w:jc w:val="both"/>
      <w:textAlignment w:val="center"/>
    </w:pPr>
    <w:rPr>
      <w:rFonts w:ascii="Arial" w:eastAsia="Times New Roman" w:hAnsi="Arial" w:cs="Arial"/>
      <w:color w:val="000000"/>
      <w:lang w:eastAsia="en-NZ"/>
    </w:rPr>
  </w:style>
  <w:style w:type="character" w:customStyle="1" w:styleId="BodyTextChar">
    <w:name w:val="Body Text Char"/>
    <w:basedOn w:val="DefaultParagraphFont"/>
    <w:link w:val="BodyText"/>
    <w:rsid w:val="001A4CFB"/>
    <w:rPr>
      <w:rFonts w:ascii="Arial" w:eastAsia="Times New Roman" w:hAnsi="Arial" w:cs="Arial"/>
      <w:color w:val="000000"/>
      <w:lang w:eastAsia="en-NZ"/>
    </w:rPr>
  </w:style>
  <w:style w:type="paragraph" w:customStyle="1" w:styleId="bullet10">
    <w:name w:val="bullet 1"/>
    <w:basedOn w:val="Normal"/>
    <w:link w:val="bullet1Char"/>
    <w:qFormat/>
    <w:rsid w:val="001A4CFB"/>
    <w:pPr>
      <w:numPr>
        <w:numId w:val="11"/>
      </w:numPr>
      <w:suppressAutoHyphens/>
      <w:autoSpaceDE w:val="0"/>
      <w:autoSpaceDN w:val="0"/>
      <w:adjustRightInd w:val="0"/>
      <w:spacing w:line="280" w:lineRule="atLeast"/>
      <w:textAlignment w:val="center"/>
    </w:pPr>
    <w:rPr>
      <w:rFonts w:ascii="Arial" w:eastAsia="Times New Roman" w:hAnsi="Arial" w:cs="Arial (TT)"/>
      <w:lang w:eastAsia="en-NZ"/>
    </w:rPr>
  </w:style>
  <w:style w:type="character" w:customStyle="1" w:styleId="bullet1Char">
    <w:name w:val="bullet 1 Char"/>
    <w:link w:val="bullet10"/>
    <w:locked/>
    <w:rsid w:val="001A4CFB"/>
    <w:rPr>
      <w:rFonts w:ascii="Arial" w:eastAsia="Times New Roman" w:hAnsi="Arial" w:cs="Arial (TT)"/>
      <w:lang w:eastAsia="en-NZ"/>
    </w:rPr>
  </w:style>
  <w:style w:type="paragraph" w:styleId="BalloonText">
    <w:name w:val="Balloon Text"/>
    <w:basedOn w:val="Normal"/>
    <w:link w:val="BalloonTextChar"/>
    <w:uiPriority w:val="99"/>
    <w:semiHidden/>
    <w:rsid w:val="001A4C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FB"/>
    <w:rPr>
      <w:rFonts w:ascii="Tahoma" w:hAnsi="Tahoma" w:cs="Tahoma"/>
      <w:sz w:val="16"/>
      <w:szCs w:val="16"/>
    </w:rPr>
  </w:style>
  <w:style w:type="paragraph" w:styleId="Caption">
    <w:name w:val="caption"/>
    <w:basedOn w:val="Normal"/>
    <w:next w:val="Normal"/>
    <w:link w:val="CaptionChar"/>
    <w:qFormat/>
    <w:rsid w:val="001A4CFB"/>
    <w:pPr>
      <w:keepNext/>
      <w:suppressAutoHyphens/>
      <w:autoSpaceDE w:val="0"/>
      <w:autoSpaceDN w:val="0"/>
      <w:adjustRightInd w:val="0"/>
      <w:spacing w:before="240"/>
      <w:ind w:left="993" w:hanging="615"/>
      <w:textAlignment w:val="center"/>
    </w:pPr>
    <w:rPr>
      <w:rFonts w:ascii="Arial" w:eastAsia="Times New Roman" w:hAnsi="Arial" w:cs="Arial"/>
      <w:bCs/>
      <w:sz w:val="18"/>
      <w:szCs w:val="18"/>
      <w:lang w:val="en-US" w:eastAsia="en-NZ"/>
    </w:rPr>
  </w:style>
  <w:style w:type="character" w:customStyle="1" w:styleId="CaptionChar">
    <w:name w:val="Caption Char"/>
    <w:link w:val="Caption"/>
    <w:rsid w:val="001A4CFB"/>
    <w:rPr>
      <w:rFonts w:ascii="Arial" w:eastAsia="Times New Roman" w:hAnsi="Arial" w:cs="Arial"/>
      <w:bCs/>
      <w:sz w:val="18"/>
      <w:szCs w:val="18"/>
      <w:lang w:val="en-US" w:eastAsia="en-NZ"/>
    </w:rPr>
  </w:style>
  <w:style w:type="paragraph" w:styleId="NoSpacing">
    <w:name w:val="No Spacing"/>
    <w:uiPriority w:val="1"/>
    <w:qFormat/>
    <w:rsid w:val="001A4CFB"/>
    <w:pPr>
      <w:spacing w:after="0" w:line="240" w:lineRule="auto"/>
    </w:pPr>
    <w:rPr>
      <w:rFonts w:ascii="Arial Mäori" w:hAnsi="Arial Mäori"/>
    </w:rPr>
  </w:style>
  <w:style w:type="paragraph" w:styleId="Header">
    <w:name w:val="header"/>
    <w:basedOn w:val="Normal"/>
    <w:link w:val="HeaderChar"/>
    <w:uiPriority w:val="99"/>
    <w:semiHidden/>
    <w:rsid w:val="0067343C"/>
    <w:pPr>
      <w:tabs>
        <w:tab w:val="center" w:pos="4513"/>
        <w:tab w:val="right" w:pos="9026"/>
      </w:tabs>
      <w:spacing w:before="0"/>
    </w:pPr>
  </w:style>
  <w:style w:type="character" w:customStyle="1" w:styleId="HeaderChar">
    <w:name w:val="Header Char"/>
    <w:basedOn w:val="DefaultParagraphFont"/>
    <w:link w:val="Header"/>
    <w:uiPriority w:val="99"/>
    <w:semiHidden/>
    <w:rsid w:val="0067343C"/>
    <w:rPr>
      <w:rFonts w:ascii="Arial Mäori" w:hAnsi="Arial Mäori"/>
    </w:rPr>
  </w:style>
  <w:style w:type="paragraph" w:styleId="Footer">
    <w:name w:val="footer"/>
    <w:basedOn w:val="Normal"/>
    <w:link w:val="FooterChar"/>
    <w:uiPriority w:val="99"/>
    <w:rsid w:val="0067343C"/>
    <w:pPr>
      <w:tabs>
        <w:tab w:val="center" w:pos="4513"/>
        <w:tab w:val="right" w:pos="9026"/>
      </w:tabs>
      <w:spacing w:before="0"/>
    </w:pPr>
  </w:style>
  <w:style w:type="character" w:customStyle="1" w:styleId="FooterChar">
    <w:name w:val="Footer Char"/>
    <w:basedOn w:val="DefaultParagraphFont"/>
    <w:link w:val="Footer"/>
    <w:uiPriority w:val="99"/>
    <w:rsid w:val="0067343C"/>
    <w:rPr>
      <w:rFonts w:ascii="Arial Mäori" w:hAnsi="Arial Mäori"/>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1"/>
    <w:link w:val="FootnoteText"/>
    <w:rsid w:val="00E620A2"/>
    <w:rPr>
      <w:rFonts w:ascii="Arial" w:hAnsi="Arial"/>
      <w:sz w:val="18"/>
      <w:szCs w:val="16"/>
      <w:lang w:val="en-US" w:eastAsia="x-none"/>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rsid w:val="00E620A2"/>
    <w:pPr>
      <w:tabs>
        <w:tab w:val="left" w:pos="227"/>
      </w:tabs>
      <w:suppressAutoHyphens/>
      <w:autoSpaceDE w:val="0"/>
      <w:autoSpaceDN w:val="0"/>
      <w:adjustRightInd w:val="0"/>
      <w:spacing w:before="0" w:after="57" w:line="220" w:lineRule="atLeast"/>
      <w:ind w:left="227" w:hanging="227"/>
      <w:textAlignment w:val="center"/>
    </w:pPr>
    <w:rPr>
      <w:rFonts w:ascii="Arial" w:hAnsi="Arial"/>
      <w:sz w:val="18"/>
      <w:szCs w:val="16"/>
      <w:lang w:val="en-US" w:eastAsia="x-none"/>
    </w:rPr>
  </w:style>
  <w:style w:type="character" w:customStyle="1" w:styleId="FootnoteTextChar1">
    <w:name w:val="Footnote Text Char1"/>
    <w:aliases w:val="Footnote Text Char Char Char Char Char Char Char Char Char"/>
    <w:basedOn w:val="DefaultParagraphFont"/>
    <w:uiPriority w:val="99"/>
    <w:rsid w:val="00E620A2"/>
    <w:rPr>
      <w:rFonts w:ascii="Arial Mäori" w:hAnsi="Arial Mäori"/>
      <w:sz w:val="20"/>
      <w:szCs w:val="20"/>
    </w:rPr>
  </w:style>
  <w:style w:type="character" w:styleId="FootnoteReference">
    <w:name w:val="footnote reference"/>
    <w:basedOn w:val="FootnoteTextChar"/>
    <w:uiPriority w:val="99"/>
    <w:rsid w:val="00E620A2"/>
    <w:rPr>
      <w:rFonts w:ascii="Arial" w:hAnsi="Arial"/>
      <w:sz w:val="18"/>
      <w:szCs w:val="16"/>
      <w:vertAlign w:val="superscript"/>
      <w:lang w:val="en-US" w:eastAsia="x-none" w:bidi="ar-SA"/>
    </w:rPr>
  </w:style>
  <w:style w:type="character" w:styleId="CommentReference">
    <w:name w:val="annotation reference"/>
    <w:basedOn w:val="DefaultParagraphFont"/>
    <w:uiPriority w:val="99"/>
    <w:semiHidden/>
    <w:rsid w:val="00555649"/>
    <w:rPr>
      <w:sz w:val="16"/>
      <w:szCs w:val="16"/>
    </w:rPr>
  </w:style>
  <w:style w:type="paragraph" w:styleId="CommentText">
    <w:name w:val="annotation text"/>
    <w:basedOn w:val="Normal"/>
    <w:link w:val="CommentTextChar"/>
    <w:uiPriority w:val="99"/>
    <w:semiHidden/>
    <w:rsid w:val="00555649"/>
    <w:rPr>
      <w:sz w:val="20"/>
      <w:szCs w:val="20"/>
    </w:rPr>
  </w:style>
  <w:style w:type="character" w:customStyle="1" w:styleId="CommentTextChar">
    <w:name w:val="Comment Text Char"/>
    <w:basedOn w:val="DefaultParagraphFont"/>
    <w:link w:val="CommentText"/>
    <w:uiPriority w:val="99"/>
    <w:semiHidden/>
    <w:rsid w:val="00555649"/>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555649"/>
    <w:rPr>
      <w:b/>
      <w:bCs/>
    </w:rPr>
  </w:style>
  <w:style w:type="character" w:customStyle="1" w:styleId="CommentSubjectChar">
    <w:name w:val="Comment Subject Char"/>
    <w:basedOn w:val="CommentTextChar"/>
    <w:link w:val="CommentSubject"/>
    <w:uiPriority w:val="99"/>
    <w:semiHidden/>
    <w:rsid w:val="00555649"/>
    <w:rPr>
      <w:rFonts w:ascii="Arial Mäori" w:hAnsi="Arial Mäori"/>
      <w:b/>
      <w:bCs/>
      <w:sz w:val="20"/>
      <w:szCs w:val="20"/>
    </w:rPr>
  </w:style>
  <w:style w:type="paragraph" w:styleId="Revision">
    <w:name w:val="Revision"/>
    <w:hidden/>
    <w:uiPriority w:val="99"/>
    <w:semiHidden/>
    <w:rsid w:val="006E3148"/>
    <w:pPr>
      <w:spacing w:after="0" w:line="240" w:lineRule="auto"/>
    </w:pPr>
    <w:rPr>
      <w:rFonts w:ascii="Arial Mäori" w:hAnsi="Arial Mäori"/>
    </w:rPr>
  </w:style>
  <w:style w:type="numbering" w:customStyle="1" w:styleId="RecList">
    <w:name w:val="Rec List"/>
    <w:basedOn w:val="NoList"/>
    <w:rsid w:val="00ED42F8"/>
    <w:pPr>
      <w:numPr>
        <w:numId w:val="18"/>
      </w:numPr>
    </w:pPr>
  </w:style>
  <w:style w:type="paragraph" w:customStyle="1" w:styleId="ReportBody">
    <w:name w:val="Report Body"/>
    <w:basedOn w:val="Normal"/>
    <w:rsid w:val="00ED42F8"/>
    <w:pPr>
      <w:numPr>
        <w:numId w:val="19"/>
      </w:numPr>
      <w:spacing w:after="120"/>
    </w:pPr>
    <w:rPr>
      <w:rFonts w:eastAsia="Times New Roman" w:cs="Times New Roman"/>
      <w:color w:val="000000"/>
      <w:kern w:val="22"/>
    </w:rPr>
  </w:style>
  <w:style w:type="paragraph" w:customStyle="1" w:styleId="RecNumber">
    <w:name w:val="Rec Number"/>
    <w:basedOn w:val="Normal"/>
    <w:rsid w:val="00ED42F8"/>
    <w:pPr>
      <w:numPr>
        <w:numId w:val="18"/>
      </w:numPr>
      <w:spacing w:before="240" w:line="260" w:lineRule="exact"/>
      <w:jc w:val="both"/>
    </w:pPr>
    <w:rPr>
      <w:rFonts w:eastAsia="Times New Roman" w:cs="Times New Roman"/>
      <w:kern w:val="22"/>
    </w:rPr>
  </w:style>
  <w:style w:type="paragraph" w:customStyle="1" w:styleId="RecLevel2">
    <w:name w:val="Rec Level2"/>
    <w:basedOn w:val="RecNumber"/>
    <w:qFormat/>
    <w:rsid w:val="00ED42F8"/>
    <w:pPr>
      <w:numPr>
        <w:ilvl w:val="1"/>
      </w:numPr>
    </w:pPr>
  </w:style>
  <w:style w:type="paragraph" w:customStyle="1" w:styleId="ReportBody2">
    <w:name w:val="Report Body 2"/>
    <w:basedOn w:val="ReportBody"/>
    <w:qFormat/>
    <w:rsid w:val="00ED42F8"/>
    <w:pPr>
      <w:numPr>
        <w:ilvl w:val="1"/>
      </w:numPr>
    </w:pPr>
  </w:style>
  <w:style w:type="paragraph" w:styleId="EndnoteText">
    <w:name w:val="endnote text"/>
    <w:basedOn w:val="Normal"/>
    <w:link w:val="EndnoteTextChar"/>
    <w:uiPriority w:val="99"/>
    <w:semiHidden/>
    <w:rsid w:val="00196294"/>
    <w:pPr>
      <w:spacing w:before="0"/>
    </w:pPr>
    <w:rPr>
      <w:sz w:val="20"/>
      <w:szCs w:val="20"/>
    </w:rPr>
  </w:style>
  <w:style w:type="character" w:customStyle="1" w:styleId="EndnoteTextChar">
    <w:name w:val="Endnote Text Char"/>
    <w:basedOn w:val="DefaultParagraphFont"/>
    <w:link w:val="EndnoteText"/>
    <w:uiPriority w:val="99"/>
    <w:semiHidden/>
    <w:rsid w:val="00196294"/>
    <w:rPr>
      <w:rFonts w:ascii="Arial Mäori" w:hAnsi="Arial Mäori"/>
      <w:sz w:val="20"/>
      <w:szCs w:val="20"/>
    </w:rPr>
  </w:style>
  <w:style w:type="character" w:styleId="EndnoteReference">
    <w:name w:val="endnote reference"/>
    <w:basedOn w:val="DefaultParagraphFont"/>
    <w:uiPriority w:val="99"/>
    <w:semiHidden/>
    <w:rsid w:val="00196294"/>
    <w:rPr>
      <w:vertAlign w:val="superscript"/>
    </w:rPr>
  </w:style>
  <w:style w:type="paragraph" w:customStyle="1" w:styleId="Bodytext0">
    <w:name w:val="Bodytext"/>
    <w:basedOn w:val="Normal"/>
    <w:qFormat/>
    <w:rsid w:val="0065367B"/>
    <w:pPr>
      <w:suppressAutoHyphens/>
      <w:autoSpaceDE w:val="0"/>
      <w:autoSpaceDN w:val="0"/>
      <w:adjustRightInd w:val="0"/>
      <w:spacing w:before="0" w:after="170" w:line="280" w:lineRule="atLeast"/>
      <w:ind w:right="765"/>
      <w:textAlignment w:val="center"/>
    </w:pPr>
    <w:rPr>
      <w:rFonts w:ascii="Arial" w:eastAsia="Times New Roman" w:hAnsi="Arial" w:cs="Arial"/>
      <w:color w:val="54534C"/>
      <w:lang w:val="en-GB" w:eastAsia="en-NZ"/>
    </w:rPr>
  </w:style>
  <w:style w:type="paragraph" w:customStyle="1" w:styleId="bullet2last">
    <w:name w:val="bullet 2 last"/>
    <w:basedOn w:val="Normal"/>
    <w:qFormat/>
    <w:rsid w:val="00C628CE"/>
    <w:pPr>
      <w:numPr>
        <w:numId w:val="27"/>
      </w:numPr>
      <w:suppressAutoHyphens/>
      <w:autoSpaceDE w:val="0"/>
      <w:autoSpaceDN w:val="0"/>
      <w:adjustRightInd w:val="0"/>
      <w:spacing w:before="0" w:after="170" w:line="320" w:lineRule="atLeast"/>
      <w:ind w:left="714" w:hanging="357"/>
    </w:pPr>
    <w:rPr>
      <w:rFonts w:ascii="Arial" w:eastAsia="Times New Roman" w:hAnsi="Arial" w:cs="Arial"/>
      <w:sz w:val="24"/>
      <w:lang w:val="en-GB" w:eastAsia="en-NZ"/>
    </w:rPr>
  </w:style>
  <w:style w:type="paragraph" w:customStyle="1" w:styleId="Tablenotes">
    <w:name w:val="Table notes"/>
    <w:basedOn w:val="Normal"/>
    <w:rsid w:val="00CD2595"/>
    <w:pPr>
      <w:suppressAutoHyphens/>
      <w:autoSpaceDE w:val="0"/>
      <w:autoSpaceDN w:val="0"/>
      <w:adjustRightInd w:val="0"/>
      <w:spacing w:before="40" w:after="40"/>
      <w:ind w:left="567"/>
      <w:contextualSpacing/>
      <w:textAlignment w:val="center"/>
    </w:pPr>
    <w:rPr>
      <w:rFonts w:eastAsia="Times New Roman" w:cs="Times New Roman"/>
      <w:color w:val="000000"/>
      <w:sz w:val="18"/>
      <w:lang w:eastAsia="en-NZ"/>
    </w:rPr>
  </w:style>
  <w:style w:type="paragraph" w:customStyle="1" w:styleId="TableText">
    <w:name w:val="Table Text"/>
    <w:basedOn w:val="BodyText"/>
    <w:qFormat/>
    <w:rsid w:val="00CD2595"/>
    <w:pPr>
      <w:spacing w:line="240" w:lineRule="auto"/>
      <w:jc w:val="left"/>
    </w:pPr>
    <w:rPr>
      <w:color w:val="54534C"/>
      <w:sz w:val="16"/>
      <w:szCs w:val="16"/>
      <w:lang w:val="en-US"/>
    </w:rPr>
  </w:style>
  <w:style w:type="paragraph" w:customStyle="1" w:styleId="TableSubHeading">
    <w:name w:val="Table Sub Heading"/>
    <w:basedOn w:val="BodyText"/>
    <w:qFormat/>
    <w:rsid w:val="00CD2595"/>
    <w:pPr>
      <w:spacing w:line="240" w:lineRule="auto"/>
      <w:jc w:val="left"/>
    </w:pPr>
    <w:rPr>
      <w:color w:val="007073"/>
      <w:sz w:val="16"/>
      <w:szCs w:val="16"/>
      <w:lang w:val="en-US"/>
    </w:rPr>
  </w:style>
  <w:style w:type="character" w:customStyle="1" w:styleId="BodyTextChar1">
    <w:name w:val="Body Text Char1"/>
    <w:rsid w:val="00CD2595"/>
    <w:rPr>
      <w:rFonts w:ascii="Arial" w:eastAsia="Times New Roman" w:hAnsi="Arial" w:cs="Arial"/>
      <w:color w:val="54534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bly0001\AppData\Local\objective.ssi.govt.nz-8000\Objects\GRAPHMAKING%20Graphs-YP%20YPP%20activities%20by%20month_5%20categories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orp.ssi.govt.nz\usersp\phall010\Documents\Work%20-%20Desktop\GRAPHMAKING%20Graphs-YP%20YPP%20activities%20by%20month_5%20categories2.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orp.ssi.govt.nz\usersp\phall010\Documents\Work%20-%20Desktop\GRAPHMAKING%20Graphs-YP%20YPP%20activities%20by%20month_5%20categories2.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bly0001\AppData\Local\objective.ssi.govt.nz-8000\Objects\GRAPHMAKING%20Graphs-YP%20YPP%20activities%20by%20month_5%20categories2.xls"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bly0001\AppData\Local\objective.ssi.govt.nz-8000\Objects\2014%20Youth%20client%20outcomes%20and%20Youth%20Service%20participation.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mbly0001\AppData\Local\objective.ssi.govt.nz-8000\Objects\2014%20Youth%20client%20outcomes%20and%20Youth%20Service%20participation.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552930883639546E-2"/>
          <c:y val="3.8796774606995779E-2"/>
          <c:w val="0.88034847756706469"/>
          <c:h val="0.76722880010369077"/>
        </c:manualLayout>
      </c:layout>
      <c:lineChart>
        <c:grouping val="standard"/>
        <c:varyColors val="0"/>
        <c:ser>
          <c:idx val="0"/>
          <c:order val="0"/>
          <c:tx>
            <c:v>NEET</c:v>
          </c:tx>
          <c:spPr>
            <a:ln w="19050">
              <a:solidFill>
                <a:schemeClr val="bg1">
                  <a:lumMod val="50000"/>
                </a:schemeClr>
              </a:solidFill>
            </a:ln>
          </c:spPr>
          <c:marker>
            <c:symbol val="diamond"/>
            <c:size val="4"/>
            <c:spPr>
              <a:noFill/>
              <a:ln>
                <a:solidFill>
                  <a:schemeClr val="bg1">
                    <a:lumMod val="50000"/>
                  </a:schemeClr>
                </a:solidFill>
              </a:ln>
            </c:spPr>
          </c:marker>
          <c:val>
            <c:numRef>
              <c:f>'Graph_%'!$E$51:$E$69</c:f>
              <c:numCache>
                <c:formatCode>General</c:formatCode>
                <c:ptCount val="19"/>
                <c:pt idx="1">
                  <c:v>0.53700000000000003</c:v>
                </c:pt>
                <c:pt idx="2">
                  <c:v>0.625</c:v>
                </c:pt>
                <c:pt idx="3">
                  <c:v>0.67799999999999994</c:v>
                </c:pt>
                <c:pt idx="4">
                  <c:v>0.73299999999999998</c:v>
                </c:pt>
                <c:pt idx="5">
                  <c:v>0.77900000000000003</c:v>
                </c:pt>
                <c:pt idx="6">
                  <c:v>0.81200000000000006</c:v>
                </c:pt>
                <c:pt idx="7">
                  <c:v>0.83299999999999996</c:v>
                </c:pt>
                <c:pt idx="8">
                  <c:v>0.85199999999999998</c:v>
                </c:pt>
                <c:pt idx="9">
                  <c:v>0.85799999999999998</c:v>
                </c:pt>
                <c:pt idx="10">
                  <c:v>0.86699999999999999</c:v>
                </c:pt>
                <c:pt idx="11">
                  <c:v>0.87</c:v>
                </c:pt>
                <c:pt idx="12">
                  <c:v>0.875</c:v>
                </c:pt>
                <c:pt idx="13">
                  <c:v>0.877</c:v>
                </c:pt>
                <c:pt idx="14">
                  <c:v>0.88300000000000001</c:v>
                </c:pt>
                <c:pt idx="15">
                  <c:v>0.88900000000000001</c:v>
                </c:pt>
                <c:pt idx="16">
                  <c:v>0.90300000000000002</c:v>
                </c:pt>
                <c:pt idx="17">
                  <c:v>0.91</c:v>
                </c:pt>
                <c:pt idx="18">
                  <c:v>0.91900000000000004</c:v>
                </c:pt>
              </c:numCache>
            </c:numRef>
          </c:val>
          <c:smooth val="0"/>
        </c:ser>
        <c:ser>
          <c:idx val="1"/>
          <c:order val="1"/>
          <c:tx>
            <c:strRef>
              <c:f>'Graph_%'!$F$27</c:f>
              <c:strCache>
                <c:ptCount val="1"/>
                <c:pt idx="0">
                  <c:v>Youth Payment (YP)</c:v>
                </c:pt>
              </c:strCache>
            </c:strRef>
          </c:tx>
          <c:spPr>
            <a:ln w="19050">
              <a:solidFill>
                <a:srgbClr val="80BDC1"/>
              </a:solidFill>
            </a:ln>
          </c:spPr>
          <c:marker>
            <c:symbol val="circle"/>
            <c:size val="4"/>
            <c:spPr>
              <a:solidFill>
                <a:srgbClr val="80BDC1"/>
              </a:solidFill>
              <a:ln>
                <a:solidFill>
                  <a:srgbClr val="80BDC1"/>
                </a:solidFill>
              </a:ln>
            </c:spPr>
          </c:marker>
          <c:cat>
            <c:numRef>
              <c:f>'Graph_%'!$A$2:$A$20</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'Graph_%'!$E$28:$E$46</c:f>
              <c:numCache>
                <c:formatCode>General</c:formatCode>
                <c:ptCount val="19"/>
                <c:pt idx="1">
                  <c:v>0.46500000000000002</c:v>
                </c:pt>
                <c:pt idx="2">
                  <c:v>0.54</c:v>
                </c:pt>
                <c:pt idx="3">
                  <c:v>0.60299999999999998</c:v>
                </c:pt>
                <c:pt idx="4">
                  <c:v>0.65400000000000003</c:v>
                </c:pt>
                <c:pt idx="5">
                  <c:v>0.71299999999999997</c:v>
                </c:pt>
                <c:pt idx="6">
                  <c:v>0.746</c:v>
                </c:pt>
                <c:pt idx="7">
                  <c:v>0.77300000000000002</c:v>
                </c:pt>
                <c:pt idx="8">
                  <c:v>0.79400000000000004</c:v>
                </c:pt>
                <c:pt idx="9">
                  <c:v>0.81799999999999995</c:v>
                </c:pt>
                <c:pt idx="10">
                  <c:v>0.83299999999999996</c:v>
                </c:pt>
                <c:pt idx="11">
                  <c:v>0.84299999999999997</c:v>
                </c:pt>
                <c:pt idx="12">
                  <c:v>0.84499999999999997</c:v>
                </c:pt>
                <c:pt idx="13">
                  <c:v>0.84599999999999997</c:v>
                </c:pt>
                <c:pt idx="14">
                  <c:v>0.83400000000000007</c:v>
                </c:pt>
                <c:pt idx="15">
                  <c:v>0.81900000000000006</c:v>
                </c:pt>
                <c:pt idx="16">
                  <c:v>0.80099999999999993</c:v>
                </c:pt>
                <c:pt idx="17">
                  <c:v>0.77599999999999991</c:v>
                </c:pt>
                <c:pt idx="18">
                  <c:v>0.74299999999999999</c:v>
                </c:pt>
              </c:numCache>
            </c:numRef>
          </c:val>
          <c:smooth val="0"/>
        </c:ser>
        <c:ser>
          <c:idx val="2"/>
          <c:order val="2"/>
          <c:tx>
            <c:strRef>
              <c:f>'Graph_%'!$F$1</c:f>
              <c:strCache>
                <c:ptCount val="1"/>
                <c:pt idx="0">
                  <c:v>Young Parent Payment (YPP)</c:v>
                </c:pt>
              </c:strCache>
            </c:strRef>
          </c:tx>
          <c:spPr>
            <a:ln w="19050">
              <a:solidFill>
                <a:srgbClr val="007073"/>
              </a:solidFill>
            </a:ln>
          </c:spPr>
          <c:marker>
            <c:symbol val="square"/>
            <c:size val="4"/>
            <c:spPr>
              <a:solidFill>
                <a:srgbClr val="007073"/>
              </a:solidFill>
              <a:ln>
                <a:solidFill>
                  <a:srgbClr val="007073"/>
                </a:solidFill>
              </a:ln>
            </c:spPr>
          </c:marker>
          <c:cat>
            <c:numRef>
              <c:f>'Graph_%'!$A$2:$A$20</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'Graph_%'!$E$2:$E$20</c:f>
              <c:numCache>
                <c:formatCode>General</c:formatCode>
                <c:ptCount val="19"/>
                <c:pt idx="1">
                  <c:v>0.36599999999999999</c:v>
                </c:pt>
                <c:pt idx="2">
                  <c:v>0.42499999999999999</c:v>
                </c:pt>
                <c:pt idx="3">
                  <c:v>0.46500000000000002</c:v>
                </c:pt>
                <c:pt idx="4">
                  <c:v>0.50600000000000001</c:v>
                </c:pt>
                <c:pt idx="5">
                  <c:v>0.55200000000000005</c:v>
                </c:pt>
                <c:pt idx="6">
                  <c:v>0.59599999999999997</c:v>
                </c:pt>
                <c:pt idx="7">
                  <c:v>0.624</c:v>
                </c:pt>
                <c:pt idx="8">
                  <c:v>0.65900000000000003</c:v>
                </c:pt>
                <c:pt idx="9">
                  <c:v>0.71900000000000008</c:v>
                </c:pt>
                <c:pt idx="10">
                  <c:v>0.74299999999999999</c:v>
                </c:pt>
                <c:pt idx="11">
                  <c:v>0.77700000000000002</c:v>
                </c:pt>
                <c:pt idx="12">
                  <c:v>0.78799999999999992</c:v>
                </c:pt>
                <c:pt idx="13">
                  <c:v>0.80099999999999993</c:v>
                </c:pt>
                <c:pt idx="14">
                  <c:v>0.81400000000000006</c:v>
                </c:pt>
                <c:pt idx="15">
                  <c:v>0.82099999999999995</c:v>
                </c:pt>
                <c:pt idx="16">
                  <c:v>0.83</c:v>
                </c:pt>
                <c:pt idx="17">
                  <c:v>0.82</c:v>
                </c:pt>
                <c:pt idx="18">
                  <c:v>0.80900000000000005</c:v>
                </c:pt>
              </c:numCache>
            </c:numRef>
          </c:val>
          <c:smooth val="0"/>
        </c:ser>
        <c:dLbls>
          <c:showLegendKey val="0"/>
          <c:showVal val="0"/>
          <c:showCatName val="0"/>
          <c:showSerName val="0"/>
          <c:showPercent val="0"/>
          <c:showBubbleSize val="0"/>
        </c:dLbls>
        <c:marker val="1"/>
        <c:smooth val="0"/>
        <c:axId val="154797568"/>
        <c:axId val="154812416"/>
      </c:lineChart>
      <c:catAx>
        <c:axId val="154797568"/>
        <c:scaling>
          <c:orientation val="minMax"/>
        </c:scaling>
        <c:delete val="0"/>
        <c:axPos val="b"/>
        <c:title>
          <c:tx>
            <c:rich>
              <a:bodyPr/>
              <a:lstStyle/>
              <a:p>
                <a:pPr>
                  <a:defRPr/>
                </a:pPr>
                <a:r>
                  <a:rPr lang="en-NZ"/>
                  <a:t>Months since starting Youth Service</a:t>
                </a:r>
              </a:p>
            </c:rich>
          </c:tx>
          <c:layout/>
          <c:overlay val="0"/>
        </c:title>
        <c:numFmt formatCode="General" sourceLinked="1"/>
        <c:majorTickMark val="out"/>
        <c:minorTickMark val="none"/>
        <c:tickLblPos val="nextTo"/>
        <c:crossAx val="154812416"/>
        <c:crosses val="autoZero"/>
        <c:auto val="0"/>
        <c:lblAlgn val="ctr"/>
        <c:lblOffset val="100"/>
        <c:tickLblSkip val="2"/>
        <c:tickMarkSkip val="1"/>
        <c:noMultiLvlLbl val="0"/>
      </c:catAx>
      <c:valAx>
        <c:axId val="154812416"/>
        <c:scaling>
          <c:orientation val="minMax"/>
          <c:max val="1"/>
          <c:min val="0"/>
        </c:scaling>
        <c:delete val="0"/>
        <c:axPos val="l"/>
        <c:majorGridlines>
          <c:spPr>
            <a:ln>
              <a:solidFill>
                <a:schemeClr val="bg1">
                  <a:lumMod val="75000"/>
                </a:schemeClr>
              </a:solidFill>
              <a:prstDash val="sysDot"/>
            </a:ln>
          </c:spPr>
        </c:majorGridlines>
        <c:title>
          <c:tx>
            <c:rich>
              <a:bodyPr rot="-5400000" vert="horz"/>
              <a:lstStyle/>
              <a:p>
                <a:pPr>
                  <a:defRPr/>
                </a:pPr>
                <a:r>
                  <a:rPr lang="en-NZ"/>
                  <a:t>Percent</a:t>
                </a:r>
                <a:r>
                  <a:rPr lang="en-NZ" baseline="0"/>
                  <a:t> enrolled in Activity (part or full time)</a:t>
                </a:r>
                <a:endParaRPr lang="en-NZ"/>
              </a:p>
            </c:rich>
          </c:tx>
          <c:layout>
            <c:manualLayout>
              <c:xMode val="edge"/>
              <c:yMode val="edge"/>
              <c:x val="2.0866369173524022E-3"/>
              <c:y val="7.2666543313939527E-2"/>
            </c:manualLayout>
          </c:layout>
          <c:overlay val="0"/>
        </c:title>
        <c:numFmt formatCode="0%" sourceLinked="0"/>
        <c:majorTickMark val="out"/>
        <c:minorTickMark val="none"/>
        <c:tickLblPos val="nextTo"/>
        <c:crossAx val="154797568"/>
        <c:crosses val="autoZero"/>
        <c:crossBetween val="midCat"/>
        <c:majorUnit val="0.1"/>
        <c:minorUnit val="5.000000000000001E-2"/>
      </c:valAx>
    </c:plotArea>
    <c:legend>
      <c:legendPos val="r"/>
      <c:layout>
        <c:manualLayout>
          <c:xMode val="edge"/>
          <c:yMode val="edge"/>
          <c:x val="2.0865936358894104E-3"/>
          <c:y val="0.91850232096784079"/>
          <c:w val="0.99791340636411063"/>
          <c:h val="8.1497679032159195E-2"/>
        </c:manualLayout>
      </c:layout>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0935270415141"/>
          <c:y val="3.8796774606995779E-2"/>
          <c:w val="0.85700473180289083"/>
          <c:h val="0.77718611954832428"/>
        </c:manualLayout>
      </c:layout>
      <c:lineChart>
        <c:grouping val="standard"/>
        <c:varyColors val="0"/>
        <c:ser>
          <c:idx val="2"/>
          <c:order val="0"/>
          <c:tx>
            <c:strRef>
              <c:f>'Graph_%'!$C$1</c:f>
              <c:strCache>
                <c:ptCount val="1"/>
                <c:pt idx="0">
                  <c:v>Education</c:v>
                </c:pt>
              </c:strCache>
            </c:strRef>
          </c:tx>
          <c:spPr>
            <a:ln w="19050">
              <a:solidFill>
                <a:srgbClr val="007073"/>
              </a:solidFill>
            </a:ln>
          </c:spPr>
          <c:marker>
            <c:symbol val="square"/>
            <c:size val="4"/>
            <c:spPr>
              <a:solidFill>
                <a:srgbClr val="007073"/>
              </a:solidFill>
              <a:ln>
                <a:solidFill>
                  <a:srgbClr val="007073"/>
                </a:solidFill>
              </a:ln>
            </c:spPr>
          </c:marker>
          <c:cat>
            <c:numRef>
              <c:f>'Graph_%'!$A$28:$A$46</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'Graph_%'!$C$28:$C$46</c:f>
              <c:numCache>
                <c:formatCode>General</c:formatCode>
                <c:ptCount val="19"/>
                <c:pt idx="1">
                  <c:v>0.374</c:v>
                </c:pt>
                <c:pt idx="2">
                  <c:v>0.433</c:v>
                </c:pt>
                <c:pt idx="3">
                  <c:v>0.48399999999999999</c:v>
                </c:pt>
                <c:pt idx="4">
                  <c:v>0.52200000000000002</c:v>
                </c:pt>
                <c:pt idx="5">
                  <c:v>0.56799999999999995</c:v>
                </c:pt>
                <c:pt idx="6">
                  <c:v>0.59899999999999998</c:v>
                </c:pt>
                <c:pt idx="7">
                  <c:v>0.623</c:v>
                </c:pt>
                <c:pt idx="8">
                  <c:v>0.64900000000000002</c:v>
                </c:pt>
                <c:pt idx="9">
                  <c:v>0.68200000000000005</c:v>
                </c:pt>
                <c:pt idx="10">
                  <c:v>0.70099999999999996</c:v>
                </c:pt>
                <c:pt idx="11">
                  <c:v>0.71</c:v>
                </c:pt>
                <c:pt idx="12">
                  <c:v>0.71700000000000008</c:v>
                </c:pt>
                <c:pt idx="13">
                  <c:v>0.71599999999999997</c:v>
                </c:pt>
                <c:pt idx="14">
                  <c:v>0.71400000000000008</c:v>
                </c:pt>
                <c:pt idx="15">
                  <c:v>0.7</c:v>
                </c:pt>
                <c:pt idx="16">
                  <c:v>0.69400000000000006</c:v>
                </c:pt>
                <c:pt idx="17">
                  <c:v>0.66900000000000004</c:v>
                </c:pt>
                <c:pt idx="18">
                  <c:v>0.64500000000000002</c:v>
                </c:pt>
              </c:numCache>
            </c:numRef>
          </c:val>
          <c:smooth val="0"/>
        </c:ser>
        <c:ser>
          <c:idx val="1"/>
          <c:order val="1"/>
          <c:tx>
            <c:strRef>
              <c:f>'Graph_%'!$B$1</c:f>
              <c:strCache>
                <c:ptCount val="1"/>
                <c:pt idx="0">
                  <c:v>Training</c:v>
                </c:pt>
              </c:strCache>
            </c:strRef>
          </c:tx>
          <c:spPr>
            <a:ln w="19050">
              <a:solidFill>
                <a:srgbClr val="80BDC1"/>
              </a:solidFill>
            </a:ln>
          </c:spPr>
          <c:marker>
            <c:symbol val="circle"/>
            <c:size val="4"/>
            <c:spPr>
              <a:solidFill>
                <a:srgbClr val="80BDC1"/>
              </a:solidFill>
              <a:ln>
                <a:solidFill>
                  <a:srgbClr val="80BDC1"/>
                </a:solidFill>
              </a:ln>
            </c:spPr>
          </c:marker>
          <c:cat>
            <c:numRef>
              <c:f>'Graph_%'!$A$28:$A$46</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'Graph_%'!$B$28:$B$46</c:f>
              <c:numCache>
                <c:formatCode>General</c:formatCode>
                <c:ptCount val="19"/>
                <c:pt idx="1">
                  <c:v>0.105</c:v>
                </c:pt>
                <c:pt idx="2">
                  <c:v>0.126</c:v>
                </c:pt>
                <c:pt idx="3">
                  <c:v>0.14599999999999999</c:v>
                </c:pt>
                <c:pt idx="4">
                  <c:v>0.16300000000000001</c:v>
                </c:pt>
                <c:pt idx="5">
                  <c:v>0.187</c:v>
                </c:pt>
                <c:pt idx="6">
                  <c:v>0.20300000000000001</c:v>
                </c:pt>
                <c:pt idx="7">
                  <c:v>0.215</c:v>
                </c:pt>
                <c:pt idx="8">
                  <c:v>0.221</c:v>
                </c:pt>
                <c:pt idx="9">
                  <c:v>0.222</c:v>
                </c:pt>
                <c:pt idx="10">
                  <c:v>0.22899999999999998</c:v>
                </c:pt>
                <c:pt idx="11">
                  <c:v>0.24600000000000002</c:v>
                </c:pt>
                <c:pt idx="12">
                  <c:v>0.25</c:v>
                </c:pt>
                <c:pt idx="13">
                  <c:v>0.251</c:v>
                </c:pt>
                <c:pt idx="14">
                  <c:v>0.24399999999999999</c:v>
                </c:pt>
                <c:pt idx="15">
                  <c:v>0.23800000000000002</c:v>
                </c:pt>
                <c:pt idx="16">
                  <c:v>0.24</c:v>
                </c:pt>
                <c:pt idx="17">
                  <c:v>0.245</c:v>
                </c:pt>
                <c:pt idx="18">
                  <c:v>0.24</c:v>
                </c:pt>
              </c:numCache>
            </c:numRef>
          </c:val>
          <c:smooth val="0"/>
        </c:ser>
        <c:ser>
          <c:idx val="4"/>
          <c:order val="2"/>
          <c:tx>
            <c:strRef>
              <c:f>'Graph_%'!$D$1</c:f>
              <c:strCache>
                <c:ptCount val="1"/>
                <c:pt idx="0">
                  <c:v>Work-based learning</c:v>
                </c:pt>
              </c:strCache>
            </c:strRef>
          </c:tx>
          <c:spPr>
            <a:ln w="19050">
              <a:solidFill>
                <a:schemeClr val="bg1">
                  <a:lumMod val="50000"/>
                </a:schemeClr>
              </a:solidFill>
            </a:ln>
          </c:spPr>
          <c:marker>
            <c:symbol val="triangle"/>
            <c:size val="4"/>
            <c:spPr>
              <a:solidFill>
                <a:schemeClr val="bg1">
                  <a:lumMod val="50000"/>
                </a:schemeClr>
              </a:solidFill>
              <a:ln>
                <a:solidFill>
                  <a:schemeClr val="bg1">
                    <a:lumMod val="50000"/>
                  </a:schemeClr>
                </a:solidFill>
              </a:ln>
            </c:spPr>
          </c:marker>
          <c:cat>
            <c:numRef>
              <c:f>'Graph_%'!$A$28:$A$46</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'Graph_%'!$D$28:$D$46</c:f>
              <c:numCache>
                <c:formatCode>General</c:formatCode>
                <c:ptCount val="19"/>
                <c:pt idx="1">
                  <c:v>1.3000000000000001E-2</c:v>
                </c:pt>
                <c:pt idx="2">
                  <c:v>1.3000000000000001E-2</c:v>
                </c:pt>
                <c:pt idx="3">
                  <c:v>1.6E-2</c:v>
                </c:pt>
                <c:pt idx="4">
                  <c:v>1.8000000000000002E-2</c:v>
                </c:pt>
                <c:pt idx="5">
                  <c:v>2.2000000000000002E-2</c:v>
                </c:pt>
                <c:pt idx="6">
                  <c:v>2.5000000000000001E-2</c:v>
                </c:pt>
                <c:pt idx="7">
                  <c:v>2.7000000000000003E-2</c:v>
                </c:pt>
                <c:pt idx="8">
                  <c:v>2.7000000000000003E-2</c:v>
                </c:pt>
                <c:pt idx="9">
                  <c:v>2.3E-2</c:v>
                </c:pt>
                <c:pt idx="10">
                  <c:v>2.7000000000000003E-2</c:v>
                </c:pt>
                <c:pt idx="11">
                  <c:v>2.5000000000000001E-2</c:v>
                </c:pt>
                <c:pt idx="12">
                  <c:v>2.5000000000000001E-2</c:v>
                </c:pt>
                <c:pt idx="13">
                  <c:v>2.8999999999999998E-2</c:v>
                </c:pt>
                <c:pt idx="14">
                  <c:v>2.7999999999999997E-2</c:v>
                </c:pt>
                <c:pt idx="15">
                  <c:v>3.2000000000000001E-2</c:v>
                </c:pt>
                <c:pt idx="16">
                  <c:v>3.1E-2</c:v>
                </c:pt>
                <c:pt idx="17">
                  <c:v>3.3000000000000002E-2</c:v>
                </c:pt>
                <c:pt idx="18">
                  <c:v>3.2000000000000001E-2</c:v>
                </c:pt>
              </c:numCache>
            </c:numRef>
          </c:val>
          <c:smooth val="0"/>
        </c:ser>
        <c:dLbls>
          <c:showLegendKey val="0"/>
          <c:showVal val="0"/>
          <c:showCatName val="0"/>
          <c:showSerName val="0"/>
          <c:showPercent val="0"/>
          <c:showBubbleSize val="0"/>
        </c:dLbls>
        <c:marker val="1"/>
        <c:smooth val="0"/>
        <c:axId val="154855680"/>
        <c:axId val="154858240"/>
      </c:lineChart>
      <c:catAx>
        <c:axId val="154855680"/>
        <c:scaling>
          <c:orientation val="minMax"/>
        </c:scaling>
        <c:delete val="0"/>
        <c:axPos val="b"/>
        <c:title>
          <c:tx>
            <c:rich>
              <a:bodyPr/>
              <a:lstStyle/>
              <a:p>
                <a:pPr>
                  <a:defRPr/>
                </a:pPr>
                <a:r>
                  <a:rPr lang="en-NZ"/>
                  <a:t>Months since starting Youth Service (YP)</a:t>
                </a:r>
              </a:p>
            </c:rich>
          </c:tx>
          <c:layout/>
          <c:overlay val="0"/>
        </c:title>
        <c:numFmt formatCode="General" sourceLinked="1"/>
        <c:majorTickMark val="out"/>
        <c:minorTickMark val="none"/>
        <c:tickLblPos val="nextTo"/>
        <c:crossAx val="154858240"/>
        <c:crosses val="autoZero"/>
        <c:auto val="0"/>
        <c:lblAlgn val="ctr"/>
        <c:lblOffset val="100"/>
        <c:tickLblSkip val="2"/>
        <c:tickMarkSkip val="1"/>
        <c:noMultiLvlLbl val="0"/>
      </c:catAx>
      <c:valAx>
        <c:axId val="154858240"/>
        <c:scaling>
          <c:orientation val="minMax"/>
          <c:max val="0.9"/>
          <c:min val="0"/>
        </c:scaling>
        <c:delete val="0"/>
        <c:axPos val="l"/>
        <c:majorGridlines>
          <c:spPr>
            <a:ln>
              <a:solidFill>
                <a:schemeClr val="bg1">
                  <a:lumMod val="75000"/>
                </a:schemeClr>
              </a:solidFill>
              <a:prstDash val="sysDot"/>
            </a:ln>
          </c:spPr>
        </c:majorGridlines>
        <c:title>
          <c:tx>
            <c:rich>
              <a:bodyPr rot="-5400000" vert="horz"/>
              <a:lstStyle/>
              <a:p>
                <a:pPr>
                  <a:defRPr/>
                </a:pPr>
                <a:r>
                  <a:rPr lang="en-NZ"/>
                  <a:t>Percent</a:t>
                </a:r>
                <a:r>
                  <a:rPr lang="en-NZ" baseline="0"/>
                  <a:t> enrolled in a main activity (part or full time)</a:t>
                </a:r>
                <a:endParaRPr lang="en-NZ"/>
              </a:p>
            </c:rich>
          </c:tx>
          <c:layout>
            <c:manualLayout>
              <c:xMode val="edge"/>
              <c:yMode val="edge"/>
              <c:x val="2.0865248986733803E-3"/>
              <c:y val="5.1797223135805807E-2"/>
            </c:manualLayout>
          </c:layout>
          <c:overlay val="0"/>
        </c:title>
        <c:numFmt formatCode="0%" sourceLinked="0"/>
        <c:majorTickMark val="out"/>
        <c:minorTickMark val="none"/>
        <c:tickLblPos val="nextTo"/>
        <c:crossAx val="154855680"/>
        <c:crosses val="autoZero"/>
        <c:crossBetween val="midCat"/>
        <c:majorUnit val="0.1"/>
        <c:minorUnit val="5.000000000000001E-2"/>
      </c:valAx>
    </c:plotArea>
    <c:legend>
      <c:legendPos val="r"/>
      <c:layout>
        <c:manualLayout>
          <c:xMode val="edge"/>
          <c:yMode val="edge"/>
          <c:x val="2.0865936358894104E-3"/>
          <c:y val="0.91195031824953088"/>
          <c:w val="0.98994919062347253"/>
          <c:h val="7.7687967136786037E-2"/>
        </c:manualLayout>
      </c:layout>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34195725534309"/>
          <c:y val="3.8796774606995779E-2"/>
          <c:w val="0.86130089988751402"/>
          <c:h val="0.77341504855973608"/>
        </c:manualLayout>
      </c:layout>
      <c:lineChart>
        <c:grouping val="standard"/>
        <c:varyColors val="0"/>
        <c:ser>
          <c:idx val="2"/>
          <c:order val="0"/>
          <c:tx>
            <c:strRef>
              <c:f>'Graph_%'!$C$1</c:f>
              <c:strCache>
                <c:ptCount val="1"/>
                <c:pt idx="0">
                  <c:v>Education</c:v>
                </c:pt>
              </c:strCache>
            </c:strRef>
          </c:tx>
          <c:spPr>
            <a:ln w="19050">
              <a:solidFill>
                <a:srgbClr val="007073"/>
              </a:solidFill>
            </a:ln>
          </c:spPr>
          <c:marker>
            <c:symbol val="square"/>
            <c:size val="4"/>
            <c:spPr>
              <a:solidFill>
                <a:srgbClr val="007073"/>
              </a:solidFill>
              <a:ln>
                <a:solidFill>
                  <a:srgbClr val="007073"/>
                </a:solidFill>
              </a:ln>
            </c:spPr>
          </c:marker>
          <c:cat>
            <c:numRef>
              <c:f>'Graph_%'!$A$2:$A$20</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'Graph_%'!$C$2:$C$20</c:f>
              <c:numCache>
                <c:formatCode>General</c:formatCode>
                <c:ptCount val="19"/>
                <c:pt idx="1">
                  <c:v>0.318</c:v>
                </c:pt>
                <c:pt idx="2">
                  <c:v>0.36799999999999999</c:v>
                </c:pt>
                <c:pt idx="3">
                  <c:v>0.39899999999999997</c:v>
                </c:pt>
                <c:pt idx="4">
                  <c:v>0.434</c:v>
                </c:pt>
                <c:pt idx="5">
                  <c:v>0.47100000000000003</c:v>
                </c:pt>
                <c:pt idx="6">
                  <c:v>0.50800000000000001</c:v>
                </c:pt>
                <c:pt idx="7">
                  <c:v>0.52800000000000002</c:v>
                </c:pt>
                <c:pt idx="8">
                  <c:v>0.56100000000000005</c:v>
                </c:pt>
                <c:pt idx="9">
                  <c:v>0.621</c:v>
                </c:pt>
                <c:pt idx="10">
                  <c:v>0.64500000000000002</c:v>
                </c:pt>
                <c:pt idx="11">
                  <c:v>0.68</c:v>
                </c:pt>
                <c:pt idx="12">
                  <c:v>0.68400000000000005</c:v>
                </c:pt>
                <c:pt idx="13">
                  <c:v>0.69400000000000006</c:v>
                </c:pt>
                <c:pt idx="14">
                  <c:v>0.70499999999999996</c:v>
                </c:pt>
                <c:pt idx="15">
                  <c:v>0.71200000000000008</c:v>
                </c:pt>
                <c:pt idx="16">
                  <c:v>0.71599999999999997</c:v>
                </c:pt>
                <c:pt idx="17">
                  <c:v>0.69099999999999995</c:v>
                </c:pt>
                <c:pt idx="18">
                  <c:v>0.69700000000000006</c:v>
                </c:pt>
              </c:numCache>
            </c:numRef>
          </c:val>
          <c:smooth val="0"/>
        </c:ser>
        <c:ser>
          <c:idx val="1"/>
          <c:order val="1"/>
          <c:tx>
            <c:strRef>
              <c:f>'Graph_%'!$B$1</c:f>
              <c:strCache>
                <c:ptCount val="1"/>
                <c:pt idx="0">
                  <c:v>Training</c:v>
                </c:pt>
              </c:strCache>
            </c:strRef>
          </c:tx>
          <c:spPr>
            <a:ln w="19050">
              <a:solidFill>
                <a:srgbClr val="80BDC1"/>
              </a:solidFill>
            </a:ln>
          </c:spPr>
          <c:marker>
            <c:symbol val="circle"/>
            <c:size val="4"/>
            <c:spPr>
              <a:solidFill>
                <a:srgbClr val="80BDC1"/>
              </a:solidFill>
              <a:ln>
                <a:solidFill>
                  <a:srgbClr val="80BDC1"/>
                </a:solidFill>
              </a:ln>
            </c:spPr>
          </c:marker>
          <c:cat>
            <c:numRef>
              <c:f>'Graph_%'!$A$2:$A$20</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'Graph_%'!$B$2:$B$20</c:f>
              <c:numCache>
                <c:formatCode>General</c:formatCode>
                <c:ptCount val="19"/>
                <c:pt idx="1">
                  <c:v>5.7999999999999996E-2</c:v>
                </c:pt>
                <c:pt idx="2">
                  <c:v>7.0000000000000007E-2</c:v>
                </c:pt>
                <c:pt idx="3">
                  <c:v>8.199999999999999E-2</c:v>
                </c:pt>
                <c:pt idx="4">
                  <c:v>9.4E-2</c:v>
                </c:pt>
                <c:pt idx="5">
                  <c:v>0.11199999999999999</c:v>
                </c:pt>
                <c:pt idx="6">
                  <c:v>0.12300000000000001</c:v>
                </c:pt>
                <c:pt idx="7">
                  <c:v>0.13699999999999998</c:v>
                </c:pt>
                <c:pt idx="8">
                  <c:v>0.15</c:v>
                </c:pt>
                <c:pt idx="9">
                  <c:v>0.161</c:v>
                </c:pt>
                <c:pt idx="10">
                  <c:v>0.16500000000000001</c:v>
                </c:pt>
                <c:pt idx="11">
                  <c:v>0.18600000000000003</c:v>
                </c:pt>
                <c:pt idx="12">
                  <c:v>0.19600000000000001</c:v>
                </c:pt>
                <c:pt idx="13">
                  <c:v>0.19600000000000001</c:v>
                </c:pt>
                <c:pt idx="14">
                  <c:v>0.21</c:v>
                </c:pt>
                <c:pt idx="15">
                  <c:v>0.218</c:v>
                </c:pt>
                <c:pt idx="16">
                  <c:v>0.23</c:v>
                </c:pt>
                <c:pt idx="17">
                  <c:v>0.254</c:v>
                </c:pt>
                <c:pt idx="18">
                  <c:v>0.25600000000000001</c:v>
                </c:pt>
              </c:numCache>
            </c:numRef>
          </c:val>
          <c:smooth val="0"/>
        </c:ser>
        <c:ser>
          <c:idx val="4"/>
          <c:order val="2"/>
          <c:tx>
            <c:strRef>
              <c:f>'Graph_%'!$D$1</c:f>
              <c:strCache>
                <c:ptCount val="1"/>
                <c:pt idx="0">
                  <c:v>Work-based learning</c:v>
                </c:pt>
              </c:strCache>
            </c:strRef>
          </c:tx>
          <c:spPr>
            <a:ln w="19050">
              <a:solidFill>
                <a:schemeClr val="bg1">
                  <a:lumMod val="50000"/>
                </a:schemeClr>
              </a:solidFill>
            </a:ln>
          </c:spPr>
          <c:marker>
            <c:symbol val="triangle"/>
            <c:size val="4"/>
            <c:spPr>
              <a:solidFill>
                <a:schemeClr val="bg1">
                  <a:lumMod val="50000"/>
                </a:schemeClr>
              </a:solidFill>
              <a:ln>
                <a:solidFill>
                  <a:schemeClr val="bg1">
                    <a:lumMod val="50000"/>
                  </a:schemeClr>
                </a:solidFill>
              </a:ln>
            </c:spPr>
          </c:marker>
          <c:cat>
            <c:numRef>
              <c:f>'Graph_%'!$A$2:$A$20</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'Graph_%'!$D$2:$D$20</c:f>
              <c:numCache>
                <c:formatCode>General</c:formatCode>
                <c:ptCount val="19"/>
                <c:pt idx="1">
                  <c:v>6.9999999999999993E-3</c:v>
                </c:pt>
                <c:pt idx="2">
                  <c:v>9.0000000000000011E-3</c:v>
                </c:pt>
                <c:pt idx="3">
                  <c:v>9.0000000000000011E-3</c:v>
                </c:pt>
                <c:pt idx="4">
                  <c:v>0.01</c:v>
                </c:pt>
                <c:pt idx="5">
                  <c:v>1.1000000000000001E-2</c:v>
                </c:pt>
                <c:pt idx="6">
                  <c:v>1.2E-2</c:v>
                </c:pt>
                <c:pt idx="7">
                  <c:v>1.3000000000000001E-2</c:v>
                </c:pt>
                <c:pt idx="8">
                  <c:v>1.4999999999999999E-2</c:v>
                </c:pt>
                <c:pt idx="9">
                  <c:v>1.3999999999999999E-2</c:v>
                </c:pt>
                <c:pt idx="10">
                  <c:v>1.4999999999999999E-2</c:v>
                </c:pt>
                <c:pt idx="11">
                  <c:v>1.3999999999999999E-2</c:v>
                </c:pt>
                <c:pt idx="12">
                  <c:v>1.7000000000000001E-2</c:v>
                </c:pt>
                <c:pt idx="13">
                  <c:v>1.6E-2</c:v>
                </c:pt>
                <c:pt idx="14">
                  <c:v>1.9E-2</c:v>
                </c:pt>
                <c:pt idx="15">
                  <c:v>2.2000000000000002E-2</c:v>
                </c:pt>
                <c:pt idx="16">
                  <c:v>1.9E-2</c:v>
                </c:pt>
                <c:pt idx="17">
                  <c:v>1.9E-2</c:v>
                </c:pt>
                <c:pt idx="18">
                  <c:v>2.2000000000000002E-2</c:v>
                </c:pt>
              </c:numCache>
            </c:numRef>
          </c:val>
          <c:smooth val="0"/>
        </c:ser>
        <c:dLbls>
          <c:showLegendKey val="0"/>
          <c:showVal val="0"/>
          <c:showCatName val="0"/>
          <c:showSerName val="0"/>
          <c:showPercent val="0"/>
          <c:showBubbleSize val="0"/>
        </c:dLbls>
        <c:marker val="1"/>
        <c:smooth val="0"/>
        <c:axId val="140910976"/>
        <c:axId val="140912896"/>
      </c:lineChart>
      <c:catAx>
        <c:axId val="140910976"/>
        <c:scaling>
          <c:orientation val="minMax"/>
        </c:scaling>
        <c:delete val="0"/>
        <c:axPos val="b"/>
        <c:title>
          <c:tx>
            <c:rich>
              <a:bodyPr/>
              <a:lstStyle/>
              <a:p>
                <a:pPr>
                  <a:defRPr/>
                </a:pPr>
                <a:r>
                  <a:rPr lang="en-NZ"/>
                  <a:t>Months since starting Youth Service (YPP)</a:t>
                </a:r>
              </a:p>
            </c:rich>
          </c:tx>
          <c:layout/>
          <c:overlay val="0"/>
        </c:title>
        <c:numFmt formatCode="General" sourceLinked="1"/>
        <c:majorTickMark val="out"/>
        <c:minorTickMark val="none"/>
        <c:tickLblPos val="nextTo"/>
        <c:crossAx val="140912896"/>
        <c:crosses val="autoZero"/>
        <c:auto val="0"/>
        <c:lblAlgn val="ctr"/>
        <c:lblOffset val="100"/>
        <c:tickLblSkip val="2"/>
        <c:tickMarkSkip val="1"/>
        <c:noMultiLvlLbl val="0"/>
      </c:catAx>
      <c:valAx>
        <c:axId val="140912896"/>
        <c:scaling>
          <c:orientation val="minMax"/>
          <c:max val="0.9"/>
          <c:min val="0"/>
        </c:scaling>
        <c:delete val="0"/>
        <c:axPos val="l"/>
        <c:majorGridlines>
          <c:spPr>
            <a:ln>
              <a:solidFill>
                <a:schemeClr val="bg1">
                  <a:lumMod val="75000"/>
                </a:schemeClr>
              </a:solidFill>
              <a:prstDash val="sysDot"/>
            </a:ln>
          </c:spPr>
        </c:majorGridlines>
        <c:title>
          <c:tx>
            <c:rich>
              <a:bodyPr rot="-5400000" vert="horz"/>
              <a:lstStyle/>
              <a:p>
                <a:pPr>
                  <a:defRPr/>
                </a:pPr>
                <a:r>
                  <a:rPr lang="en-NZ"/>
                  <a:t>Percent</a:t>
                </a:r>
                <a:r>
                  <a:rPr lang="en-NZ" baseline="0"/>
                  <a:t> enrolled in a  main activity (part or full time)</a:t>
                </a:r>
                <a:endParaRPr lang="en-NZ"/>
              </a:p>
            </c:rich>
          </c:tx>
          <c:layout>
            <c:manualLayout>
              <c:xMode val="edge"/>
              <c:yMode val="edge"/>
              <c:x val="2.0866141732283463E-3"/>
              <c:y val="4.863359442993908E-2"/>
            </c:manualLayout>
          </c:layout>
          <c:overlay val="0"/>
        </c:title>
        <c:numFmt formatCode="0%" sourceLinked="0"/>
        <c:majorTickMark val="out"/>
        <c:minorTickMark val="none"/>
        <c:tickLblPos val="nextTo"/>
        <c:spPr>
          <a:ln>
            <a:solidFill>
              <a:schemeClr val="bg1">
                <a:lumMod val="85000"/>
              </a:schemeClr>
            </a:solidFill>
          </a:ln>
        </c:spPr>
        <c:crossAx val="140910976"/>
        <c:crosses val="autoZero"/>
        <c:crossBetween val="midCat"/>
        <c:majorUnit val="0.1"/>
        <c:minorUnit val="5.000000000000001E-2"/>
      </c:valAx>
    </c:plotArea>
    <c:legend>
      <c:legendPos val="r"/>
      <c:layout>
        <c:manualLayout>
          <c:xMode val="edge"/>
          <c:yMode val="edge"/>
          <c:x val="2.0865936358894104E-3"/>
          <c:y val="0.91850232096784079"/>
          <c:w val="0.98994919062347253"/>
          <c:h val="7.113607614334827E-2"/>
        </c:manualLayout>
      </c:layout>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552930883639546E-2"/>
          <c:y val="3.8796774606995779E-2"/>
          <c:w val="0.88034847756706469"/>
          <c:h val="0.76326307696386442"/>
        </c:manualLayout>
      </c:layout>
      <c:lineChart>
        <c:grouping val="standard"/>
        <c:varyColors val="0"/>
        <c:ser>
          <c:idx val="2"/>
          <c:order val="0"/>
          <c:tx>
            <c:strRef>
              <c:f>'Graph_%'!$C$1</c:f>
              <c:strCache>
                <c:ptCount val="1"/>
                <c:pt idx="0">
                  <c:v>Education</c:v>
                </c:pt>
              </c:strCache>
            </c:strRef>
          </c:tx>
          <c:spPr>
            <a:ln w="19050">
              <a:solidFill>
                <a:srgbClr val="007073"/>
              </a:solidFill>
            </a:ln>
          </c:spPr>
          <c:marker>
            <c:symbol val="square"/>
            <c:size val="4"/>
            <c:spPr>
              <a:solidFill>
                <a:srgbClr val="007073"/>
              </a:solidFill>
              <a:ln>
                <a:solidFill>
                  <a:srgbClr val="007073"/>
                </a:solidFill>
              </a:ln>
            </c:spPr>
          </c:marker>
          <c:cat>
            <c:numRef>
              <c:f>'Graph_%'!$A$51:$A$69</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'Graph_%'!$C$51:$C$69</c:f>
              <c:numCache>
                <c:formatCode>General</c:formatCode>
                <c:ptCount val="19"/>
                <c:pt idx="1">
                  <c:v>0.42299999999999999</c:v>
                </c:pt>
                <c:pt idx="2">
                  <c:v>0.48399999999999999</c:v>
                </c:pt>
                <c:pt idx="3">
                  <c:v>0.52600000000000002</c:v>
                </c:pt>
                <c:pt idx="4">
                  <c:v>0.57299999999999995</c:v>
                </c:pt>
                <c:pt idx="5">
                  <c:v>0.61</c:v>
                </c:pt>
                <c:pt idx="6">
                  <c:v>0.64</c:v>
                </c:pt>
                <c:pt idx="7">
                  <c:v>0.65500000000000003</c:v>
                </c:pt>
                <c:pt idx="8">
                  <c:v>0.66700000000000004</c:v>
                </c:pt>
                <c:pt idx="9">
                  <c:v>0.66799999999999993</c:v>
                </c:pt>
                <c:pt idx="10">
                  <c:v>0.67799999999999994</c:v>
                </c:pt>
                <c:pt idx="11">
                  <c:v>0.67500000000000004</c:v>
                </c:pt>
                <c:pt idx="12">
                  <c:v>0.68099999999999994</c:v>
                </c:pt>
                <c:pt idx="13">
                  <c:v>0.66700000000000004</c:v>
                </c:pt>
                <c:pt idx="14">
                  <c:v>0.65400000000000003</c:v>
                </c:pt>
                <c:pt idx="15">
                  <c:v>0.67099999999999993</c:v>
                </c:pt>
                <c:pt idx="16">
                  <c:v>0.69400000000000006</c:v>
                </c:pt>
                <c:pt idx="17">
                  <c:v>0.70099999999999996</c:v>
                </c:pt>
                <c:pt idx="18">
                  <c:v>0.70299999999999996</c:v>
                </c:pt>
              </c:numCache>
            </c:numRef>
          </c:val>
          <c:smooth val="0"/>
        </c:ser>
        <c:ser>
          <c:idx val="1"/>
          <c:order val="1"/>
          <c:tx>
            <c:strRef>
              <c:f>'Graph_%'!$B$1</c:f>
              <c:strCache>
                <c:ptCount val="1"/>
                <c:pt idx="0">
                  <c:v>Training</c:v>
                </c:pt>
              </c:strCache>
            </c:strRef>
          </c:tx>
          <c:spPr>
            <a:ln w="19050">
              <a:solidFill>
                <a:srgbClr val="80BDC1"/>
              </a:solidFill>
            </a:ln>
          </c:spPr>
          <c:marker>
            <c:symbol val="circle"/>
            <c:size val="4"/>
            <c:spPr>
              <a:solidFill>
                <a:srgbClr val="80BDC1"/>
              </a:solidFill>
              <a:ln>
                <a:solidFill>
                  <a:srgbClr val="80BDC1"/>
                </a:solidFill>
              </a:ln>
            </c:spPr>
          </c:marker>
          <c:cat>
            <c:numRef>
              <c:f>'Graph_%'!$A$51:$A$69</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'Graph_%'!$B$51:$B$69</c:f>
              <c:numCache>
                <c:formatCode>General</c:formatCode>
                <c:ptCount val="19"/>
                <c:pt idx="1">
                  <c:v>0.113</c:v>
                </c:pt>
                <c:pt idx="2">
                  <c:v>0.14099999999999999</c:v>
                </c:pt>
                <c:pt idx="3">
                  <c:v>0.157</c:v>
                </c:pt>
                <c:pt idx="4">
                  <c:v>0.17300000000000001</c:v>
                </c:pt>
                <c:pt idx="5">
                  <c:v>0.19</c:v>
                </c:pt>
                <c:pt idx="6">
                  <c:v>0.20199999999999999</c:v>
                </c:pt>
                <c:pt idx="7">
                  <c:v>0.21899999999999997</c:v>
                </c:pt>
                <c:pt idx="8">
                  <c:v>0.24</c:v>
                </c:pt>
                <c:pt idx="9">
                  <c:v>0.255</c:v>
                </c:pt>
                <c:pt idx="10">
                  <c:v>0.26200000000000001</c:v>
                </c:pt>
                <c:pt idx="11">
                  <c:v>0.28499999999999998</c:v>
                </c:pt>
                <c:pt idx="12">
                  <c:v>0.29499999999999998</c:v>
                </c:pt>
                <c:pt idx="13">
                  <c:v>0.32400000000000001</c:v>
                </c:pt>
                <c:pt idx="14">
                  <c:v>0.35</c:v>
                </c:pt>
                <c:pt idx="15">
                  <c:v>0.35</c:v>
                </c:pt>
                <c:pt idx="16">
                  <c:v>0.379</c:v>
                </c:pt>
                <c:pt idx="17">
                  <c:v>0.38500000000000001</c:v>
                </c:pt>
                <c:pt idx="18">
                  <c:v>0.42299999999999999</c:v>
                </c:pt>
              </c:numCache>
            </c:numRef>
          </c:val>
          <c:smooth val="0"/>
        </c:ser>
        <c:ser>
          <c:idx val="4"/>
          <c:order val="2"/>
          <c:tx>
            <c:strRef>
              <c:f>'Graph_%'!$D$1</c:f>
              <c:strCache>
                <c:ptCount val="1"/>
                <c:pt idx="0">
                  <c:v>Work-based learning</c:v>
                </c:pt>
              </c:strCache>
            </c:strRef>
          </c:tx>
          <c:spPr>
            <a:ln w="19050">
              <a:solidFill>
                <a:schemeClr val="bg1">
                  <a:lumMod val="50000"/>
                </a:schemeClr>
              </a:solidFill>
            </a:ln>
          </c:spPr>
          <c:marker>
            <c:symbol val="triangle"/>
            <c:size val="4"/>
            <c:spPr>
              <a:solidFill>
                <a:schemeClr val="bg1">
                  <a:lumMod val="50000"/>
                </a:schemeClr>
              </a:solidFill>
              <a:ln>
                <a:solidFill>
                  <a:schemeClr val="bg1">
                    <a:lumMod val="50000"/>
                  </a:schemeClr>
                </a:solidFill>
              </a:ln>
            </c:spPr>
          </c:marker>
          <c:cat>
            <c:numRef>
              <c:f>'Graph_%'!$A$51:$A$69</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'Graph_%'!$D$51:$D$69</c:f>
              <c:numCache>
                <c:formatCode>General</c:formatCode>
                <c:ptCount val="19"/>
                <c:pt idx="1">
                  <c:v>2.1000000000000001E-2</c:v>
                </c:pt>
                <c:pt idx="2">
                  <c:v>3.2000000000000001E-2</c:v>
                </c:pt>
                <c:pt idx="3">
                  <c:v>3.7999999999999999E-2</c:v>
                </c:pt>
                <c:pt idx="4">
                  <c:v>4.4000000000000004E-2</c:v>
                </c:pt>
                <c:pt idx="5">
                  <c:v>0.05</c:v>
                </c:pt>
                <c:pt idx="6">
                  <c:v>5.5E-2</c:v>
                </c:pt>
                <c:pt idx="7">
                  <c:v>6.3E-2</c:v>
                </c:pt>
                <c:pt idx="8">
                  <c:v>6.9000000000000006E-2</c:v>
                </c:pt>
                <c:pt idx="9">
                  <c:v>7.5999999999999998E-2</c:v>
                </c:pt>
                <c:pt idx="10">
                  <c:v>8.4000000000000005E-2</c:v>
                </c:pt>
                <c:pt idx="11">
                  <c:v>0.09</c:v>
                </c:pt>
                <c:pt idx="12">
                  <c:v>9.4E-2</c:v>
                </c:pt>
                <c:pt idx="13">
                  <c:v>0.111</c:v>
                </c:pt>
                <c:pt idx="14">
                  <c:v>0.13400000000000001</c:v>
                </c:pt>
                <c:pt idx="15">
                  <c:v>0.14300000000000002</c:v>
                </c:pt>
                <c:pt idx="16">
                  <c:v>0.159</c:v>
                </c:pt>
                <c:pt idx="17">
                  <c:v>0.17</c:v>
                </c:pt>
                <c:pt idx="18">
                  <c:v>0.20899999999999999</c:v>
                </c:pt>
              </c:numCache>
            </c:numRef>
          </c:val>
          <c:smooth val="0"/>
        </c:ser>
        <c:dLbls>
          <c:showLegendKey val="0"/>
          <c:showVal val="0"/>
          <c:showCatName val="0"/>
          <c:showSerName val="0"/>
          <c:showPercent val="0"/>
          <c:showBubbleSize val="0"/>
        </c:dLbls>
        <c:marker val="1"/>
        <c:smooth val="0"/>
        <c:axId val="141296000"/>
        <c:axId val="141298304"/>
      </c:lineChart>
      <c:catAx>
        <c:axId val="141296000"/>
        <c:scaling>
          <c:orientation val="minMax"/>
        </c:scaling>
        <c:delete val="0"/>
        <c:axPos val="b"/>
        <c:title>
          <c:tx>
            <c:rich>
              <a:bodyPr/>
              <a:lstStyle/>
              <a:p>
                <a:pPr>
                  <a:defRPr/>
                </a:pPr>
                <a:r>
                  <a:rPr lang="en-NZ"/>
                  <a:t>Months since starting Youth Service (NEET)</a:t>
                </a:r>
              </a:p>
            </c:rich>
          </c:tx>
          <c:layout/>
          <c:overlay val="0"/>
        </c:title>
        <c:numFmt formatCode="General" sourceLinked="1"/>
        <c:majorTickMark val="out"/>
        <c:minorTickMark val="none"/>
        <c:tickLblPos val="nextTo"/>
        <c:crossAx val="141298304"/>
        <c:crosses val="autoZero"/>
        <c:auto val="0"/>
        <c:lblAlgn val="ctr"/>
        <c:lblOffset val="100"/>
        <c:tickLblSkip val="2"/>
        <c:tickMarkSkip val="1"/>
        <c:noMultiLvlLbl val="0"/>
      </c:catAx>
      <c:valAx>
        <c:axId val="141298304"/>
        <c:scaling>
          <c:orientation val="minMax"/>
          <c:max val="0.9"/>
          <c:min val="0"/>
        </c:scaling>
        <c:delete val="0"/>
        <c:axPos val="l"/>
        <c:majorGridlines>
          <c:spPr>
            <a:ln>
              <a:solidFill>
                <a:schemeClr val="bg1">
                  <a:lumMod val="75000"/>
                </a:schemeClr>
              </a:solidFill>
              <a:prstDash val="sysDot"/>
            </a:ln>
          </c:spPr>
        </c:majorGridlines>
        <c:title>
          <c:tx>
            <c:rich>
              <a:bodyPr rot="-5400000" vert="horz"/>
              <a:lstStyle/>
              <a:p>
                <a:pPr>
                  <a:defRPr/>
                </a:pPr>
                <a:r>
                  <a:rPr lang="en-NZ"/>
                  <a:t>Percent</a:t>
                </a:r>
                <a:r>
                  <a:rPr lang="en-NZ" baseline="0"/>
                  <a:t> enrolled in main activity (part or full time)</a:t>
                </a:r>
                <a:endParaRPr lang="en-NZ"/>
              </a:p>
            </c:rich>
          </c:tx>
          <c:layout>
            <c:manualLayout>
              <c:xMode val="edge"/>
              <c:yMode val="edge"/>
              <c:x val="2.086657772429609E-3"/>
              <c:y val="4.9794526622845468E-2"/>
            </c:manualLayout>
          </c:layout>
          <c:overlay val="0"/>
        </c:title>
        <c:numFmt formatCode="0%" sourceLinked="0"/>
        <c:majorTickMark val="out"/>
        <c:minorTickMark val="none"/>
        <c:tickLblPos val="nextTo"/>
        <c:crossAx val="141296000"/>
        <c:crosses val="autoZero"/>
        <c:crossBetween val="midCat"/>
        <c:majorUnit val="0.1"/>
        <c:minorUnit val="5.000000000000001E-2"/>
      </c:valAx>
    </c:plotArea>
    <c:legend>
      <c:legendPos val="r"/>
      <c:layout>
        <c:manualLayout>
          <c:xMode val="edge"/>
          <c:yMode val="edge"/>
          <c:x val="2.0865936358894104E-3"/>
          <c:y val="0.91850232096784079"/>
          <c:w val="0.98994919062347253"/>
          <c:h val="7.113607614334827E-2"/>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87808078868191"/>
          <c:y val="3.8796774606995779E-2"/>
          <c:w val="0.86002320594072079"/>
          <c:h val="0.77076832907043991"/>
        </c:manualLayout>
      </c:layout>
      <c:lineChart>
        <c:grouping val="standard"/>
        <c:varyColors val="0"/>
        <c:ser>
          <c:idx val="1"/>
          <c:order val="0"/>
          <c:tx>
            <c:v>Youth Payment (YP)</c:v>
          </c:tx>
          <c:spPr>
            <a:ln w="19037">
              <a:solidFill>
                <a:srgbClr val="4BACC6">
                  <a:lumMod val="50000"/>
                </a:srgbClr>
              </a:solidFill>
            </a:ln>
          </c:spPr>
          <c:marker>
            <c:symbol val="circle"/>
            <c:size val="3"/>
            <c:spPr>
              <a:solidFill>
                <a:srgbClr val="4BACC6">
                  <a:lumMod val="50000"/>
                </a:srgbClr>
              </a:solidFill>
              <a:ln>
                <a:solidFill>
                  <a:srgbClr val="4BACC6">
                    <a:lumMod val="50000"/>
                  </a:srgbClr>
                </a:solidFill>
              </a:ln>
            </c:spPr>
          </c:marker>
          <c:cat>
            <c:numRef>
              <c:f>'Graph_%'!$A$2:$A$20</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'Graph_%'!$B$98:$B$116</c:f>
              <c:numCache>
                <c:formatCode>General</c:formatCode>
                <c:ptCount val="19"/>
                <c:pt idx="0">
                  <c:v>0</c:v>
                </c:pt>
                <c:pt idx="1">
                  <c:v>0.32799999999999996</c:v>
                </c:pt>
                <c:pt idx="2">
                  <c:v>0.47</c:v>
                </c:pt>
                <c:pt idx="3">
                  <c:v>0.53200000000000003</c:v>
                </c:pt>
                <c:pt idx="4">
                  <c:v>0.55399999999999994</c:v>
                </c:pt>
                <c:pt idx="5">
                  <c:v>0.56200000000000006</c:v>
                </c:pt>
                <c:pt idx="6">
                  <c:v>0.46100000000000002</c:v>
                </c:pt>
                <c:pt idx="7">
                  <c:v>0.42</c:v>
                </c:pt>
                <c:pt idx="8">
                  <c:v>0.40600000000000003</c:v>
                </c:pt>
                <c:pt idx="9">
                  <c:v>0.40399999999999997</c:v>
                </c:pt>
                <c:pt idx="10">
                  <c:v>0.38600000000000001</c:v>
                </c:pt>
                <c:pt idx="11">
                  <c:v>0.36899999999999999</c:v>
                </c:pt>
                <c:pt idx="12">
                  <c:v>0.35899999999999999</c:v>
                </c:pt>
                <c:pt idx="13">
                  <c:v>0.35399999999999998</c:v>
                </c:pt>
                <c:pt idx="14">
                  <c:v>0.33500000000000002</c:v>
                </c:pt>
                <c:pt idx="15">
                  <c:v>0.30599999999999999</c:v>
                </c:pt>
                <c:pt idx="16">
                  <c:v>0.25800000000000001</c:v>
                </c:pt>
                <c:pt idx="17">
                  <c:v>0.22699999999999998</c:v>
                </c:pt>
                <c:pt idx="18">
                  <c:v>0.17899999999999999</c:v>
                </c:pt>
              </c:numCache>
            </c:numRef>
          </c:val>
          <c:smooth val="0"/>
        </c:ser>
        <c:ser>
          <c:idx val="2"/>
          <c:order val="1"/>
          <c:tx>
            <c:v>Young Parent Payment (YPP)</c:v>
          </c:tx>
          <c:spPr>
            <a:ln w="19037">
              <a:solidFill>
                <a:srgbClr val="4BACC6"/>
              </a:solidFill>
            </a:ln>
          </c:spPr>
          <c:marker>
            <c:symbol val="square"/>
            <c:size val="3"/>
            <c:spPr>
              <a:solidFill>
                <a:srgbClr val="4BACC6"/>
              </a:solidFill>
              <a:ln>
                <a:solidFill>
                  <a:srgbClr val="4BACC6"/>
                </a:solidFill>
              </a:ln>
            </c:spPr>
          </c:marker>
          <c:cat>
            <c:numRef>
              <c:f>'Graph_%'!$A$2:$A$20</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'Graph_%'!$B$156:$B$174</c:f>
              <c:numCache>
                <c:formatCode>General</c:formatCode>
                <c:ptCount val="19"/>
                <c:pt idx="0">
                  <c:v>0</c:v>
                </c:pt>
                <c:pt idx="1">
                  <c:v>0.35700000000000004</c:v>
                </c:pt>
                <c:pt idx="2">
                  <c:v>0.47600000000000003</c:v>
                </c:pt>
                <c:pt idx="3">
                  <c:v>0.51700000000000002</c:v>
                </c:pt>
                <c:pt idx="4">
                  <c:v>0.52900000000000003</c:v>
                </c:pt>
                <c:pt idx="5">
                  <c:v>0.53200000000000003</c:v>
                </c:pt>
                <c:pt idx="6">
                  <c:v>0.45700000000000002</c:v>
                </c:pt>
                <c:pt idx="7">
                  <c:v>0.41600000000000004</c:v>
                </c:pt>
                <c:pt idx="8">
                  <c:v>0.38500000000000001</c:v>
                </c:pt>
                <c:pt idx="9">
                  <c:v>0.40799999999999997</c:v>
                </c:pt>
                <c:pt idx="10">
                  <c:v>0.40899999999999997</c:v>
                </c:pt>
                <c:pt idx="11">
                  <c:v>0.40600000000000003</c:v>
                </c:pt>
                <c:pt idx="12">
                  <c:v>0.41</c:v>
                </c:pt>
                <c:pt idx="13">
                  <c:v>0.40299999999999997</c:v>
                </c:pt>
                <c:pt idx="14">
                  <c:v>0.376</c:v>
                </c:pt>
                <c:pt idx="15">
                  <c:v>0.32899999999999996</c:v>
                </c:pt>
                <c:pt idx="16">
                  <c:v>0.25600000000000001</c:v>
                </c:pt>
                <c:pt idx="17">
                  <c:v>0.252</c:v>
                </c:pt>
                <c:pt idx="18">
                  <c:v>0.222</c:v>
                </c:pt>
              </c:numCache>
            </c:numRef>
          </c:val>
          <c:smooth val="0"/>
        </c:ser>
        <c:dLbls>
          <c:showLegendKey val="0"/>
          <c:showVal val="0"/>
          <c:showCatName val="0"/>
          <c:showSerName val="0"/>
          <c:showPercent val="0"/>
          <c:showBubbleSize val="0"/>
        </c:dLbls>
        <c:marker val="1"/>
        <c:smooth val="0"/>
        <c:axId val="143864960"/>
        <c:axId val="143867264"/>
      </c:lineChart>
      <c:catAx>
        <c:axId val="143864960"/>
        <c:scaling>
          <c:orientation val="minMax"/>
        </c:scaling>
        <c:delete val="0"/>
        <c:axPos val="b"/>
        <c:title>
          <c:tx>
            <c:rich>
              <a:bodyPr/>
              <a:lstStyle/>
              <a:p>
                <a:pPr>
                  <a:defRPr sz="899" b="0" i="0" u="none" strike="noStrike" baseline="0">
                    <a:solidFill>
                      <a:srgbClr val="000000"/>
                    </a:solidFill>
                    <a:latin typeface="Arial"/>
                    <a:ea typeface="Arial"/>
                    <a:cs typeface="Arial"/>
                  </a:defRPr>
                </a:pPr>
                <a:r>
                  <a:rPr lang="en-NZ"/>
                  <a:t>Months since starting Youth Service </a:t>
                </a:r>
              </a:p>
            </c:rich>
          </c:tx>
          <c:layout>
            <c:manualLayout>
              <c:xMode val="edge"/>
              <c:yMode val="edge"/>
              <c:x val="0.3298812774469268"/>
              <c:y val="0.89195738070311714"/>
            </c:manualLayout>
          </c:layout>
          <c:overlay val="0"/>
        </c:title>
        <c:numFmt formatCode="General" sourceLinked="1"/>
        <c:majorTickMark val="out"/>
        <c:minorTickMark val="none"/>
        <c:tickLblPos val="nextTo"/>
        <c:crossAx val="143867264"/>
        <c:crosses val="autoZero"/>
        <c:auto val="0"/>
        <c:lblAlgn val="ctr"/>
        <c:lblOffset val="100"/>
        <c:tickLblSkip val="2"/>
        <c:tickMarkSkip val="1"/>
        <c:noMultiLvlLbl val="0"/>
      </c:catAx>
      <c:valAx>
        <c:axId val="143867264"/>
        <c:scaling>
          <c:orientation val="minMax"/>
          <c:max val="0.70000000000000007"/>
          <c:min val="0"/>
        </c:scaling>
        <c:delete val="0"/>
        <c:axPos val="l"/>
        <c:majorGridlines>
          <c:spPr>
            <a:ln>
              <a:solidFill>
                <a:schemeClr val="bg1">
                  <a:lumMod val="75000"/>
                </a:schemeClr>
              </a:solidFill>
              <a:prstDash val="sysDot"/>
            </a:ln>
          </c:spPr>
        </c:majorGridlines>
        <c:title>
          <c:tx>
            <c:rich>
              <a:bodyPr/>
              <a:lstStyle/>
              <a:p>
                <a:pPr>
                  <a:defRPr sz="899" b="0" i="0" u="none" strike="noStrike" baseline="0">
                    <a:solidFill>
                      <a:srgbClr val="000000"/>
                    </a:solidFill>
                    <a:latin typeface="Arial"/>
                    <a:ea typeface="Arial"/>
                    <a:cs typeface="Arial"/>
                  </a:defRPr>
                </a:pPr>
                <a:r>
                  <a:rPr lang="en-NZ" sz="899"/>
                  <a:t>Proportion enrolled in a budgeting activity</a:t>
                </a:r>
              </a:p>
            </c:rich>
          </c:tx>
          <c:layout>
            <c:manualLayout>
              <c:xMode val="edge"/>
              <c:yMode val="edge"/>
              <c:x val="1.5027728422796715E-2"/>
              <c:y val="0.11774883368632315"/>
            </c:manualLayout>
          </c:layout>
          <c:overlay val="0"/>
        </c:title>
        <c:numFmt formatCode="0%" sourceLinked="0"/>
        <c:majorTickMark val="out"/>
        <c:minorTickMark val="none"/>
        <c:tickLblPos val="nextTo"/>
        <c:crossAx val="143864960"/>
        <c:crosses val="autoZero"/>
        <c:crossBetween val="midCat"/>
        <c:majorUnit val="0.1"/>
        <c:minorUnit val="5.000000000000001E-2"/>
      </c:valAx>
    </c:plotArea>
    <c:legend>
      <c:legendPos val="r"/>
      <c:layout>
        <c:manualLayout>
          <c:xMode val="edge"/>
          <c:yMode val="edge"/>
          <c:x val="6.4065614819650615E-3"/>
          <c:y val="0.92610190710980966"/>
          <c:w val="0.98994935958161623"/>
          <c:h val="7.1136088422738664E-2"/>
        </c:manualLayout>
      </c:layout>
      <c:overlay val="0"/>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4946093084976"/>
          <c:y val="3.3409263477600606E-2"/>
          <c:w val="0.82474902996154031"/>
          <c:h val="0.6295682743529496"/>
        </c:manualLayout>
      </c:layout>
      <c:scatterChart>
        <c:scatterStyle val="smoothMarker"/>
        <c:varyColors val="0"/>
        <c:ser>
          <c:idx val="4"/>
          <c:order val="0"/>
          <c:tx>
            <c:strRef>
              <c:f>Ys_par_comp!$Q$252</c:f>
              <c:strCache>
                <c:ptCount val="1"/>
                <c:pt idx="0">
                  <c:v>Participants on any main benefit</c:v>
                </c:pt>
              </c:strCache>
            </c:strRef>
          </c:tx>
          <c:spPr>
            <a:ln w="19050">
              <a:solidFill>
                <a:srgbClr val="007073"/>
              </a:solidFill>
            </a:ln>
          </c:spPr>
          <c:marker>
            <c:symbol val="square"/>
            <c:size val="4"/>
            <c:spPr>
              <a:solidFill>
                <a:srgbClr val="007073"/>
              </a:solidFill>
              <a:ln>
                <a:solidFill>
                  <a:srgbClr val="007073"/>
                </a:solidFill>
              </a:ln>
            </c:spPr>
          </c:marker>
          <c:xVal>
            <c:numRef>
              <c:f>Ys_par_comp!$B$253:$B$313</c:f>
              <c:numCache>
                <c:formatCode>0.0</c:formatCode>
                <c:ptCount val="61"/>
                <c:pt idx="0">
                  <c:v>-1.5</c:v>
                </c:pt>
                <c:pt idx="1">
                  <c:v>-1.4166666666666667</c:v>
                </c:pt>
                <c:pt idx="2">
                  <c:v>-1.3333333333333333</c:v>
                </c:pt>
                <c:pt idx="3">
                  <c:v>-1.25</c:v>
                </c:pt>
                <c:pt idx="4">
                  <c:v>-1.1666666666666667</c:v>
                </c:pt>
                <c:pt idx="5">
                  <c:v>-1.0833333333333333</c:v>
                </c:pt>
                <c:pt idx="6">
                  <c:v>-1</c:v>
                </c:pt>
                <c:pt idx="7">
                  <c:v>-0.91666666666666663</c:v>
                </c:pt>
                <c:pt idx="8">
                  <c:v>-0.83333333333333337</c:v>
                </c:pt>
                <c:pt idx="9">
                  <c:v>-0.75</c:v>
                </c:pt>
                <c:pt idx="10">
                  <c:v>-0.66666666666666663</c:v>
                </c:pt>
                <c:pt idx="11">
                  <c:v>-0.58333333333333337</c:v>
                </c:pt>
                <c:pt idx="12">
                  <c:v>-0.5</c:v>
                </c:pt>
                <c:pt idx="13">
                  <c:v>-0.41666666666666669</c:v>
                </c:pt>
                <c:pt idx="14">
                  <c:v>-0.33333333333333331</c:v>
                </c:pt>
                <c:pt idx="15">
                  <c:v>-0.25</c:v>
                </c:pt>
                <c:pt idx="16">
                  <c:v>-0.16666666666666666</c:v>
                </c:pt>
                <c:pt idx="17">
                  <c:v>-8.3333333333333329E-2</c:v>
                </c:pt>
                <c:pt idx="18">
                  <c:v>0</c:v>
                </c:pt>
                <c:pt idx="19">
                  <c:v>8.3333333333333329E-2</c:v>
                </c:pt>
                <c:pt idx="20">
                  <c:v>0.16666666666666666</c:v>
                </c:pt>
                <c:pt idx="21">
                  <c:v>0.25</c:v>
                </c:pt>
                <c:pt idx="22">
                  <c:v>0.33333333333333331</c:v>
                </c:pt>
                <c:pt idx="23">
                  <c:v>0.41666666666666669</c:v>
                </c:pt>
                <c:pt idx="24">
                  <c:v>0.5</c:v>
                </c:pt>
                <c:pt idx="25">
                  <c:v>0.58333333333333337</c:v>
                </c:pt>
                <c:pt idx="26">
                  <c:v>0.66666666666666663</c:v>
                </c:pt>
                <c:pt idx="27">
                  <c:v>0.75</c:v>
                </c:pt>
                <c:pt idx="28">
                  <c:v>0.83333333333333337</c:v>
                </c:pt>
                <c:pt idx="29">
                  <c:v>0.91666666666666663</c:v>
                </c:pt>
                <c:pt idx="30">
                  <c:v>1</c:v>
                </c:pt>
                <c:pt idx="31">
                  <c:v>1.0833333333333333</c:v>
                </c:pt>
                <c:pt idx="32">
                  <c:v>1.1666666666666667</c:v>
                </c:pt>
                <c:pt idx="33">
                  <c:v>1.25</c:v>
                </c:pt>
                <c:pt idx="34">
                  <c:v>1.3333333333333333</c:v>
                </c:pt>
                <c:pt idx="35">
                  <c:v>1.4166666666666667</c:v>
                </c:pt>
                <c:pt idx="36">
                  <c:v>1.5</c:v>
                </c:pt>
                <c:pt idx="37">
                  <c:v>1.5833333333333333</c:v>
                </c:pt>
                <c:pt idx="38">
                  <c:v>1.6666666666666667</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xVal>
          <c:yVal>
            <c:numRef>
              <c:f>Ys_par_comp!$Q$253:$Q$313</c:f>
              <c:numCache>
                <c:formatCode>0%</c:formatCode>
                <c:ptCount val="61"/>
                <c:pt idx="0">
                  <c:v>5.7869849133078133E-2</c:v>
                </c:pt>
                <c:pt idx="1">
                  <c:v>6.2823688358477819E-2</c:v>
                </c:pt>
                <c:pt idx="2">
                  <c:v>7.0238631247185948E-2</c:v>
                </c:pt>
                <c:pt idx="3">
                  <c:v>8.1738347219094801E-2</c:v>
                </c:pt>
                <c:pt idx="4">
                  <c:v>9.0499774876181896E-2</c:v>
                </c:pt>
                <c:pt idx="5">
                  <c:v>9.9729851418280058E-2</c:v>
                </c:pt>
                <c:pt idx="6">
                  <c:v>0.11191173159198378</c:v>
                </c:pt>
                <c:pt idx="7">
                  <c:v>0.12291760468257541</c:v>
                </c:pt>
                <c:pt idx="8">
                  <c:v>0.13420400810628236</c:v>
                </c:pt>
                <c:pt idx="9">
                  <c:v>0.14839000225174509</c:v>
                </c:pt>
                <c:pt idx="10">
                  <c:v>0.16640396307138031</c:v>
                </c:pt>
                <c:pt idx="11">
                  <c:v>0.18707789284106258</c:v>
                </c:pt>
                <c:pt idx="12">
                  <c:v>0.21336934503713706</c:v>
                </c:pt>
                <c:pt idx="13">
                  <c:v>0.2345262210218321</c:v>
                </c:pt>
                <c:pt idx="14">
                  <c:v>0.25967596759675965</c:v>
                </c:pt>
                <c:pt idx="15">
                  <c:v>0.28834907782276203</c:v>
                </c:pt>
                <c:pt idx="16">
                  <c:v>0.31713900134952766</c:v>
                </c:pt>
                <c:pt idx="17">
                  <c:v>0.37331838565022424</c:v>
                </c:pt>
                <c:pt idx="18">
                  <c:v>0.95913785361472836</c:v>
                </c:pt>
                <c:pt idx="19">
                  <c:v>0.9624094202898551</c:v>
                </c:pt>
                <c:pt idx="20">
                  <c:v>0.93316195372750643</c:v>
                </c:pt>
                <c:pt idx="21">
                  <c:v>0.88614708038113854</c:v>
                </c:pt>
                <c:pt idx="22">
                  <c:v>0.84986121625031541</c:v>
                </c:pt>
                <c:pt idx="23">
                  <c:v>0.80793650793650795</c:v>
                </c:pt>
                <c:pt idx="24">
                  <c:v>0.76631344116006694</c:v>
                </c:pt>
                <c:pt idx="25">
                  <c:v>0.7261447562776957</c:v>
                </c:pt>
                <c:pt idx="26">
                  <c:v>0.71085858585858586</c:v>
                </c:pt>
                <c:pt idx="27">
                  <c:v>0.68331668331668327</c:v>
                </c:pt>
                <c:pt idx="28">
                  <c:v>0.66796460176991146</c:v>
                </c:pt>
                <c:pt idx="29">
                  <c:v>0.65673330818559039</c:v>
                </c:pt>
                <c:pt idx="30">
                  <c:v>0.63647391831783262</c:v>
                </c:pt>
                <c:pt idx="31">
                  <c:v>0.62467306015693114</c:v>
                </c:pt>
                <c:pt idx="32">
                  <c:v>0.61825131390348786</c:v>
                </c:pt>
                <c:pt idx="33">
                  <c:v>0.60620399579390116</c:v>
                </c:pt>
                <c:pt idx="34">
                  <c:v>0.59656160458452723</c:v>
                </c:pt>
                <c:pt idx="35">
                  <c:v>0.58419243986254299</c:v>
                </c:pt>
                <c:pt idx="36">
                  <c:v>0.53902662993572081</c:v>
                </c:pt>
                <c:pt idx="37">
                  <c:v>0.54455445544554459</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yVal>
          <c:smooth val="1"/>
        </c:ser>
        <c:ser>
          <c:idx val="1"/>
          <c:order val="1"/>
          <c:tx>
            <c:strRef>
              <c:f>Ys_par_comp!$N$252</c:f>
              <c:strCache>
                <c:ptCount val="1"/>
                <c:pt idx="0">
                  <c:v>Comparison on any main benefit</c:v>
                </c:pt>
              </c:strCache>
            </c:strRef>
          </c:tx>
          <c:spPr>
            <a:ln w="12700">
              <a:solidFill>
                <a:srgbClr val="007073"/>
              </a:solidFill>
            </a:ln>
          </c:spPr>
          <c:marker>
            <c:symbol val="square"/>
            <c:size val="4"/>
            <c:spPr>
              <a:noFill/>
              <a:ln>
                <a:solidFill>
                  <a:srgbClr val="007073"/>
                </a:solidFill>
              </a:ln>
            </c:spPr>
          </c:marker>
          <c:xVal>
            <c:numRef>
              <c:f>Ys_par_comp!$B$253:$B$313</c:f>
              <c:numCache>
                <c:formatCode>0.0</c:formatCode>
                <c:ptCount val="61"/>
                <c:pt idx="0">
                  <c:v>-1.5</c:v>
                </c:pt>
                <c:pt idx="1">
                  <c:v>-1.4166666666666667</c:v>
                </c:pt>
                <c:pt idx="2">
                  <c:v>-1.3333333333333333</c:v>
                </c:pt>
                <c:pt idx="3">
                  <c:v>-1.25</c:v>
                </c:pt>
                <c:pt idx="4">
                  <c:v>-1.1666666666666667</c:v>
                </c:pt>
                <c:pt idx="5">
                  <c:v>-1.0833333333333333</c:v>
                </c:pt>
                <c:pt idx="6">
                  <c:v>-1</c:v>
                </c:pt>
                <c:pt idx="7">
                  <c:v>-0.91666666666666663</c:v>
                </c:pt>
                <c:pt idx="8">
                  <c:v>-0.83333333333333337</c:v>
                </c:pt>
                <c:pt idx="9">
                  <c:v>-0.75</c:v>
                </c:pt>
                <c:pt idx="10">
                  <c:v>-0.66666666666666663</c:v>
                </c:pt>
                <c:pt idx="11">
                  <c:v>-0.58333333333333337</c:v>
                </c:pt>
                <c:pt idx="12">
                  <c:v>-0.5</c:v>
                </c:pt>
                <c:pt idx="13">
                  <c:v>-0.41666666666666669</c:v>
                </c:pt>
                <c:pt idx="14">
                  <c:v>-0.33333333333333331</c:v>
                </c:pt>
                <c:pt idx="15">
                  <c:v>-0.25</c:v>
                </c:pt>
                <c:pt idx="16">
                  <c:v>-0.16666666666666666</c:v>
                </c:pt>
                <c:pt idx="17">
                  <c:v>-8.3333333333333329E-2</c:v>
                </c:pt>
                <c:pt idx="18">
                  <c:v>0</c:v>
                </c:pt>
                <c:pt idx="19">
                  <c:v>8.3333333333333329E-2</c:v>
                </c:pt>
                <c:pt idx="20">
                  <c:v>0.16666666666666666</c:v>
                </c:pt>
                <c:pt idx="21">
                  <c:v>0.25</c:v>
                </c:pt>
                <c:pt idx="22">
                  <c:v>0.33333333333333331</c:v>
                </c:pt>
                <c:pt idx="23">
                  <c:v>0.41666666666666669</c:v>
                </c:pt>
                <c:pt idx="24">
                  <c:v>0.5</c:v>
                </c:pt>
                <c:pt idx="25">
                  <c:v>0.58333333333333337</c:v>
                </c:pt>
                <c:pt idx="26">
                  <c:v>0.66666666666666663</c:v>
                </c:pt>
                <c:pt idx="27">
                  <c:v>0.75</c:v>
                </c:pt>
                <c:pt idx="28">
                  <c:v>0.83333333333333337</c:v>
                </c:pt>
                <c:pt idx="29">
                  <c:v>0.91666666666666663</c:v>
                </c:pt>
                <c:pt idx="30">
                  <c:v>1</c:v>
                </c:pt>
                <c:pt idx="31">
                  <c:v>1.0833333333333333</c:v>
                </c:pt>
                <c:pt idx="32">
                  <c:v>1.1666666666666667</c:v>
                </c:pt>
                <c:pt idx="33">
                  <c:v>1.25</c:v>
                </c:pt>
                <c:pt idx="34">
                  <c:v>1.3333333333333333</c:v>
                </c:pt>
                <c:pt idx="35">
                  <c:v>1.4166666666666667</c:v>
                </c:pt>
                <c:pt idx="36">
                  <c:v>1.5</c:v>
                </c:pt>
                <c:pt idx="37">
                  <c:v>1.5833333333333333</c:v>
                </c:pt>
                <c:pt idx="38">
                  <c:v>1.6666666666666667</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xVal>
          <c:yVal>
            <c:numRef>
              <c:f>Ys_par_comp!$N$253:$N$313</c:f>
              <c:numCache>
                <c:formatCode>0%</c:formatCode>
                <c:ptCount val="61"/>
                <c:pt idx="0">
                  <c:v>6.4232589587559161E-2</c:v>
                </c:pt>
                <c:pt idx="1">
                  <c:v>7.1444669821951773E-2</c:v>
                </c:pt>
                <c:pt idx="2">
                  <c:v>7.9558260085643456E-2</c:v>
                </c:pt>
                <c:pt idx="3">
                  <c:v>9.0827135451881896E-2</c:v>
                </c:pt>
                <c:pt idx="4">
                  <c:v>0.10432627309598919</c:v>
                </c:pt>
                <c:pt idx="5">
                  <c:v>0.11381564119900833</c:v>
                </c:pt>
                <c:pt idx="6">
                  <c:v>0.12759242560865644</c:v>
                </c:pt>
                <c:pt idx="7">
                  <c:v>0.14024802705749717</c:v>
                </c:pt>
                <c:pt idx="8">
                  <c:v>0.15068802165576359</c:v>
                </c:pt>
                <c:pt idx="9">
                  <c:v>0.1627172195892575</c:v>
                </c:pt>
                <c:pt idx="10">
                  <c:v>0.18171557562076748</c:v>
                </c:pt>
                <c:pt idx="11">
                  <c:v>0.20428893905191872</c:v>
                </c:pt>
                <c:pt idx="12">
                  <c:v>0.22628726287262874</c:v>
                </c:pt>
                <c:pt idx="13">
                  <c:v>0.24333483958427474</c:v>
                </c:pt>
                <c:pt idx="14">
                  <c:v>0.26701333936242372</c:v>
                </c:pt>
                <c:pt idx="15">
                  <c:v>0.29588607594936711</c:v>
                </c:pt>
                <c:pt idx="16">
                  <c:v>0.3242019470228662</c:v>
                </c:pt>
                <c:pt idx="17">
                  <c:v>0.38224637681159418</c:v>
                </c:pt>
                <c:pt idx="18">
                  <c:v>0.96513470681458002</c:v>
                </c:pt>
                <c:pt idx="19">
                  <c:v>0.93751430533302815</c:v>
                </c:pt>
                <c:pt idx="20">
                  <c:v>0.86033785391387108</c:v>
                </c:pt>
                <c:pt idx="21">
                  <c:v>0.81702127659574464</c:v>
                </c:pt>
                <c:pt idx="22">
                  <c:v>0.7858443924017694</c:v>
                </c:pt>
                <c:pt idx="23">
                  <c:v>0.75934065934065931</c:v>
                </c:pt>
                <c:pt idx="24">
                  <c:v>0.73113894552869207</c:v>
                </c:pt>
                <c:pt idx="25">
                  <c:v>0.70579126664602043</c:v>
                </c:pt>
                <c:pt idx="26">
                  <c:v>0.68405315614617945</c:v>
                </c:pt>
                <c:pt idx="27">
                  <c:v>0.67607621736062107</c:v>
                </c:pt>
                <c:pt idx="28">
                  <c:v>0.67598187311178248</c:v>
                </c:pt>
                <c:pt idx="29">
                  <c:v>0.66612838110617678</c:v>
                </c:pt>
                <c:pt idx="30">
                  <c:v>0.65915004336513439</c:v>
                </c:pt>
                <c:pt idx="31">
                  <c:v>0.65620542082738942</c:v>
                </c:pt>
                <c:pt idx="32">
                  <c:v>0.64176749079431883</c:v>
                </c:pt>
                <c:pt idx="33">
                  <c:v>0.6276223776223776</c:v>
                </c:pt>
                <c:pt idx="34">
                  <c:v>0.62835249042145591</c:v>
                </c:pt>
                <c:pt idx="35">
                  <c:v>0.64187116564417179</c:v>
                </c:pt>
                <c:pt idx="36">
                  <c:v>0.61673553719008267</c:v>
                </c:pt>
                <c:pt idx="37">
                  <c:v>0.61176470588235299</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yVal>
          <c:smooth val="1"/>
        </c:ser>
        <c:dLbls>
          <c:showLegendKey val="0"/>
          <c:showVal val="0"/>
          <c:showCatName val="0"/>
          <c:showSerName val="0"/>
          <c:showPercent val="0"/>
          <c:showBubbleSize val="0"/>
        </c:dLbls>
        <c:axId val="142795904"/>
        <c:axId val="142798208"/>
      </c:scatterChart>
      <c:valAx>
        <c:axId val="142795904"/>
        <c:scaling>
          <c:orientation val="minMax"/>
          <c:min val="-1.5"/>
        </c:scaling>
        <c:delete val="0"/>
        <c:axPos val="b"/>
        <c:title>
          <c:tx>
            <c:rich>
              <a:bodyPr/>
              <a:lstStyle/>
              <a:p>
                <a:pPr>
                  <a:defRPr/>
                </a:pPr>
                <a:r>
                  <a:rPr lang="en-US"/>
                  <a:t>Years from Youth Service start</a:t>
                </a:r>
              </a:p>
            </c:rich>
          </c:tx>
          <c:layout>
            <c:manualLayout>
              <c:xMode val="edge"/>
              <c:yMode val="edge"/>
              <c:x val="0.32960502095290051"/>
              <c:y val="0.73311809827871743"/>
            </c:manualLayout>
          </c:layout>
          <c:overlay val="0"/>
        </c:title>
        <c:numFmt formatCode="0.0" sourceLinked="1"/>
        <c:majorTickMark val="cross"/>
        <c:minorTickMark val="in"/>
        <c:tickLblPos val="nextTo"/>
        <c:crossAx val="142798208"/>
        <c:crosses val="autoZero"/>
        <c:crossBetween val="midCat"/>
        <c:majorUnit val="0.5"/>
        <c:minorUnit val="0.25"/>
      </c:valAx>
      <c:valAx>
        <c:axId val="142798208"/>
        <c:scaling>
          <c:orientation val="minMax"/>
          <c:max val="1"/>
          <c:min val="0"/>
        </c:scaling>
        <c:delete val="0"/>
        <c:axPos val="l"/>
        <c:majorGridlines/>
        <c:title>
          <c:tx>
            <c:rich>
              <a:bodyPr rot="-5400000" vert="horz"/>
              <a:lstStyle/>
              <a:p>
                <a:pPr>
                  <a:defRPr/>
                </a:pPr>
                <a:r>
                  <a:rPr lang="en-US"/>
                  <a:t>Proportion of clients on main benefit</a:t>
                </a:r>
                <a:endParaRPr lang="en-NZ"/>
              </a:p>
            </c:rich>
          </c:tx>
          <c:layout>
            <c:manualLayout>
              <c:xMode val="edge"/>
              <c:yMode val="edge"/>
              <c:x val="2.2148390378808978E-2"/>
              <c:y val="7.9293789870799172E-2"/>
            </c:manualLayout>
          </c:layout>
          <c:overlay val="0"/>
        </c:title>
        <c:numFmt formatCode="0%" sourceLinked="1"/>
        <c:majorTickMark val="cross"/>
        <c:minorTickMark val="in"/>
        <c:tickLblPos val="nextTo"/>
        <c:crossAx val="142795904"/>
        <c:crossesAt val="-1.5"/>
        <c:crossBetween val="midCat"/>
        <c:majorUnit val="0.2"/>
        <c:minorUnit val="0.1"/>
      </c:valAx>
    </c:plotArea>
    <c:legend>
      <c:legendPos val="b"/>
      <c:layout>
        <c:manualLayout>
          <c:xMode val="edge"/>
          <c:yMode val="edge"/>
          <c:x val="1.2912511590845631E-2"/>
          <c:y val="0.7913752922114804"/>
          <c:w val="0.9627242589924645"/>
          <c:h val="0.18736426739368284"/>
        </c:manualLayout>
      </c:layout>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4946093084976"/>
          <c:y val="3.3409263477600606E-2"/>
          <c:w val="0.82474902996154031"/>
          <c:h val="0.6295682743529496"/>
        </c:manualLayout>
      </c:layout>
      <c:scatterChart>
        <c:scatterStyle val="smoothMarker"/>
        <c:varyColors val="0"/>
        <c:ser>
          <c:idx val="4"/>
          <c:order val="0"/>
          <c:tx>
            <c:strRef>
              <c:f>Ys_par_TeenParents!$Q$252</c:f>
              <c:strCache>
                <c:ptCount val="1"/>
                <c:pt idx="0">
                  <c:v>Participants on any main benefit</c:v>
                </c:pt>
              </c:strCache>
            </c:strRef>
          </c:tx>
          <c:spPr>
            <a:ln w="19050">
              <a:solidFill>
                <a:srgbClr val="007073"/>
              </a:solidFill>
            </a:ln>
          </c:spPr>
          <c:marker>
            <c:symbol val="square"/>
            <c:size val="4"/>
            <c:spPr>
              <a:solidFill>
                <a:srgbClr val="007073"/>
              </a:solidFill>
              <a:ln>
                <a:solidFill>
                  <a:srgbClr val="007073"/>
                </a:solidFill>
              </a:ln>
            </c:spPr>
          </c:marker>
          <c:xVal>
            <c:numRef>
              <c:f>Ys_par_TeenParents!$B$253:$B$313</c:f>
              <c:numCache>
                <c:formatCode>0.0</c:formatCode>
                <c:ptCount val="61"/>
                <c:pt idx="0">
                  <c:v>-1.5</c:v>
                </c:pt>
                <c:pt idx="1">
                  <c:v>-1.4166666666666667</c:v>
                </c:pt>
                <c:pt idx="2">
                  <c:v>-1.3333333333333333</c:v>
                </c:pt>
                <c:pt idx="3">
                  <c:v>-1.25</c:v>
                </c:pt>
                <c:pt idx="4">
                  <c:v>-1.1666666666666667</c:v>
                </c:pt>
                <c:pt idx="5">
                  <c:v>-1.0833333333333333</c:v>
                </c:pt>
                <c:pt idx="6">
                  <c:v>-1</c:v>
                </c:pt>
                <c:pt idx="7">
                  <c:v>-0.91666666666666663</c:v>
                </c:pt>
                <c:pt idx="8">
                  <c:v>-0.83333333333333337</c:v>
                </c:pt>
                <c:pt idx="9">
                  <c:v>-0.75</c:v>
                </c:pt>
                <c:pt idx="10">
                  <c:v>-0.66666666666666663</c:v>
                </c:pt>
                <c:pt idx="11">
                  <c:v>-0.58333333333333337</c:v>
                </c:pt>
                <c:pt idx="12">
                  <c:v>-0.5</c:v>
                </c:pt>
                <c:pt idx="13">
                  <c:v>-0.41666666666666669</c:v>
                </c:pt>
                <c:pt idx="14">
                  <c:v>-0.33333333333333331</c:v>
                </c:pt>
                <c:pt idx="15">
                  <c:v>-0.25</c:v>
                </c:pt>
                <c:pt idx="16">
                  <c:v>-0.16666666666666666</c:v>
                </c:pt>
                <c:pt idx="17">
                  <c:v>-8.3333333333333329E-2</c:v>
                </c:pt>
                <c:pt idx="18">
                  <c:v>0</c:v>
                </c:pt>
                <c:pt idx="19">
                  <c:v>8.3333333333333329E-2</c:v>
                </c:pt>
                <c:pt idx="20">
                  <c:v>0.16666666666666666</c:v>
                </c:pt>
                <c:pt idx="21">
                  <c:v>0.25</c:v>
                </c:pt>
                <c:pt idx="22">
                  <c:v>0.33333333333333331</c:v>
                </c:pt>
                <c:pt idx="23">
                  <c:v>0.41666666666666669</c:v>
                </c:pt>
                <c:pt idx="24">
                  <c:v>0.5</c:v>
                </c:pt>
                <c:pt idx="25">
                  <c:v>0.58333333333333337</c:v>
                </c:pt>
                <c:pt idx="26">
                  <c:v>0.66666666666666663</c:v>
                </c:pt>
                <c:pt idx="27">
                  <c:v>0.75</c:v>
                </c:pt>
                <c:pt idx="28">
                  <c:v>0.83333333333333337</c:v>
                </c:pt>
                <c:pt idx="29">
                  <c:v>0.91666666666666663</c:v>
                </c:pt>
                <c:pt idx="30">
                  <c:v>1</c:v>
                </c:pt>
                <c:pt idx="31">
                  <c:v>1.0833333333333333</c:v>
                </c:pt>
                <c:pt idx="32">
                  <c:v>1.1666666666666667</c:v>
                </c:pt>
                <c:pt idx="33">
                  <c:v>1.25</c:v>
                </c:pt>
                <c:pt idx="34">
                  <c:v>1.3333333333333333</c:v>
                </c:pt>
                <c:pt idx="35">
                  <c:v>1.4166666666666667</c:v>
                </c:pt>
                <c:pt idx="36">
                  <c:v>1.5</c:v>
                </c:pt>
                <c:pt idx="37">
                  <c:v>1.5833333333333333</c:v>
                </c:pt>
                <c:pt idx="38">
                  <c:v>1.6666666666666667</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xVal>
          <c:yVal>
            <c:numRef>
              <c:f>Ys_par_TeenParents!$Q$253:$Q$313</c:f>
              <c:numCache>
                <c:formatCode>0%</c:formatCode>
                <c:ptCount val="61"/>
                <c:pt idx="0">
                  <c:v>0.14470284237726097</c:v>
                </c:pt>
                <c:pt idx="1">
                  <c:v>0.16418875242404654</c:v>
                </c:pt>
                <c:pt idx="2">
                  <c:v>0.18499353169469598</c:v>
                </c:pt>
                <c:pt idx="3">
                  <c:v>0.21216041397153945</c:v>
                </c:pt>
                <c:pt idx="4">
                  <c:v>0.23803363518758086</c:v>
                </c:pt>
                <c:pt idx="5">
                  <c:v>0.2652005174644243</c:v>
                </c:pt>
                <c:pt idx="6">
                  <c:v>0.28377504848093082</c:v>
                </c:pt>
                <c:pt idx="7">
                  <c:v>0.30813953488372092</c:v>
                </c:pt>
                <c:pt idx="8">
                  <c:v>0.34195216548157725</c:v>
                </c:pt>
                <c:pt idx="9">
                  <c:v>0.37386804657179817</c:v>
                </c:pt>
                <c:pt idx="10">
                  <c:v>0.40735958683021306</c:v>
                </c:pt>
                <c:pt idx="11">
                  <c:v>0.43143596377749027</c:v>
                </c:pt>
                <c:pt idx="12">
                  <c:v>0.45190445448676564</c:v>
                </c:pt>
                <c:pt idx="13">
                  <c:v>0.48645161290322581</c:v>
                </c:pt>
                <c:pt idx="14">
                  <c:v>0.5113122171945701</c:v>
                </c:pt>
                <c:pt idx="15">
                  <c:v>0.55232558139534882</c:v>
                </c:pt>
                <c:pt idx="16">
                  <c:v>0.57262750161394449</c:v>
                </c:pt>
                <c:pt idx="17">
                  <c:v>0.60526315789473684</c:v>
                </c:pt>
                <c:pt idx="18">
                  <c:v>0.97368421052631582</c:v>
                </c:pt>
                <c:pt idx="19">
                  <c:v>0.97142857142857142</c:v>
                </c:pt>
                <c:pt idx="20">
                  <c:v>0.95797198132088057</c:v>
                </c:pt>
                <c:pt idx="21">
                  <c:v>0.94205862304021815</c:v>
                </c:pt>
                <c:pt idx="22">
                  <c:v>0.92797783933518008</c:v>
                </c:pt>
                <c:pt idx="23">
                  <c:v>0.91082802547770703</c:v>
                </c:pt>
                <c:pt idx="24">
                  <c:v>0.88921282798833823</c:v>
                </c:pt>
                <c:pt idx="25">
                  <c:v>0.87704918032786883</c:v>
                </c:pt>
                <c:pt idx="26">
                  <c:v>0.86996904024767807</c:v>
                </c:pt>
                <c:pt idx="27">
                  <c:v>0.85964912280701755</c:v>
                </c:pt>
                <c:pt idx="28">
                  <c:v>0.8571428571428571</c:v>
                </c:pt>
                <c:pt idx="29">
                  <c:v>0.85226302305721602</c:v>
                </c:pt>
                <c:pt idx="30">
                  <c:v>0.84363957597173145</c:v>
                </c:pt>
                <c:pt idx="31">
                  <c:v>0.83841181902123729</c:v>
                </c:pt>
                <c:pt idx="32">
                  <c:v>0.83956692913385822</c:v>
                </c:pt>
                <c:pt idx="33">
                  <c:v>0.8369905956112853</c:v>
                </c:pt>
                <c:pt idx="34">
                  <c:v>0.83351831298557155</c:v>
                </c:pt>
                <c:pt idx="35">
                  <c:v>0.83839611178614826</c:v>
                </c:pt>
                <c:pt idx="36">
                  <c:v>0.81660899653979235</c:v>
                </c:pt>
                <c:pt idx="37">
                  <c:v>0.8</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yVal>
          <c:smooth val="1"/>
        </c:ser>
        <c:ser>
          <c:idx val="1"/>
          <c:order val="1"/>
          <c:tx>
            <c:strRef>
              <c:f>Ys_par_TeenParents!$N$252</c:f>
              <c:strCache>
                <c:ptCount val="1"/>
                <c:pt idx="0">
                  <c:v>Comparison on any main benefit</c:v>
                </c:pt>
              </c:strCache>
            </c:strRef>
          </c:tx>
          <c:spPr>
            <a:ln w="12700">
              <a:solidFill>
                <a:srgbClr val="007073"/>
              </a:solidFill>
            </a:ln>
          </c:spPr>
          <c:marker>
            <c:symbol val="square"/>
            <c:size val="4"/>
            <c:spPr>
              <a:solidFill>
                <a:schemeClr val="bg1"/>
              </a:solidFill>
              <a:ln>
                <a:solidFill>
                  <a:srgbClr val="007073"/>
                </a:solidFill>
              </a:ln>
            </c:spPr>
          </c:marker>
          <c:xVal>
            <c:numRef>
              <c:f>Ys_par_TeenParents!$B$253:$B$313</c:f>
              <c:numCache>
                <c:formatCode>0.0</c:formatCode>
                <c:ptCount val="61"/>
                <c:pt idx="0">
                  <c:v>-1.5</c:v>
                </c:pt>
                <c:pt idx="1">
                  <c:v>-1.4166666666666667</c:v>
                </c:pt>
                <c:pt idx="2">
                  <c:v>-1.3333333333333333</c:v>
                </c:pt>
                <c:pt idx="3">
                  <c:v>-1.25</c:v>
                </c:pt>
                <c:pt idx="4">
                  <c:v>-1.1666666666666667</c:v>
                </c:pt>
                <c:pt idx="5">
                  <c:v>-1.0833333333333333</c:v>
                </c:pt>
                <c:pt idx="6">
                  <c:v>-1</c:v>
                </c:pt>
                <c:pt idx="7">
                  <c:v>-0.91666666666666663</c:v>
                </c:pt>
                <c:pt idx="8">
                  <c:v>-0.83333333333333337</c:v>
                </c:pt>
                <c:pt idx="9">
                  <c:v>-0.75</c:v>
                </c:pt>
                <c:pt idx="10">
                  <c:v>-0.66666666666666663</c:v>
                </c:pt>
                <c:pt idx="11">
                  <c:v>-0.58333333333333337</c:v>
                </c:pt>
                <c:pt idx="12">
                  <c:v>-0.5</c:v>
                </c:pt>
                <c:pt idx="13">
                  <c:v>-0.41666666666666669</c:v>
                </c:pt>
                <c:pt idx="14">
                  <c:v>-0.33333333333333331</c:v>
                </c:pt>
                <c:pt idx="15">
                  <c:v>-0.25</c:v>
                </c:pt>
                <c:pt idx="16">
                  <c:v>-0.16666666666666666</c:v>
                </c:pt>
                <c:pt idx="17">
                  <c:v>-8.3333333333333329E-2</c:v>
                </c:pt>
                <c:pt idx="18">
                  <c:v>0</c:v>
                </c:pt>
                <c:pt idx="19">
                  <c:v>8.3333333333333329E-2</c:v>
                </c:pt>
                <c:pt idx="20">
                  <c:v>0.16666666666666666</c:v>
                </c:pt>
                <c:pt idx="21">
                  <c:v>0.25</c:v>
                </c:pt>
                <c:pt idx="22">
                  <c:v>0.33333333333333331</c:v>
                </c:pt>
                <c:pt idx="23">
                  <c:v>0.41666666666666669</c:v>
                </c:pt>
                <c:pt idx="24">
                  <c:v>0.5</c:v>
                </c:pt>
                <c:pt idx="25">
                  <c:v>0.58333333333333337</c:v>
                </c:pt>
                <c:pt idx="26">
                  <c:v>0.66666666666666663</c:v>
                </c:pt>
                <c:pt idx="27">
                  <c:v>0.75</c:v>
                </c:pt>
                <c:pt idx="28">
                  <c:v>0.83333333333333337</c:v>
                </c:pt>
                <c:pt idx="29">
                  <c:v>0.91666666666666663</c:v>
                </c:pt>
                <c:pt idx="30">
                  <c:v>1</c:v>
                </c:pt>
                <c:pt idx="31">
                  <c:v>1.0833333333333333</c:v>
                </c:pt>
                <c:pt idx="32">
                  <c:v>1.1666666666666667</c:v>
                </c:pt>
                <c:pt idx="33">
                  <c:v>1.25</c:v>
                </c:pt>
                <c:pt idx="34">
                  <c:v>1.3333333333333333</c:v>
                </c:pt>
                <c:pt idx="35">
                  <c:v>1.4166666666666667</c:v>
                </c:pt>
                <c:pt idx="36">
                  <c:v>1.5</c:v>
                </c:pt>
                <c:pt idx="37">
                  <c:v>1.5833333333333333</c:v>
                </c:pt>
                <c:pt idx="38">
                  <c:v>1.6666666666666667</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xVal>
          <c:yVal>
            <c:numRef>
              <c:f>Ys_par_TeenParents!$N$253:$N$313</c:f>
              <c:numCache>
                <c:formatCode>0%</c:formatCode>
                <c:ptCount val="61"/>
                <c:pt idx="0">
                  <c:v>0.14414996767937943</c:v>
                </c:pt>
                <c:pt idx="1">
                  <c:v>0.15922330097087378</c:v>
                </c:pt>
                <c:pt idx="2">
                  <c:v>0.17993527508090615</c:v>
                </c:pt>
                <c:pt idx="3">
                  <c:v>0.21100323624595468</c:v>
                </c:pt>
                <c:pt idx="4">
                  <c:v>0.23575129533678757</c:v>
                </c:pt>
                <c:pt idx="5">
                  <c:v>0.2576051779935275</c:v>
                </c:pt>
                <c:pt idx="6">
                  <c:v>0.28478964401294499</c:v>
                </c:pt>
                <c:pt idx="7">
                  <c:v>0.31088082901554404</c:v>
                </c:pt>
                <c:pt idx="8">
                  <c:v>0.34196891191709844</c:v>
                </c:pt>
                <c:pt idx="9">
                  <c:v>0.37346278317152104</c:v>
                </c:pt>
                <c:pt idx="10">
                  <c:v>0.40025906735751293</c:v>
                </c:pt>
                <c:pt idx="11">
                  <c:v>0.42847896440129452</c:v>
                </c:pt>
                <c:pt idx="12">
                  <c:v>0.45272020725388601</c:v>
                </c:pt>
                <c:pt idx="13">
                  <c:v>0.48124191461837001</c:v>
                </c:pt>
                <c:pt idx="14">
                  <c:v>0.51617076326002587</c:v>
                </c:pt>
                <c:pt idx="15">
                  <c:v>0.55533980582524267</c:v>
                </c:pt>
                <c:pt idx="16">
                  <c:v>0.57826649417852527</c:v>
                </c:pt>
                <c:pt idx="17">
                  <c:v>0.61538461538461542</c:v>
                </c:pt>
                <c:pt idx="18">
                  <c:v>0.97412677878395859</c:v>
                </c:pt>
                <c:pt idx="19">
                  <c:v>0.95386614684860294</c:v>
                </c:pt>
                <c:pt idx="20">
                  <c:v>0.92938041305796137</c:v>
                </c:pt>
                <c:pt idx="21">
                  <c:v>0.91986301369863011</c:v>
                </c:pt>
                <c:pt idx="22">
                  <c:v>0.90187891440501045</c:v>
                </c:pt>
                <c:pt idx="23">
                  <c:v>0.89267945984363894</c:v>
                </c:pt>
                <c:pt idx="24">
                  <c:v>0.88217967599410896</c:v>
                </c:pt>
                <c:pt idx="25">
                  <c:v>0.88036117381489842</c:v>
                </c:pt>
                <c:pt idx="26">
                  <c:v>0.86875000000000002</c:v>
                </c:pt>
                <c:pt idx="27">
                  <c:v>0.86070853462157815</c:v>
                </c:pt>
                <c:pt idx="28">
                  <c:v>0.8579686209744013</c:v>
                </c:pt>
                <c:pt idx="29">
                  <c:v>0.86477174849267868</c:v>
                </c:pt>
                <c:pt idx="30">
                  <c:v>0.85918003565062384</c:v>
                </c:pt>
                <c:pt idx="31">
                  <c:v>0.85116279069767442</c:v>
                </c:pt>
                <c:pt idx="32">
                  <c:v>0.84477611940298503</c:v>
                </c:pt>
                <c:pt idx="33">
                  <c:v>0.83792372881355937</c:v>
                </c:pt>
                <c:pt idx="34">
                  <c:v>0.83501683501683499</c:v>
                </c:pt>
                <c:pt idx="35">
                  <c:v>0.8288177339901478</c:v>
                </c:pt>
                <c:pt idx="36">
                  <c:v>0.84210526315789469</c:v>
                </c:pt>
                <c:pt idx="37">
                  <c:v>0.83490566037735847</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numCache>
            </c:numRef>
          </c:yVal>
          <c:smooth val="1"/>
        </c:ser>
        <c:dLbls>
          <c:showLegendKey val="0"/>
          <c:showVal val="0"/>
          <c:showCatName val="0"/>
          <c:showSerName val="0"/>
          <c:showPercent val="0"/>
          <c:showBubbleSize val="0"/>
        </c:dLbls>
        <c:axId val="141672832"/>
        <c:axId val="141675136"/>
      </c:scatterChart>
      <c:valAx>
        <c:axId val="141672832"/>
        <c:scaling>
          <c:orientation val="minMax"/>
          <c:min val="-1.5"/>
        </c:scaling>
        <c:delete val="0"/>
        <c:axPos val="b"/>
        <c:title>
          <c:tx>
            <c:rich>
              <a:bodyPr/>
              <a:lstStyle/>
              <a:p>
                <a:pPr>
                  <a:defRPr/>
                </a:pPr>
                <a:r>
                  <a:rPr lang="en-US"/>
                  <a:t>Years from Youth Service start</a:t>
                </a:r>
              </a:p>
            </c:rich>
          </c:tx>
          <c:layout>
            <c:manualLayout>
              <c:xMode val="edge"/>
              <c:yMode val="edge"/>
              <c:x val="0.32960502095290051"/>
              <c:y val="0.73311809827871743"/>
            </c:manualLayout>
          </c:layout>
          <c:overlay val="0"/>
        </c:title>
        <c:numFmt formatCode="0.0" sourceLinked="1"/>
        <c:majorTickMark val="cross"/>
        <c:minorTickMark val="in"/>
        <c:tickLblPos val="nextTo"/>
        <c:crossAx val="141675136"/>
        <c:crosses val="autoZero"/>
        <c:crossBetween val="midCat"/>
        <c:majorUnit val="0.5"/>
        <c:minorUnit val="0.25"/>
      </c:valAx>
      <c:valAx>
        <c:axId val="141675136"/>
        <c:scaling>
          <c:orientation val="minMax"/>
          <c:max val="1"/>
          <c:min val="0"/>
        </c:scaling>
        <c:delete val="0"/>
        <c:axPos val="l"/>
        <c:majorGridlines/>
        <c:title>
          <c:tx>
            <c:rich>
              <a:bodyPr rot="-5400000" vert="horz"/>
              <a:lstStyle/>
              <a:p>
                <a:pPr>
                  <a:defRPr/>
                </a:pPr>
                <a:r>
                  <a:rPr lang="en-US"/>
                  <a:t>Proportion of clients on main benefit</a:t>
                </a:r>
                <a:endParaRPr lang="en-NZ"/>
              </a:p>
            </c:rich>
          </c:tx>
          <c:layout>
            <c:manualLayout>
              <c:xMode val="edge"/>
              <c:yMode val="edge"/>
              <c:x val="2.2148390378808978E-2"/>
              <c:y val="7.9293789870799172E-2"/>
            </c:manualLayout>
          </c:layout>
          <c:overlay val="0"/>
        </c:title>
        <c:numFmt formatCode="0%" sourceLinked="1"/>
        <c:majorTickMark val="cross"/>
        <c:minorTickMark val="in"/>
        <c:tickLblPos val="nextTo"/>
        <c:crossAx val="141672832"/>
        <c:crossesAt val="-1.5"/>
        <c:crossBetween val="midCat"/>
        <c:majorUnit val="0.2"/>
        <c:minorUnit val="0.1"/>
      </c:valAx>
    </c:plotArea>
    <c:legend>
      <c:legendPos val="b"/>
      <c:layout>
        <c:manualLayout>
          <c:xMode val="edge"/>
          <c:yMode val="edge"/>
          <c:x val="1.2912511590845631E-2"/>
          <c:y val="0.7913752922114804"/>
          <c:w val="0.9627242589924645"/>
          <c:h val="0.18736426739368284"/>
        </c:manualLayout>
      </c:layout>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80570013494076E-2"/>
          <c:y val="3.4069876567312904E-2"/>
          <c:w val="0.86217594511212403"/>
          <c:h val="0.80926987115487026"/>
        </c:manualLayout>
      </c:layout>
      <c:barChart>
        <c:barDir val="col"/>
        <c:grouping val="clustered"/>
        <c:varyColors val="0"/>
        <c:ser>
          <c:idx val="0"/>
          <c:order val="0"/>
          <c:tx>
            <c:strRef>
              <c:f>'credit increase '!$B$64</c:f>
              <c:strCache>
                <c:ptCount val="1"/>
                <c:pt idx="0">
                  <c:v>Comparison group</c:v>
                </c:pt>
              </c:strCache>
            </c:strRef>
          </c:tx>
          <c:invertIfNegative val="0"/>
          <c:cat>
            <c:strRef>
              <c:f>'credit increase '!$A$65:$A$66</c:f>
              <c:strCache>
                <c:ptCount val="2"/>
                <c:pt idx="0">
                  <c:v>Teen parents (YPP)</c:v>
                </c:pt>
                <c:pt idx="1">
                  <c:v>Youth service (YP)</c:v>
                </c:pt>
              </c:strCache>
            </c:strRef>
          </c:cat>
          <c:val>
            <c:numRef>
              <c:f>'credit increase '!$B$65:$B$66</c:f>
              <c:numCache>
                <c:formatCode>0%</c:formatCode>
                <c:ptCount val="2"/>
                <c:pt idx="0">
                  <c:v>0.2029</c:v>
                </c:pt>
                <c:pt idx="1">
                  <c:v>0.23920000000000002</c:v>
                </c:pt>
              </c:numCache>
            </c:numRef>
          </c:val>
        </c:ser>
        <c:ser>
          <c:idx val="1"/>
          <c:order val="1"/>
          <c:tx>
            <c:strRef>
              <c:f>'credit increase '!$C$64</c:f>
              <c:strCache>
                <c:ptCount val="1"/>
                <c:pt idx="0">
                  <c:v>Youth service  clients </c:v>
                </c:pt>
              </c:strCache>
            </c:strRef>
          </c:tx>
          <c:invertIfNegative val="0"/>
          <c:cat>
            <c:strRef>
              <c:f>'credit increase '!$A$65:$A$66</c:f>
              <c:strCache>
                <c:ptCount val="2"/>
                <c:pt idx="0">
                  <c:v>Teen parents (YPP)</c:v>
                </c:pt>
                <c:pt idx="1">
                  <c:v>Youth service (YP)</c:v>
                </c:pt>
              </c:strCache>
            </c:strRef>
          </c:cat>
          <c:val>
            <c:numRef>
              <c:f>'credit increase '!$C$65:$C$66</c:f>
              <c:numCache>
                <c:formatCode>0%</c:formatCode>
                <c:ptCount val="2"/>
                <c:pt idx="0">
                  <c:v>0.43070000000000003</c:v>
                </c:pt>
                <c:pt idx="1">
                  <c:v>0.63280000000000003</c:v>
                </c:pt>
              </c:numCache>
            </c:numRef>
          </c:val>
        </c:ser>
        <c:dLbls>
          <c:showLegendKey val="0"/>
          <c:showVal val="0"/>
          <c:showCatName val="0"/>
          <c:showSerName val="0"/>
          <c:showPercent val="0"/>
          <c:showBubbleSize val="0"/>
        </c:dLbls>
        <c:gapWidth val="150"/>
        <c:axId val="143036800"/>
        <c:axId val="143038336"/>
      </c:barChart>
      <c:catAx>
        <c:axId val="143036800"/>
        <c:scaling>
          <c:orientation val="minMax"/>
        </c:scaling>
        <c:delete val="0"/>
        <c:axPos val="b"/>
        <c:numFmt formatCode="General" sourceLinked="1"/>
        <c:majorTickMark val="out"/>
        <c:minorTickMark val="none"/>
        <c:tickLblPos val="nextTo"/>
        <c:crossAx val="143038336"/>
        <c:crosses val="autoZero"/>
        <c:auto val="1"/>
        <c:lblAlgn val="ctr"/>
        <c:lblOffset val="100"/>
        <c:noMultiLvlLbl val="0"/>
      </c:catAx>
      <c:valAx>
        <c:axId val="143038336"/>
        <c:scaling>
          <c:orientation val="minMax"/>
          <c:max val="0.8"/>
        </c:scaling>
        <c:delete val="0"/>
        <c:axPos val="l"/>
        <c:majorGridlines>
          <c:spPr>
            <a:ln>
              <a:solidFill>
                <a:schemeClr val="bg1">
                  <a:lumMod val="75000"/>
                </a:schemeClr>
              </a:solidFill>
            </a:ln>
          </c:spPr>
        </c:majorGridlines>
        <c:numFmt formatCode="0%" sourceLinked="0"/>
        <c:majorTickMark val="out"/>
        <c:minorTickMark val="none"/>
        <c:tickLblPos val="nextTo"/>
        <c:crossAx val="143036800"/>
        <c:crosses val="autoZero"/>
        <c:crossBetween val="between"/>
      </c:valAx>
    </c:plotArea>
    <c:legend>
      <c:legendPos val="r"/>
      <c:layout>
        <c:manualLayout>
          <c:xMode val="edge"/>
          <c:yMode val="edge"/>
          <c:x val="0.21325359286904083"/>
          <c:y val="0.92015225608952678"/>
          <c:w val="0.59756022607981629"/>
          <c:h val="6.495085573220083E-2"/>
        </c:manualLayout>
      </c:layout>
      <c:overlay val="0"/>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818872159367678E-2"/>
          <c:y val="3.2076622456911584E-2"/>
          <c:w val="0.67771035518923506"/>
          <c:h val="0.80668581075470669"/>
        </c:manualLayout>
      </c:layout>
      <c:barChart>
        <c:barDir val="col"/>
        <c:grouping val="percentStacked"/>
        <c:varyColors val="0"/>
        <c:ser>
          <c:idx val="0"/>
          <c:order val="0"/>
          <c:tx>
            <c:strRef>
              <c:f>'apparent ncea lvl2'!$C$59</c:f>
              <c:strCache>
                <c:ptCount val="1"/>
                <c:pt idx="0">
                  <c:v>Requirements for NCEA level 2 not meet </c:v>
                </c:pt>
              </c:strCache>
            </c:strRef>
          </c:tx>
          <c:invertIfNegative val="0"/>
          <c:cat>
            <c:multiLvlStrRef>
              <c:f>'apparent ncea lvl2'!$A$60:$B$63</c:f>
              <c:multiLvlStrCache>
                <c:ptCount val="4"/>
                <c:lvl>
                  <c:pt idx="0">
                    <c:v>Comparison group</c:v>
                  </c:pt>
                  <c:pt idx="1">
                    <c:v>YPP clients </c:v>
                  </c:pt>
                  <c:pt idx="2">
                    <c:v>Comparison group</c:v>
                  </c:pt>
                  <c:pt idx="3">
                    <c:v>YP clients </c:v>
                  </c:pt>
                </c:lvl>
                <c:lvl>
                  <c:pt idx="0">
                    <c:v>Teen parents (YPP)</c:v>
                  </c:pt>
                  <c:pt idx="2">
                    <c:v>Youth service (YP)</c:v>
                  </c:pt>
                </c:lvl>
              </c:multiLvlStrCache>
            </c:multiLvlStrRef>
          </c:cat>
          <c:val>
            <c:numRef>
              <c:f>'apparent ncea lvl2'!$C$60:$C$63</c:f>
              <c:numCache>
                <c:formatCode>General</c:formatCode>
                <c:ptCount val="4"/>
                <c:pt idx="0">
                  <c:v>71.02</c:v>
                </c:pt>
                <c:pt idx="1">
                  <c:v>81.84</c:v>
                </c:pt>
                <c:pt idx="2">
                  <c:v>67.319999999999993</c:v>
                </c:pt>
                <c:pt idx="3">
                  <c:v>73.97</c:v>
                </c:pt>
              </c:numCache>
            </c:numRef>
          </c:val>
        </c:ser>
        <c:ser>
          <c:idx val="1"/>
          <c:order val="1"/>
          <c:tx>
            <c:strRef>
              <c:f>'apparent ncea lvl2'!$D$59</c:f>
              <c:strCache>
                <c:ptCount val="1"/>
                <c:pt idx="0">
                  <c:v>Requirements for NCEA level 2 gained prior to enrolling in service </c:v>
                </c:pt>
              </c:strCache>
            </c:strRef>
          </c:tx>
          <c:spPr>
            <a:solidFill>
              <a:sysClr val="window" lastClr="FFFFFF">
                <a:lumMod val="65000"/>
              </a:sysClr>
            </a:solidFill>
            <a:ln>
              <a:noFill/>
            </a:ln>
          </c:spPr>
          <c:invertIfNegative val="0"/>
          <c:cat>
            <c:multiLvlStrRef>
              <c:f>'apparent ncea lvl2'!$A$60:$B$63</c:f>
              <c:multiLvlStrCache>
                <c:ptCount val="4"/>
                <c:lvl>
                  <c:pt idx="0">
                    <c:v>Comparison group</c:v>
                  </c:pt>
                  <c:pt idx="1">
                    <c:v>YPP clients </c:v>
                  </c:pt>
                  <c:pt idx="2">
                    <c:v>Comparison group</c:v>
                  </c:pt>
                  <c:pt idx="3">
                    <c:v>YP clients </c:v>
                  </c:pt>
                </c:lvl>
                <c:lvl>
                  <c:pt idx="0">
                    <c:v>Teen parents (YPP)</c:v>
                  </c:pt>
                  <c:pt idx="2">
                    <c:v>Youth service (YP)</c:v>
                  </c:pt>
                </c:lvl>
              </c:multiLvlStrCache>
            </c:multiLvlStrRef>
          </c:cat>
          <c:val>
            <c:numRef>
              <c:f>'apparent ncea lvl2'!$D$60:$D$63</c:f>
              <c:numCache>
                <c:formatCode>General</c:formatCode>
                <c:ptCount val="4"/>
                <c:pt idx="0">
                  <c:v>24.18</c:v>
                </c:pt>
                <c:pt idx="1">
                  <c:v>11.13</c:v>
                </c:pt>
                <c:pt idx="2">
                  <c:v>27.54</c:v>
                </c:pt>
                <c:pt idx="3">
                  <c:v>11.65</c:v>
                </c:pt>
              </c:numCache>
            </c:numRef>
          </c:val>
        </c:ser>
        <c:ser>
          <c:idx val="2"/>
          <c:order val="2"/>
          <c:tx>
            <c:strRef>
              <c:f>'apparent ncea lvl2'!$E$59</c:f>
              <c:strCache>
                <c:ptCount val="1"/>
                <c:pt idx="0">
                  <c:v>Requirements for NCEA level 2 gained within 12 months of enrolling in service</c:v>
                </c:pt>
              </c:strCache>
            </c:strRef>
          </c:tx>
          <c:invertIfNegative val="0"/>
          <c:cat>
            <c:multiLvlStrRef>
              <c:f>'apparent ncea lvl2'!$A$60:$B$63</c:f>
              <c:multiLvlStrCache>
                <c:ptCount val="4"/>
                <c:lvl>
                  <c:pt idx="0">
                    <c:v>Comparison group</c:v>
                  </c:pt>
                  <c:pt idx="1">
                    <c:v>YPP clients </c:v>
                  </c:pt>
                  <c:pt idx="2">
                    <c:v>Comparison group</c:v>
                  </c:pt>
                  <c:pt idx="3">
                    <c:v>YP clients </c:v>
                  </c:pt>
                </c:lvl>
                <c:lvl>
                  <c:pt idx="0">
                    <c:v>Teen parents (YPP)</c:v>
                  </c:pt>
                  <c:pt idx="2">
                    <c:v>Youth service (YP)</c:v>
                  </c:pt>
                </c:lvl>
              </c:multiLvlStrCache>
            </c:multiLvlStrRef>
          </c:cat>
          <c:val>
            <c:numRef>
              <c:f>'apparent ncea lvl2'!$E$60:$E$63</c:f>
              <c:numCache>
                <c:formatCode>General</c:formatCode>
                <c:ptCount val="4"/>
                <c:pt idx="0">
                  <c:v>4.79</c:v>
                </c:pt>
                <c:pt idx="1">
                  <c:v>7.03</c:v>
                </c:pt>
                <c:pt idx="2">
                  <c:v>5.14</c:v>
                </c:pt>
                <c:pt idx="3">
                  <c:v>14.38</c:v>
                </c:pt>
              </c:numCache>
            </c:numRef>
          </c:val>
        </c:ser>
        <c:dLbls>
          <c:showLegendKey val="0"/>
          <c:showVal val="0"/>
          <c:showCatName val="0"/>
          <c:showSerName val="0"/>
          <c:showPercent val="0"/>
          <c:showBubbleSize val="0"/>
        </c:dLbls>
        <c:gapWidth val="150"/>
        <c:overlap val="100"/>
        <c:axId val="143077376"/>
        <c:axId val="143078912"/>
      </c:barChart>
      <c:catAx>
        <c:axId val="143077376"/>
        <c:scaling>
          <c:orientation val="minMax"/>
        </c:scaling>
        <c:delete val="0"/>
        <c:axPos val="b"/>
        <c:numFmt formatCode="General" sourceLinked="1"/>
        <c:majorTickMark val="out"/>
        <c:minorTickMark val="none"/>
        <c:tickLblPos val="nextTo"/>
        <c:crossAx val="143078912"/>
        <c:crosses val="autoZero"/>
        <c:auto val="1"/>
        <c:lblAlgn val="ctr"/>
        <c:lblOffset val="100"/>
        <c:noMultiLvlLbl val="0"/>
      </c:catAx>
      <c:valAx>
        <c:axId val="143078912"/>
        <c:scaling>
          <c:orientation val="minMax"/>
        </c:scaling>
        <c:delete val="0"/>
        <c:axPos val="l"/>
        <c:majorGridlines/>
        <c:numFmt formatCode="0%" sourceLinked="1"/>
        <c:majorTickMark val="out"/>
        <c:minorTickMark val="none"/>
        <c:tickLblPos val="nextTo"/>
        <c:crossAx val="143077376"/>
        <c:crosses val="autoZero"/>
        <c:crossBetween val="between"/>
      </c:valAx>
    </c:plotArea>
    <c:legend>
      <c:legendPos val="r"/>
      <c:layout>
        <c:manualLayout>
          <c:xMode val="edge"/>
          <c:yMode val="edge"/>
          <c:x val="0.74576275093991629"/>
          <c:y val="2.6002116227618142E-2"/>
          <c:w val="0.22033890189402006"/>
          <c:h val="0.92018056643443125"/>
        </c:manualLayout>
      </c:layout>
      <c:overlay val="0"/>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0.04695</cdr:x>
      <cdr:y>0.569</cdr:y>
    </cdr:from>
    <cdr:to>
      <cdr:x>0.19718</cdr:x>
      <cdr:y>0.77282</cdr:y>
    </cdr:to>
    <cdr:sp macro="" textlink="">
      <cdr:nvSpPr>
        <cdr:cNvPr id="2"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dr:relSizeAnchor xmlns:cdr="http://schemas.openxmlformats.org/drawingml/2006/chartDrawing">
    <cdr:from>
      <cdr:x>0.04695</cdr:x>
      <cdr:y>0.569</cdr:y>
    </cdr:from>
    <cdr:to>
      <cdr:x>0.19718</cdr:x>
      <cdr:y>0.77282</cdr:y>
    </cdr:to>
    <cdr:sp macro="" textlink="">
      <cdr:nvSpPr>
        <cdr:cNvPr id="3"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userShapes>
</file>

<file path=word/drawings/drawing2.xml><?xml version="1.0" encoding="utf-8"?>
<c:userShapes xmlns:c="http://schemas.openxmlformats.org/drawingml/2006/chart">
  <cdr:relSizeAnchor xmlns:cdr="http://schemas.openxmlformats.org/drawingml/2006/chartDrawing">
    <cdr:from>
      <cdr:x>0.04695</cdr:x>
      <cdr:y>0.569</cdr:y>
    </cdr:from>
    <cdr:to>
      <cdr:x>0.19718</cdr:x>
      <cdr:y>0.77282</cdr:y>
    </cdr:to>
    <cdr:sp macro="" textlink="">
      <cdr:nvSpPr>
        <cdr:cNvPr id="2"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dr:relSizeAnchor xmlns:cdr="http://schemas.openxmlformats.org/drawingml/2006/chartDrawing">
    <cdr:from>
      <cdr:x>0.04695</cdr:x>
      <cdr:y>0.569</cdr:y>
    </cdr:from>
    <cdr:to>
      <cdr:x>0.19718</cdr:x>
      <cdr:y>0.77282</cdr:y>
    </cdr:to>
    <cdr:sp macro="" textlink="">
      <cdr:nvSpPr>
        <cdr:cNvPr id="3"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userShapes>
</file>

<file path=word/drawings/drawing3.xml><?xml version="1.0" encoding="utf-8"?>
<c:userShapes xmlns:c="http://schemas.openxmlformats.org/drawingml/2006/chart">
  <cdr:relSizeAnchor xmlns:cdr="http://schemas.openxmlformats.org/drawingml/2006/chartDrawing">
    <cdr:from>
      <cdr:x>0.04695</cdr:x>
      <cdr:y>0.569</cdr:y>
    </cdr:from>
    <cdr:to>
      <cdr:x>0.19718</cdr:x>
      <cdr:y>0.77282</cdr:y>
    </cdr:to>
    <cdr:sp macro="" textlink="">
      <cdr:nvSpPr>
        <cdr:cNvPr id="2"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dr:relSizeAnchor xmlns:cdr="http://schemas.openxmlformats.org/drawingml/2006/chartDrawing">
    <cdr:from>
      <cdr:x>0.04695</cdr:x>
      <cdr:y>0.569</cdr:y>
    </cdr:from>
    <cdr:to>
      <cdr:x>0.19718</cdr:x>
      <cdr:y>0.77282</cdr:y>
    </cdr:to>
    <cdr:sp macro="" textlink="">
      <cdr:nvSpPr>
        <cdr:cNvPr id="3"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userShapes>
</file>

<file path=word/drawings/drawing4.xml><?xml version="1.0" encoding="utf-8"?>
<c:userShapes xmlns:c="http://schemas.openxmlformats.org/drawingml/2006/chart">
  <cdr:relSizeAnchor xmlns:cdr="http://schemas.openxmlformats.org/drawingml/2006/chartDrawing">
    <cdr:from>
      <cdr:x>0.04695</cdr:x>
      <cdr:y>0.569</cdr:y>
    </cdr:from>
    <cdr:to>
      <cdr:x>0.19718</cdr:x>
      <cdr:y>0.77282</cdr:y>
    </cdr:to>
    <cdr:sp macro="" textlink="">
      <cdr:nvSpPr>
        <cdr:cNvPr id="2"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dr:relSizeAnchor xmlns:cdr="http://schemas.openxmlformats.org/drawingml/2006/chartDrawing">
    <cdr:from>
      <cdr:x>0.04695</cdr:x>
      <cdr:y>0.569</cdr:y>
    </cdr:from>
    <cdr:to>
      <cdr:x>0.19718</cdr:x>
      <cdr:y>0.77282</cdr:y>
    </cdr:to>
    <cdr:sp macro="" textlink="">
      <cdr:nvSpPr>
        <cdr:cNvPr id="3"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userShapes>
</file>

<file path=word/drawings/drawing5.xml><?xml version="1.0" encoding="utf-8"?>
<c:userShapes xmlns:c="http://schemas.openxmlformats.org/drawingml/2006/chart">
  <cdr:relSizeAnchor xmlns:cdr="http://schemas.openxmlformats.org/drawingml/2006/chartDrawing">
    <cdr:from>
      <cdr:x>0.04695</cdr:x>
      <cdr:y>0.569</cdr:y>
    </cdr:from>
    <cdr:to>
      <cdr:x>0.19718</cdr:x>
      <cdr:y>0.77282</cdr:y>
    </cdr:to>
    <cdr:sp macro="" textlink="">
      <cdr:nvSpPr>
        <cdr:cNvPr id="2"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dr:relSizeAnchor xmlns:cdr="http://schemas.openxmlformats.org/drawingml/2006/chartDrawing">
    <cdr:from>
      <cdr:x>0.04695</cdr:x>
      <cdr:y>0.569</cdr:y>
    </cdr:from>
    <cdr:to>
      <cdr:x>0.19718</cdr:x>
      <cdr:y>0.77282</cdr:y>
    </cdr:to>
    <cdr:sp macro="" textlink="">
      <cdr:nvSpPr>
        <cdr:cNvPr id="3" name="TextBox 1"/>
        <cdr:cNvSpPr txBox="1"/>
      </cdr:nvSpPr>
      <cdr:spPr>
        <a:xfrm xmlns:a="http://schemas.openxmlformats.org/drawingml/2006/main">
          <a:off x="285750" y="2552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NZ"/>
        </a:p>
      </cdr:txBody>
    </cdr:sp>
  </cdr:relSizeAnchor>
</c:userShapes>
</file>

<file path=word/drawings/drawing6.xml><?xml version="1.0" encoding="utf-8"?>
<c:userShapes xmlns:c="http://schemas.openxmlformats.org/drawingml/2006/chart">
  <cdr:relSizeAnchor xmlns:cdr="http://schemas.openxmlformats.org/drawingml/2006/chartDrawing">
    <cdr:from>
      <cdr:x>0.48671</cdr:x>
      <cdr:y>0.03189</cdr:y>
    </cdr:from>
    <cdr:to>
      <cdr:x>0.49003</cdr:x>
      <cdr:y>0.64465</cdr:y>
    </cdr:to>
    <cdr:cxnSp macro="">
      <cdr:nvCxnSpPr>
        <cdr:cNvPr id="3" name="Straight Connector 2"/>
        <cdr:cNvCxnSpPr/>
      </cdr:nvCxnSpPr>
      <cdr:spPr>
        <a:xfrm xmlns:a="http://schemas.openxmlformats.org/drawingml/2006/main" flipV="1">
          <a:off x="2790826" y="133348"/>
          <a:ext cx="19031" cy="256222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0.48671</cdr:x>
      <cdr:y>0.03189</cdr:y>
    </cdr:from>
    <cdr:to>
      <cdr:x>0.49003</cdr:x>
      <cdr:y>0.64465</cdr:y>
    </cdr:to>
    <cdr:cxnSp macro="">
      <cdr:nvCxnSpPr>
        <cdr:cNvPr id="3" name="Straight Connector 2"/>
        <cdr:cNvCxnSpPr/>
      </cdr:nvCxnSpPr>
      <cdr:spPr>
        <a:xfrm xmlns:a="http://schemas.openxmlformats.org/drawingml/2006/main" flipV="1">
          <a:off x="2790826" y="133348"/>
          <a:ext cx="19031" cy="256222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1F2A-C3AB-4682-ABA4-9977D778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2275</Words>
  <Characters>12974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Pollard</cp:lastModifiedBy>
  <cp:revision>2</cp:revision>
  <cp:lastPrinted>2014-06-13T03:27:00Z</cp:lastPrinted>
  <dcterms:created xsi:type="dcterms:W3CDTF">2014-07-01T05:05:00Z</dcterms:created>
  <dcterms:modified xsi:type="dcterms:W3CDTF">2014-07-01T05:05:00Z</dcterms:modified>
</cp:coreProperties>
</file>