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ED875" w14:textId="77777777" w:rsidR="005719A8" w:rsidRDefault="00327EC9" w:rsidP="005719A8">
      <w:pPr>
        <w:pStyle w:val="Title"/>
      </w:pPr>
      <w:bookmarkStart w:id="0" w:name="_GoBack"/>
      <w:bookmarkEnd w:id="0"/>
      <w:r w:rsidRPr="00A113D0">
        <w:t xml:space="preserve">Evaluation of the </w:t>
      </w:r>
      <w:r>
        <w:t>Bowel Screening Pilot</w:t>
      </w:r>
      <w:r w:rsidR="00BF1548">
        <w:t>:</w:t>
      </w:r>
      <w:r>
        <w:br/>
      </w:r>
      <w:r w:rsidR="00DB2357">
        <w:t xml:space="preserve">Role of </w:t>
      </w:r>
      <w:r w:rsidR="00042EA2">
        <w:t>General Practice</w:t>
      </w:r>
      <w:r>
        <w:t xml:space="preserve"> </w:t>
      </w:r>
    </w:p>
    <w:p w14:paraId="3722BD46" w14:textId="77777777" w:rsidR="00327EC9" w:rsidRPr="00A113D0" w:rsidRDefault="00327EC9" w:rsidP="00327EC9">
      <w:pPr>
        <w:pStyle w:val="ClientName"/>
        <w:spacing w:after="120"/>
        <w:ind w:left="992" w:right="851"/>
      </w:pPr>
      <w:r w:rsidRPr="00A113D0">
        <w:t>Ministry of Health</w:t>
      </w:r>
    </w:p>
    <w:p w14:paraId="4AC3E5D2" w14:textId="77777777" w:rsidR="005719A8" w:rsidRDefault="00327EC9" w:rsidP="00AA12A9">
      <w:pPr>
        <w:pStyle w:val="ClientName"/>
        <w:tabs>
          <w:tab w:val="left" w:pos="4253"/>
        </w:tabs>
      </w:pPr>
      <w:proofErr w:type="spellStart"/>
      <w:r w:rsidRPr="00A113D0">
        <w:t>Manatū</w:t>
      </w:r>
      <w:proofErr w:type="spellEnd"/>
      <w:r w:rsidR="00AA12A9">
        <w:t xml:space="preserve"> </w:t>
      </w:r>
      <w:proofErr w:type="spellStart"/>
      <w:r w:rsidRPr="00A113D0">
        <w:t>Hauora</w:t>
      </w:r>
      <w:proofErr w:type="spellEnd"/>
    </w:p>
    <w:p w14:paraId="58547664" w14:textId="39003A81" w:rsidR="005719A8" w:rsidRDefault="00786619" w:rsidP="005719A8">
      <w:pPr>
        <w:spacing w:before="0"/>
        <w:ind w:left="0"/>
        <w:jc w:val="center"/>
        <w:rPr>
          <w:sz w:val="28"/>
          <w:szCs w:val="28"/>
        </w:rPr>
      </w:pPr>
      <w:r>
        <w:rPr>
          <w:sz w:val="28"/>
          <w:szCs w:val="28"/>
        </w:rPr>
        <w:t xml:space="preserve">15 </w:t>
      </w:r>
      <w:r w:rsidR="00DB2357">
        <w:rPr>
          <w:sz w:val="28"/>
          <w:szCs w:val="28"/>
        </w:rPr>
        <w:t>April</w:t>
      </w:r>
      <w:r w:rsidR="00327EC9">
        <w:rPr>
          <w:sz w:val="28"/>
          <w:szCs w:val="28"/>
        </w:rPr>
        <w:t xml:space="preserve"> 2014</w:t>
      </w:r>
    </w:p>
    <w:p w14:paraId="3B4EB0A5" w14:textId="77777777" w:rsidR="005719A8" w:rsidRPr="00A92022" w:rsidRDefault="005719A8" w:rsidP="005719A8"/>
    <w:p w14:paraId="54DB8D5F" w14:textId="77777777" w:rsidR="005719A8" w:rsidRDefault="005719A8">
      <w:pPr>
        <w:sectPr w:rsidR="005719A8" w:rsidSect="005719A8">
          <w:footerReference w:type="default" r:id="rId9"/>
          <w:footerReference w:type="first" r:id="rId10"/>
          <w:pgSz w:w="11906" w:h="16838" w:code="9"/>
          <w:pgMar w:top="3969" w:right="1134" w:bottom="1134" w:left="1134" w:header="567" w:footer="567" w:gutter="0"/>
          <w:pgNumType w:fmt="lowerRoman"/>
          <w:cols w:space="720"/>
        </w:sectPr>
      </w:pPr>
    </w:p>
    <w:p w14:paraId="05CB50C7" w14:textId="77777777" w:rsidR="005719A8" w:rsidRDefault="005719A8">
      <w:pPr>
        <w:pStyle w:val="Heading"/>
      </w:pPr>
      <w:bookmarkStart w:id="1" w:name="_Toc528559121"/>
      <w:bookmarkStart w:id="2" w:name="_Toc528559355"/>
      <w:bookmarkStart w:id="3" w:name="_Toc528564993"/>
      <w:bookmarkStart w:id="4" w:name="_Toc378841106"/>
      <w:bookmarkStart w:id="5" w:name="_Toc380424693"/>
      <w:r>
        <w:lastRenderedPageBreak/>
        <w:t>Contents</w:t>
      </w:r>
      <w:bookmarkEnd w:id="1"/>
      <w:bookmarkEnd w:id="2"/>
      <w:bookmarkEnd w:id="3"/>
      <w:bookmarkEnd w:id="4"/>
      <w:bookmarkEnd w:id="5"/>
    </w:p>
    <w:p w14:paraId="63E69EE8" w14:textId="77777777" w:rsidR="00124204" w:rsidRDefault="00935A39" w:rsidP="00124204">
      <w:pPr>
        <w:pStyle w:val="TOC1"/>
        <w:tabs>
          <w:tab w:val="clear" w:pos="5103"/>
          <w:tab w:val="right" w:pos="7938"/>
        </w:tabs>
        <w:ind w:right="2834"/>
        <w:rPr>
          <w:rFonts w:asciiTheme="minorHAnsi" w:eastAsiaTheme="minorEastAsia" w:hAnsiTheme="minorHAnsi" w:cstheme="minorBidi"/>
          <w:noProof/>
          <w:lang w:eastAsia="en-NZ"/>
        </w:rPr>
      </w:pPr>
      <w:r>
        <w:rPr>
          <w:sz w:val="20"/>
        </w:rPr>
        <w:fldChar w:fldCharType="begin"/>
      </w:r>
      <w:r w:rsidR="005D5ADA">
        <w:rPr>
          <w:sz w:val="20"/>
        </w:rPr>
        <w:instrText xml:space="preserve"> TOC \o "1-2" </w:instrText>
      </w:r>
      <w:r>
        <w:rPr>
          <w:sz w:val="20"/>
        </w:rPr>
        <w:fldChar w:fldCharType="separate"/>
      </w:r>
      <w:r w:rsidR="00124204">
        <w:rPr>
          <w:noProof/>
        </w:rPr>
        <w:t>Preface</w:t>
      </w:r>
      <w:r w:rsidR="00124204">
        <w:rPr>
          <w:noProof/>
        </w:rPr>
        <w:tab/>
      </w:r>
      <w:r w:rsidR="00124204">
        <w:rPr>
          <w:noProof/>
        </w:rPr>
        <w:fldChar w:fldCharType="begin"/>
      </w:r>
      <w:r w:rsidR="00124204">
        <w:rPr>
          <w:noProof/>
        </w:rPr>
        <w:instrText xml:space="preserve"> PAGEREF _Toc380424694 \h </w:instrText>
      </w:r>
      <w:r w:rsidR="00124204">
        <w:rPr>
          <w:noProof/>
        </w:rPr>
      </w:r>
      <w:r w:rsidR="00124204">
        <w:rPr>
          <w:noProof/>
        </w:rPr>
        <w:fldChar w:fldCharType="separate"/>
      </w:r>
      <w:r w:rsidR="00975754">
        <w:rPr>
          <w:noProof/>
        </w:rPr>
        <w:t>1</w:t>
      </w:r>
      <w:r w:rsidR="00124204">
        <w:rPr>
          <w:noProof/>
        </w:rPr>
        <w:fldChar w:fldCharType="end"/>
      </w:r>
    </w:p>
    <w:p w14:paraId="216B2876" w14:textId="77777777" w:rsidR="00124204" w:rsidRDefault="00124204" w:rsidP="00124204">
      <w:pPr>
        <w:pStyle w:val="TOC1"/>
        <w:tabs>
          <w:tab w:val="clear" w:pos="5103"/>
          <w:tab w:val="left" w:pos="709"/>
          <w:tab w:val="right" w:pos="7938"/>
        </w:tabs>
        <w:ind w:right="2834"/>
        <w:rPr>
          <w:rFonts w:asciiTheme="minorHAnsi" w:eastAsiaTheme="minorEastAsia" w:hAnsiTheme="minorHAnsi" w:cstheme="minorBidi"/>
          <w:noProof/>
          <w:lang w:eastAsia="en-NZ"/>
        </w:rPr>
      </w:pPr>
      <w:r>
        <w:rPr>
          <w:noProof/>
        </w:rPr>
        <w:t>1.</w:t>
      </w:r>
      <w:r>
        <w:rPr>
          <w:rFonts w:asciiTheme="minorHAnsi" w:eastAsiaTheme="minorEastAsia" w:hAnsiTheme="minorHAnsi" w:cstheme="minorBidi"/>
          <w:noProof/>
          <w:lang w:eastAsia="en-NZ"/>
        </w:rPr>
        <w:tab/>
      </w:r>
      <w:r>
        <w:rPr>
          <w:noProof/>
        </w:rPr>
        <w:t>Executive Summary</w:t>
      </w:r>
      <w:r>
        <w:rPr>
          <w:noProof/>
        </w:rPr>
        <w:tab/>
      </w:r>
      <w:r>
        <w:rPr>
          <w:noProof/>
        </w:rPr>
        <w:fldChar w:fldCharType="begin"/>
      </w:r>
      <w:r>
        <w:rPr>
          <w:noProof/>
        </w:rPr>
        <w:instrText xml:space="preserve"> PAGEREF _Toc380424695 \h </w:instrText>
      </w:r>
      <w:r>
        <w:rPr>
          <w:noProof/>
        </w:rPr>
      </w:r>
      <w:r>
        <w:rPr>
          <w:noProof/>
        </w:rPr>
        <w:fldChar w:fldCharType="separate"/>
      </w:r>
      <w:r w:rsidR="00975754">
        <w:rPr>
          <w:noProof/>
        </w:rPr>
        <w:t>2</w:t>
      </w:r>
      <w:r>
        <w:rPr>
          <w:noProof/>
        </w:rPr>
        <w:fldChar w:fldCharType="end"/>
      </w:r>
    </w:p>
    <w:p w14:paraId="26FC0C36" w14:textId="77777777" w:rsidR="00124204" w:rsidRPr="00124204" w:rsidRDefault="00124204" w:rsidP="00124204">
      <w:pPr>
        <w:pStyle w:val="TOC2"/>
        <w:tabs>
          <w:tab w:val="clear" w:pos="5103"/>
          <w:tab w:val="left" w:pos="1320"/>
          <w:tab w:val="right" w:pos="7938"/>
        </w:tabs>
        <w:ind w:right="2834"/>
        <w:rPr>
          <w:noProof/>
        </w:rPr>
      </w:pPr>
      <w:r>
        <w:rPr>
          <w:noProof/>
        </w:rPr>
        <w:t>1.1</w:t>
      </w:r>
      <w:r>
        <w:rPr>
          <w:rFonts w:asciiTheme="minorHAnsi" w:eastAsiaTheme="minorEastAsia" w:hAnsiTheme="minorHAnsi" w:cstheme="minorBidi"/>
          <w:noProof/>
          <w:sz w:val="22"/>
          <w:lang w:eastAsia="en-NZ"/>
        </w:rPr>
        <w:tab/>
      </w:r>
      <w:r>
        <w:rPr>
          <w:noProof/>
        </w:rPr>
        <w:t>Background</w:t>
      </w:r>
      <w:r>
        <w:rPr>
          <w:noProof/>
        </w:rPr>
        <w:tab/>
      </w:r>
      <w:r>
        <w:rPr>
          <w:noProof/>
        </w:rPr>
        <w:fldChar w:fldCharType="begin"/>
      </w:r>
      <w:r>
        <w:rPr>
          <w:noProof/>
        </w:rPr>
        <w:instrText xml:space="preserve"> PAGEREF _Toc380424696 \h </w:instrText>
      </w:r>
      <w:r>
        <w:rPr>
          <w:noProof/>
        </w:rPr>
      </w:r>
      <w:r>
        <w:rPr>
          <w:noProof/>
        </w:rPr>
        <w:fldChar w:fldCharType="separate"/>
      </w:r>
      <w:r w:rsidR="00975754">
        <w:rPr>
          <w:noProof/>
        </w:rPr>
        <w:t>2</w:t>
      </w:r>
      <w:r>
        <w:rPr>
          <w:noProof/>
        </w:rPr>
        <w:fldChar w:fldCharType="end"/>
      </w:r>
    </w:p>
    <w:p w14:paraId="2E6D4930" w14:textId="77777777" w:rsidR="00124204" w:rsidRDefault="00124204" w:rsidP="00124204">
      <w:pPr>
        <w:pStyle w:val="TOC2"/>
        <w:tabs>
          <w:tab w:val="clear" w:pos="5103"/>
          <w:tab w:val="left" w:pos="1320"/>
          <w:tab w:val="right" w:pos="7938"/>
        </w:tabs>
        <w:ind w:right="2834"/>
        <w:rPr>
          <w:rFonts w:asciiTheme="minorHAnsi" w:eastAsiaTheme="minorEastAsia" w:hAnsiTheme="minorHAnsi" w:cstheme="minorBidi"/>
          <w:noProof/>
          <w:sz w:val="22"/>
          <w:lang w:eastAsia="en-NZ"/>
        </w:rPr>
      </w:pPr>
      <w:r>
        <w:rPr>
          <w:noProof/>
        </w:rPr>
        <w:t>1.2</w:t>
      </w:r>
      <w:r w:rsidRPr="00124204">
        <w:rPr>
          <w:noProof/>
        </w:rPr>
        <w:tab/>
      </w:r>
      <w:r>
        <w:rPr>
          <w:noProof/>
        </w:rPr>
        <w:t>Key findings</w:t>
      </w:r>
      <w:r>
        <w:rPr>
          <w:noProof/>
        </w:rPr>
        <w:tab/>
      </w:r>
      <w:r>
        <w:rPr>
          <w:noProof/>
        </w:rPr>
        <w:fldChar w:fldCharType="begin"/>
      </w:r>
      <w:r>
        <w:rPr>
          <w:noProof/>
        </w:rPr>
        <w:instrText xml:space="preserve"> PAGEREF _Toc380424697 \h </w:instrText>
      </w:r>
      <w:r>
        <w:rPr>
          <w:noProof/>
        </w:rPr>
      </w:r>
      <w:r>
        <w:rPr>
          <w:noProof/>
        </w:rPr>
        <w:fldChar w:fldCharType="separate"/>
      </w:r>
      <w:r w:rsidR="00975754">
        <w:rPr>
          <w:noProof/>
        </w:rPr>
        <w:t>2</w:t>
      </w:r>
      <w:r>
        <w:rPr>
          <w:noProof/>
        </w:rPr>
        <w:fldChar w:fldCharType="end"/>
      </w:r>
    </w:p>
    <w:p w14:paraId="319D7A8C" w14:textId="77777777" w:rsidR="00124204" w:rsidRDefault="00124204" w:rsidP="00124204">
      <w:pPr>
        <w:pStyle w:val="TOC1"/>
        <w:tabs>
          <w:tab w:val="clear" w:pos="5103"/>
          <w:tab w:val="left" w:pos="709"/>
          <w:tab w:val="right" w:pos="7938"/>
        </w:tabs>
        <w:ind w:right="2834"/>
        <w:rPr>
          <w:rFonts w:asciiTheme="minorHAnsi" w:eastAsiaTheme="minorEastAsia" w:hAnsiTheme="minorHAnsi" w:cstheme="minorBidi"/>
          <w:noProof/>
          <w:lang w:eastAsia="en-NZ"/>
        </w:rPr>
      </w:pPr>
      <w:r>
        <w:rPr>
          <w:noProof/>
        </w:rPr>
        <w:t>2.</w:t>
      </w:r>
      <w:r>
        <w:rPr>
          <w:rFonts w:asciiTheme="minorHAnsi" w:eastAsiaTheme="minorEastAsia" w:hAnsiTheme="minorHAnsi" w:cstheme="minorBidi"/>
          <w:noProof/>
          <w:lang w:eastAsia="en-NZ"/>
        </w:rPr>
        <w:tab/>
      </w:r>
      <w:r>
        <w:rPr>
          <w:noProof/>
        </w:rPr>
        <w:t>Introduction</w:t>
      </w:r>
      <w:r>
        <w:rPr>
          <w:noProof/>
        </w:rPr>
        <w:tab/>
      </w:r>
      <w:r>
        <w:rPr>
          <w:noProof/>
        </w:rPr>
        <w:fldChar w:fldCharType="begin"/>
      </w:r>
      <w:r>
        <w:rPr>
          <w:noProof/>
        </w:rPr>
        <w:instrText xml:space="preserve"> PAGEREF _Toc380424698 \h </w:instrText>
      </w:r>
      <w:r>
        <w:rPr>
          <w:noProof/>
        </w:rPr>
      </w:r>
      <w:r>
        <w:rPr>
          <w:noProof/>
        </w:rPr>
        <w:fldChar w:fldCharType="separate"/>
      </w:r>
      <w:r w:rsidR="00975754">
        <w:rPr>
          <w:noProof/>
        </w:rPr>
        <w:t>4</w:t>
      </w:r>
      <w:r>
        <w:rPr>
          <w:noProof/>
        </w:rPr>
        <w:fldChar w:fldCharType="end"/>
      </w:r>
    </w:p>
    <w:p w14:paraId="01732AF9" w14:textId="77777777" w:rsidR="00124204" w:rsidRPr="00124204" w:rsidRDefault="00124204" w:rsidP="00124204">
      <w:pPr>
        <w:pStyle w:val="TOC2"/>
        <w:tabs>
          <w:tab w:val="clear" w:pos="5103"/>
          <w:tab w:val="left" w:pos="1320"/>
          <w:tab w:val="right" w:pos="7938"/>
        </w:tabs>
        <w:ind w:right="2834"/>
        <w:rPr>
          <w:noProof/>
        </w:rPr>
      </w:pPr>
      <w:r>
        <w:rPr>
          <w:noProof/>
        </w:rPr>
        <w:t>2.1</w:t>
      </w:r>
      <w:r>
        <w:rPr>
          <w:rFonts w:asciiTheme="minorHAnsi" w:eastAsiaTheme="minorEastAsia" w:hAnsiTheme="minorHAnsi" w:cstheme="minorBidi"/>
          <w:noProof/>
          <w:sz w:val="22"/>
          <w:lang w:eastAsia="en-NZ"/>
        </w:rPr>
        <w:tab/>
      </w:r>
      <w:r>
        <w:rPr>
          <w:noProof/>
        </w:rPr>
        <w:t>Background</w:t>
      </w:r>
      <w:r>
        <w:rPr>
          <w:noProof/>
        </w:rPr>
        <w:tab/>
      </w:r>
      <w:r>
        <w:rPr>
          <w:noProof/>
        </w:rPr>
        <w:fldChar w:fldCharType="begin"/>
      </w:r>
      <w:r>
        <w:rPr>
          <w:noProof/>
        </w:rPr>
        <w:instrText xml:space="preserve"> PAGEREF _Toc380424699 \h </w:instrText>
      </w:r>
      <w:r>
        <w:rPr>
          <w:noProof/>
        </w:rPr>
      </w:r>
      <w:r>
        <w:rPr>
          <w:noProof/>
        </w:rPr>
        <w:fldChar w:fldCharType="separate"/>
      </w:r>
      <w:r w:rsidR="00975754">
        <w:rPr>
          <w:noProof/>
        </w:rPr>
        <w:t>4</w:t>
      </w:r>
      <w:r>
        <w:rPr>
          <w:noProof/>
        </w:rPr>
        <w:fldChar w:fldCharType="end"/>
      </w:r>
    </w:p>
    <w:p w14:paraId="3A444B54" w14:textId="58D14C64" w:rsidR="00124204" w:rsidRPr="00124204" w:rsidRDefault="00124204" w:rsidP="00124204">
      <w:pPr>
        <w:pStyle w:val="TOC2"/>
        <w:tabs>
          <w:tab w:val="clear" w:pos="5103"/>
          <w:tab w:val="left" w:pos="1320"/>
          <w:tab w:val="right" w:pos="7938"/>
        </w:tabs>
        <w:ind w:right="2834"/>
        <w:rPr>
          <w:noProof/>
        </w:rPr>
      </w:pPr>
      <w:r>
        <w:rPr>
          <w:noProof/>
        </w:rPr>
        <w:t>2.2</w:t>
      </w:r>
      <w:r w:rsidRPr="00124204">
        <w:rPr>
          <w:noProof/>
        </w:rPr>
        <w:tab/>
      </w:r>
      <w:r>
        <w:rPr>
          <w:noProof/>
        </w:rPr>
        <w:t>Report purpose</w:t>
      </w:r>
      <w:r>
        <w:rPr>
          <w:noProof/>
        </w:rPr>
        <w:tab/>
      </w:r>
      <w:r>
        <w:rPr>
          <w:noProof/>
        </w:rPr>
        <w:fldChar w:fldCharType="begin"/>
      </w:r>
      <w:r>
        <w:rPr>
          <w:noProof/>
        </w:rPr>
        <w:instrText xml:space="preserve"> PAGEREF _Toc380424700 \h </w:instrText>
      </w:r>
      <w:r>
        <w:rPr>
          <w:noProof/>
        </w:rPr>
      </w:r>
      <w:r>
        <w:rPr>
          <w:noProof/>
        </w:rPr>
        <w:fldChar w:fldCharType="separate"/>
      </w:r>
      <w:r w:rsidR="00975754">
        <w:rPr>
          <w:noProof/>
        </w:rPr>
        <w:t>5</w:t>
      </w:r>
      <w:r>
        <w:rPr>
          <w:noProof/>
        </w:rPr>
        <w:fldChar w:fldCharType="end"/>
      </w:r>
    </w:p>
    <w:p w14:paraId="690AAA2F" w14:textId="77777777" w:rsidR="00124204" w:rsidRDefault="00124204" w:rsidP="00124204">
      <w:pPr>
        <w:pStyle w:val="TOC2"/>
        <w:tabs>
          <w:tab w:val="clear" w:pos="5103"/>
          <w:tab w:val="left" w:pos="1320"/>
          <w:tab w:val="right" w:pos="7938"/>
        </w:tabs>
        <w:ind w:right="2834"/>
        <w:rPr>
          <w:rFonts w:asciiTheme="minorHAnsi" w:eastAsiaTheme="minorEastAsia" w:hAnsiTheme="minorHAnsi" w:cstheme="minorBidi"/>
          <w:noProof/>
          <w:sz w:val="22"/>
          <w:lang w:eastAsia="en-NZ"/>
        </w:rPr>
      </w:pPr>
      <w:r>
        <w:rPr>
          <w:noProof/>
        </w:rPr>
        <w:t>2.3</w:t>
      </w:r>
      <w:r w:rsidRPr="00124204">
        <w:rPr>
          <w:noProof/>
        </w:rPr>
        <w:tab/>
      </w:r>
      <w:r>
        <w:rPr>
          <w:noProof/>
        </w:rPr>
        <w:t>Glossary of terms</w:t>
      </w:r>
      <w:r>
        <w:rPr>
          <w:noProof/>
        </w:rPr>
        <w:tab/>
      </w:r>
      <w:r>
        <w:rPr>
          <w:noProof/>
        </w:rPr>
        <w:fldChar w:fldCharType="begin"/>
      </w:r>
      <w:r>
        <w:rPr>
          <w:noProof/>
        </w:rPr>
        <w:instrText xml:space="preserve"> PAGEREF _Toc380424701 \h </w:instrText>
      </w:r>
      <w:r>
        <w:rPr>
          <w:noProof/>
        </w:rPr>
      </w:r>
      <w:r>
        <w:rPr>
          <w:noProof/>
        </w:rPr>
        <w:fldChar w:fldCharType="separate"/>
      </w:r>
      <w:r w:rsidR="00975754">
        <w:rPr>
          <w:noProof/>
        </w:rPr>
        <w:t>5</w:t>
      </w:r>
      <w:r>
        <w:rPr>
          <w:noProof/>
        </w:rPr>
        <w:fldChar w:fldCharType="end"/>
      </w:r>
    </w:p>
    <w:p w14:paraId="592FBC1E" w14:textId="706C76E3" w:rsidR="00124204" w:rsidRDefault="00124204" w:rsidP="00124204">
      <w:pPr>
        <w:pStyle w:val="TOC1"/>
        <w:tabs>
          <w:tab w:val="clear" w:pos="5103"/>
          <w:tab w:val="left" w:pos="709"/>
          <w:tab w:val="right" w:pos="7938"/>
        </w:tabs>
        <w:ind w:right="2834"/>
        <w:rPr>
          <w:rFonts w:asciiTheme="minorHAnsi" w:eastAsiaTheme="minorEastAsia" w:hAnsiTheme="minorHAnsi" w:cstheme="minorBidi"/>
          <w:noProof/>
          <w:lang w:eastAsia="en-NZ"/>
        </w:rPr>
      </w:pPr>
      <w:r>
        <w:rPr>
          <w:noProof/>
        </w:rPr>
        <w:t>3.</w:t>
      </w:r>
      <w:r>
        <w:rPr>
          <w:rFonts w:asciiTheme="minorHAnsi" w:eastAsiaTheme="minorEastAsia" w:hAnsiTheme="minorHAnsi" w:cstheme="minorBidi"/>
          <w:noProof/>
          <w:lang w:eastAsia="en-NZ"/>
        </w:rPr>
        <w:tab/>
      </w:r>
      <w:r>
        <w:rPr>
          <w:noProof/>
        </w:rPr>
        <w:t>Methodology</w:t>
      </w:r>
      <w:r>
        <w:rPr>
          <w:noProof/>
        </w:rPr>
        <w:tab/>
      </w:r>
      <w:r>
        <w:rPr>
          <w:noProof/>
        </w:rPr>
        <w:fldChar w:fldCharType="begin"/>
      </w:r>
      <w:r>
        <w:rPr>
          <w:noProof/>
        </w:rPr>
        <w:instrText xml:space="preserve"> PAGEREF _Toc380424702 \h </w:instrText>
      </w:r>
      <w:r>
        <w:rPr>
          <w:noProof/>
        </w:rPr>
      </w:r>
      <w:r>
        <w:rPr>
          <w:noProof/>
        </w:rPr>
        <w:fldChar w:fldCharType="separate"/>
      </w:r>
      <w:r w:rsidR="00975754">
        <w:rPr>
          <w:noProof/>
        </w:rPr>
        <w:t>7</w:t>
      </w:r>
      <w:r>
        <w:rPr>
          <w:noProof/>
        </w:rPr>
        <w:fldChar w:fldCharType="end"/>
      </w:r>
    </w:p>
    <w:p w14:paraId="1750AC15" w14:textId="0C19C526" w:rsidR="00124204" w:rsidRPr="00124204" w:rsidRDefault="00124204" w:rsidP="00124204">
      <w:pPr>
        <w:pStyle w:val="TOC2"/>
        <w:tabs>
          <w:tab w:val="clear" w:pos="5103"/>
          <w:tab w:val="left" w:pos="1320"/>
          <w:tab w:val="right" w:pos="7938"/>
        </w:tabs>
        <w:ind w:right="2834"/>
        <w:rPr>
          <w:noProof/>
        </w:rPr>
      </w:pPr>
      <w:r>
        <w:rPr>
          <w:noProof/>
        </w:rPr>
        <w:t>3.1</w:t>
      </w:r>
      <w:r>
        <w:rPr>
          <w:rFonts w:asciiTheme="minorHAnsi" w:eastAsiaTheme="minorEastAsia" w:hAnsiTheme="minorHAnsi" w:cstheme="minorBidi"/>
          <w:noProof/>
          <w:sz w:val="22"/>
          <w:lang w:eastAsia="en-NZ"/>
        </w:rPr>
        <w:tab/>
      </w:r>
      <w:r>
        <w:rPr>
          <w:noProof/>
        </w:rPr>
        <w:t>Immersion visit interviews with general practice</w:t>
      </w:r>
      <w:r>
        <w:rPr>
          <w:noProof/>
        </w:rPr>
        <w:tab/>
      </w:r>
      <w:r>
        <w:rPr>
          <w:noProof/>
        </w:rPr>
        <w:fldChar w:fldCharType="begin"/>
      </w:r>
      <w:r>
        <w:rPr>
          <w:noProof/>
        </w:rPr>
        <w:instrText xml:space="preserve"> PAGEREF _Toc380424703 \h </w:instrText>
      </w:r>
      <w:r>
        <w:rPr>
          <w:noProof/>
        </w:rPr>
      </w:r>
      <w:r>
        <w:rPr>
          <w:noProof/>
        </w:rPr>
        <w:fldChar w:fldCharType="separate"/>
      </w:r>
      <w:r w:rsidR="00975754">
        <w:rPr>
          <w:noProof/>
        </w:rPr>
        <w:t>7</w:t>
      </w:r>
      <w:r>
        <w:rPr>
          <w:noProof/>
        </w:rPr>
        <w:fldChar w:fldCharType="end"/>
      </w:r>
    </w:p>
    <w:p w14:paraId="0CE66BA9" w14:textId="53ACFED2" w:rsidR="00124204" w:rsidRPr="00124204" w:rsidRDefault="00124204" w:rsidP="00124204">
      <w:pPr>
        <w:pStyle w:val="TOC2"/>
        <w:tabs>
          <w:tab w:val="clear" w:pos="5103"/>
          <w:tab w:val="left" w:pos="1320"/>
          <w:tab w:val="right" w:pos="7938"/>
        </w:tabs>
        <w:ind w:right="2834"/>
        <w:rPr>
          <w:noProof/>
        </w:rPr>
      </w:pPr>
      <w:r>
        <w:rPr>
          <w:noProof/>
        </w:rPr>
        <w:t>3.2</w:t>
      </w:r>
      <w:r w:rsidRPr="00124204">
        <w:rPr>
          <w:noProof/>
        </w:rPr>
        <w:tab/>
      </w:r>
      <w:r>
        <w:rPr>
          <w:noProof/>
        </w:rPr>
        <w:t>Interviews with M</w:t>
      </w:r>
      <w:r w:rsidRPr="00124204">
        <w:rPr>
          <w:noProof/>
        </w:rPr>
        <w:t>ā</w:t>
      </w:r>
      <w:r>
        <w:rPr>
          <w:noProof/>
        </w:rPr>
        <w:t>ori and Pacific BSP participants</w:t>
      </w:r>
      <w:r>
        <w:rPr>
          <w:noProof/>
        </w:rPr>
        <w:tab/>
      </w:r>
      <w:r>
        <w:rPr>
          <w:noProof/>
        </w:rPr>
        <w:fldChar w:fldCharType="begin"/>
      </w:r>
      <w:r>
        <w:rPr>
          <w:noProof/>
        </w:rPr>
        <w:instrText xml:space="preserve"> PAGEREF _Toc380424704 \h </w:instrText>
      </w:r>
      <w:r>
        <w:rPr>
          <w:noProof/>
        </w:rPr>
      </w:r>
      <w:r>
        <w:rPr>
          <w:noProof/>
        </w:rPr>
        <w:fldChar w:fldCharType="separate"/>
      </w:r>
      <w:r w:rsidR="00975754">
        <w:rPr>
          <w:noProof/>
        </w:rPr>
        <w:t>8</w:t>
      </w:r>
      <w:r>
        <w:rPr>
          <w:noProof/>
        </w:rPr>
        <w:fldChar w:fldCharType="end"/>
      </w:r>
    </w:p>
    <w:p w14:paraId="7EBCF78D" w14:textId="2EB8AB16" w:rsidR="00124204" w:rsidRPr="00124204" w:rsidRDefault="00124204" w:rsidP="00124204">
      <w:pPr>
        <w:pStyle w:val="TOC2"/>
        <w:tabs>
          <w:tab w:val="clear" w:pos="5103"/>
          <w:tab w:val="left" w:pos="1320"/>
          <w:tab w:val="right" w:pos="7938"/>
        </w:tabs>
        <w:ind w:right="2834"/>
        <w:rPr>
          <w:noProof/>
        </w:rPr>
      </w:pPr>
      <w:r>
        <w:rPr>
          <w:noProof/>
        </w:rPr>
        <w:t>3.3</w:t>
      </w:r>
      <w:r w:rsidRPr="00124204">
        <w:rPr>
          <w:noProof/>
        </w:rPr>
        <w:tab/>
      </w:r>
      <w:r>
        <w:rPr>
          <w:noProof/>
        </w:rPr>
        <w:t>Other data sources</w:t>
      </w:r>
      <w:r>
        <w:rPr>
          <w:noProof/>
        </w:rPr>
        <w:tab/>
      </w:r>
      <w:r>
        <w:rPr>
          <w:noProof/>
        </w:rPr>
        <w:fldChar w:fldCharType="begin"/>
      </w:r>
      <w:r>
        <w:rPr>
          <w:noProof/>
        </w:rPr>
        <w:instrText xml:space="preserve"> PAGEREF _Toc380424705 \h </w:instrText>
      </w:r>
      <w:r>
        <w:rPr>
          <w:noProof/>
        </w:rPr>
      </w:r>
      <w:r>
        <w:rPr>
          <w:noProof/>
        </w:rPr>
        <w:fldChar w:fldCharType="separate"/>
      </w:r>
      <w:r w:rsidR="00975754">
        <w:rPr>
          <w:noProof/>
        </w:rPr>
        <w:t>10</w:t>
      </w:r>
      <w:r>
        <w:rPr>
          <w:noProof/>
        </w:rPr>
        <w:fldChar w:fldCharType="end"/>
      </w:r>
    </w:p>
    <w:p w14:paraId="3271CF2A" w14:textId="7D883AF0" w:rsidR="00124204" w:rsidRDefault="00124204" w:rsidP="00124204">
      <w:pPr>
        <w:pStyle w:val="TOC2"/>
        <w:tabs>
          <w:tab w:val="clear" w:pos="5103"/>
          <w:tab w:val="left" w:pos="1320"/>
          <w:tab w:val="right" w:pos="7938"/>
        </w:tabs>
        <w:ind w:right="2834"/>
        <w:rPr>
          <w:rFonts w:asciiTheme="minorHAnsi" w:eastAsiaTheme="minorEastAsia" w:hAnsiTheme="minorHAnsi" w:cstheme="minorBidi"/>
          <w:noProof/>
          <w:sz w:val="22"/>
          <w:lang w:eastAsia="en-NZ"/>
        </w:rPr>
      </w:pPr>
      <w:r>
        <w:rPr>
          <w:noProof/>
        </w:rPr>
        <w:t>3.4</w:t>
      </w:r>
      <w:r w:rsidRPr="00124204">
        <w:rPr>
          <w:noProof/>
        </w:rPr>
        <w:tab/>
      </w:r>
      <w:r>
        <w:rPr>
          <w:noProof/>
        </w:rPr>
        <w:t>Research limitations</w:t>
      </w:r>
      <w:r>
        <w:rPr>
          <w:noProof/>
        </w:rPr>
        <w:tab/>
      </w:r>
      <w:r>
        <w:rPr>
          <w:noProof/>
        </w:rPr>
        <w:fldChar w:fldCharType="begin"/>
      </w:r>
      <w:r>
        <w:rPr>
          <w:noProof/>
        </w:rPr>
        <w:instrText xml:space="preserve"> PAGEREF _Toc380424706 \h </w:instrText>
      </w:r>
      <w:r>
        <w:rPr>
          <w:noProof/>
        </w:rPr>
      </w:r>
      <w:r>
        <w:rPr>
          <w:noProof/>
        </w:rPr>
        <w:fldChar w:fldCharType="separate"/>
      </w:r>
      <w:r w:rsidR="00975754">
        <w:rPr>
          <w:noProof/>
        </w:rPr>
        <w:t>11</w:t>
      </w:r>
      <w:r>
        <w:rPr>
          <w:noProof/>
        </w:rPr>
        <w:fldChar w:fldCharType="end"/>
      </w:r>
    </w:p>
    <w:p w14:paraId="53254A4F" w14:textId="6E4A021F" w:rsidR="00124204" w:rsidRDefault="00124204" w:rsidP="00124204">
      <w:pPr>
        <w:pStyle w:val="TOC1"/>
        <w:tabs>
          <w:tab w:val="clear" w:pos="5103"/>
          <w:tab w:val="left" w:pos="709"/>
          <w:tab w:val="right" w:pos="7938"/>
        </w:tabs>
        <w:ind w:right="2834"/>
        <w:rPr>
          <w:rFonts w:asciiTheme="minorHAnsi" w:eastAsiaTheme="minorEastAsia" w:hAnsiTheme="minorHAnsi" w:cstheme="minorBidi"/>
          <w:noProof/>
          <w:lang w:eastAsia="en-NZ"/>
        </w:rPr>
      </w:pPr>
      <w:r w:rsidRPr="000C6899">
        <w:rPr>
          <w:noProof/>
          <w:lang w:val="en-US"/>
        </w:rPr>
        <w:t>4.</w:t>
      </w:r>
      <w:r>
        <w:rPr>
          <w:rFonts w:asciiTheme="minorHAnsi" w:eastAsiaTheme="minorEastAsia" w:hAnsiTheme="minorHAnsi" w:cstheme="minorBidi"/>
          <w:noProof/>
          <w:lang w:eastAsia="en-NZ"/>
        </w:rPr>
        <w:tab/>
      </w:r>
      <w:r w:rsidRPr="000C6899">
        <w:rPr>
          <w:noProof/>
          <w:lang w:val="en-US"/>
        </w:rPr>
        <w:t>Overview of General Practices’ Role</w:t>
      </w:r>
      <w:r>
        <w:rPr>
          <w:noProof/>
        </w:rPr>
        <w:tab/>
      </w:r>
      <w:r>
        <w:rPr>
          <w:noProof/>
        </w:rPr>
        <w:fldChar w:fldCharType="begin"/>
      </w:r>
      <w:r>
        <w:rPr>
          <w:noProof/>
        </w:rPr>
        <w:instrText xml:space="preserve"> PAGEREF _Toc380424707 \h </w:instrText>
      </w:r>
      <w:r>
        <w:rPr>
          <w:noProof/>
        </w:rPr>
      </w:r>
      <w:r>
        <w:rPr>
          <w:noProof/>
        </w:rPr>
        <w:fldChar w:fldCharType="separate"/>
      </w:r>
      <w:r w:rsidR="00975754">
        <w:rPr>
          <w:noProof/>
        </w:rPr>
        <w:t>13</w:t>
      </w:r>
      <w:r>
        <w:rPr>
          <w:noProof/>
        </w:rPr>
        <w:fldChar w:fldCharType="end"/>
      </w:r>
    </w:p>
    <w:p w14:paraId="58A0A08C" w14:textId="28403F8C" w:rsidR="00124204" w:rsidRDefault="00124204" w:rsidP="00124204">
      <w:pPr>
        <w:pStyle w:val="TOC1"/>
        <w:tabs>
          <w:tab w:val="clear" w:pos="5103"/>
          <w:tab w:val="left" w:pos="709"/>
          <w:tab w:val="right" w:pos="7938"/>
        </w:tabs>
        <w:ind w:right="2834"/>
        <w:rPr>
          <w:rFonts w:asciiTheme="minorHAnsi" w:eastAsiaTheme="minorEastAsia" w:hAnsiTheme="minorHAnsi" w:cstheme="minorBidi"/>
          <w:noProof/>
          <w:lang w:eastAsia="en-NZ"/>
        </w:rPr>
      </w:pPr>
      <w:r w:rsidRPr="000C6899">
        <w:rPr>
          <w:noProof/>
          <w:lang w:val="en-US"/>
        </w:rPr>
        <w:t>5.</w:t>
      </w:r>
      <w:r>
        <w:rPr>
          <w:rFonts w:asciiTheme="minorHAnsi" w:eastAsiaTheme="minorEastAsia" w:hAnsiTheme="minorHAnsi" w:cstheme="minorBidi"/>
          <w:noProof/>
          <w:lang w:eastAsia="en-NZ"/>
        </w:rPr>
        <w:tab/>
      </w:r>
      <w:r w:rsidRPr="000C6899">
        <w:rPr>
          <w:noProof/>
          <w:lang w:val="en-US"/>
        </w:rPr>
        <w:t>BSP Participant Experience and Preference</w:t>
      </w:r>
      <w:r>
        <w:rPr>
          <w:noProof/>
        </w:rPr>
        <w:tab/>
      </w:r>
      <w:r>
        <w:rPr>
          <w:noProof/>
        </w:rPr>
        <w:fldChar w:fldCharType="begin"/>
      </w:r>
      <w:r>
        <w:rPr>
          <w:noProof/>
        </w:rPr>
        <w:instrText xml:space="preserve"> PAGEREF _Toc380424708 \h </w:instrText>
      </w:r>
      <w:r>
        <w:rPr>
          <w:noProof/>
        </w:rPr>
      </w:r>
      <w:r>
        <w:rPr>
          <w:noProof/>
        </w:rPr>
        <w:fldChar w:fldCharType="separate"/>
      </w:r>
      <w:r w:rsidR="00975754">
        <w:rPr>
          <w:noProof/>
        </w:rPr>
        <w:t>16</w:t>
      </w:r>
      <w:r>
        <w:rPr>
          <w:noProof/>
        </w:rPr>
        <w:fldChar w:fldCharType="end"/>
      </w:r>
    </w:p>
    <w:p w14:paraId="253C119F" w14:textId="43D2A112" w:rsidR="00124204" w:rsidRPr="00124204" w:rsidRDefault="00124204" w:rsidP="00124204">
      <w:pPr>
        <w:pStyle w:val="TOC2"/>
        <w:tabs>
          <w:tab w:val="clear" w:pos="5103"/>
          <w:tab w:val="left" w:pos="1320"/>
          <w:tab w:val="right" w:pos="7938"/>
        </w:tabs>
        <w:ind w:right="2834"/>
        <w:rPr>
          <w:noProof/>
        </w:rPr>
      </w:pPr>
      <w:r w:rsidRPr="000C6899">
        <w:rPr>
          <w:noProof/>
          <w:lang w:val="en-US"/>
        </w:rPr>
        <w:t>5.1</w:t>
      </w:r>
      <w:r>
        <w:rPr>
          <w:rFonts w:asciiTheme="minorHAnsi" w:eastAsiaTheme="minorEastAsia" w:hAnsiTheme="minorHAnsi" w:cstheme="minorBidi"/>
          <w:noProof/>
          <w:sz w:val="22"/>
          <w:lang w:eastAsia="en-NZ"/>
        </w:rPr>
        <w:tab/>
      </w:r>
      <w:r w:rsidRPr="000C6899">
        <w:rPr>
          <w:noProof/>
          <w:lang w:val="en-US"/>
        </w:rPr>
        <w:t>Process to receive a positive iFOBT results</w:t>
      </w:r>
      <w:r>
        <w:rPr>
          <w:noProof/>
        </w:rPr>
        <w:tab/>
      </w:r>
      <w:r>
        <w:rPr>
          <w:noProof/>
        </w:rPr>
        <w:fldChar w:fldCharType="begin"/>
      </w:r>
      <w:r>
        <w:rPr>
          <w:noProof/>
        </w:rPr>
        <w:instrText xml:space="preserve"> PAGEREF _Toc380424709 \h </w:instrText>
      </w:r>
      <w:r>
        <w:rPr>
          <w:noProof/>
        </w:rPr>
      </w:r>
      <w:r>
        <w:rPr>
          <w:noProof/>
        </w:rPr>
        <w:fldChar w:fldCharType="separate"/>
      </w:r>
      <w:r w:rsidR="00975754">
        <w:rPr>
          <w:noProof/>
        </w:rPr>
        <w:t>16</w:t>
      </w:r>
      <w:r>
        <w:rPr>
          <w:noProof/>
        </w:rPr>
        <w:fldChar w:fldCharType="end"/>
      </w:r>
    </w:p>
    <w:p w14:paraId="0C7CD6C8" w14:textId="027A06C2" w:rsidR="00124204" w:rsidRPr="00124204" w:rsidRDefault="00124204" w:rsidP="00124204">
      <w:pPr>
        <w:pStyle w:val="TOC2"/>
        <w:tabs>
          <w:tab w:val="clear" w:pos="5103"/>
          <w:tab w:val="left" w:pos="1320"/>
          <w:tab w:val="right" w:pos="7938"/>
        </w:tabs>
        <w:ind w:right="2834"/>
        <w:rPr>
          <w:noProof/>
        </w:rPr>
      </w:pPr>
      <w:r w:rsidRPr="00124204">
        <w:rPr>
          <w:noProof/>
        </w:rPr>
        <w:t>5.2</w:t>
      </w:r>
      <w:r w:rsidRPr="00124204">
        <w:rPr>
          <w:noProof/>
        </w:rPr>
        <w:tab/>
        <w:t>Preferred delivery of positive results</w:t>
      </w:r>
      <w:r>
        <w:rPr>
          <w:noProof/>
        </w:rPr>
        <w:tab/>
      </w:r>
      <w:r>
        <w:rPr>
          <w:noProof/>
        </w:rPr>
        <w:fldChar w:fldCharType="begin"/>
      </w:r>
      <w:r>
        <w:rPr>
          <w:noProof/>
        </w:rPr>
        <w:instrText xml:space="preserve"> PAGEREF _Toc380424710 \h </w:instrText>
      </w:r>
      <w:r>
        <w:rPr>
          <w:noProof/>
        </w:rPr>
      </w:r>
      <w:r>
        <w:rPr>
          <w:noProof/>
        </w:rPr>
        <w:fldChar w:fldCharType="separate"/>
      </w:r>
      <w:r w:rsidR="00975754">
        <w:rPr>
          <w:noProof/>
        </w:rPr>
        <w:t>18</w:t>
      </w:r>
      <w:r>
        <w:rPr>
          <w:noProof/>
        </w:rPr>
        <w:fldChar w:fldCharType="end"/>
      </w:r>
    </w:p>
    <w:p w14:paraId="2C487E37" w14:textId="1E620470" w:rsidR="00124204" w:rsidRDefault="00124204" w:rsidP="00124204">
      <w:pPr>
        <w:pStyle w:val="TOC2"/>
        <w:tabs>
          <w:tab w:val="clear" w:pos="5103"/>
          <w:tab w:val="left" w:pos="1320"/>
          <w:tab w:val="right" w:pos="7938"/>
        </w:tabs>
        <w:ind w:right="2834"/>
        <w:rPr>
          <w:rFonts w:asciiTheme="minorHAnsi" w:eastAsiaTheme="minorEastAsia" w:hAnsiTheme="minorHAnsi" w:cstheme="minorBidi"/>
          <w:noProof/>
          <w:sz w:val="22"/>
          <w:lang w:eastAsia="en-NZ"/>
        </w:rPr>
      </w:pPr>
      <w:r w:rsidRPr="00124204">
        <w:rPr>
          <w:noProof/>
        </w:rPr>
        <w:t>5.3</w:t>
      </w:r>
      <w:r w:rsidRPr="00124204">
        <w:rPr>
          <w:noProof/>
        </w:rPr>
        <w:tab/>
        <w:t>Overview</w:t>
      </w:r>
      <w:r w:rsidRPr="000C6899">
        <w:rPr>
          <w:noProof/>
          <w:lang w:val="en-US"/>
        </w:rPr>
        <w:t xml:space="preserve"> of participant experience</w:t>
      </w:r>
      <w:r>
        <w:rPr>
          <w:noProof/>
        </w:rPr>
        <w:tab/>
      </w:r>
      <w:r>
        <w:rPr>
          <w:noProof/>
        </w:rPr>
        <w:fldChar w:fldCharType="begin"/>
      </w:r>
      <w:r>
        <w:rPr>
          <w:noProof/>
        </w:rPr>
        <w:instrText xml:space="preserve"> PAGEREF _Toc380424711 \h </w:instrText>
      </w:r>
      <w:r>
        <w:rPr>
          <w:noProof/>
        </w:rPr>
      </w:r>
      <w:r>
        <w:rPr>
          <w:noProof/>
        </w:rPr>
        <w:fldChar w:fldCharType="separate"/>
      </w:r>
      <w:r w:rsidR="00975754">
        <w:rPr>
          <w:noProof/>
        </w:rPr>
        <w:t>20</w:t>
      </w:r>
      <w:r>
        <w:rPr>
          <w:noProof/>
        </w:rPr>
        <w:fldChar w:fldCharType="end"/>
      </w:r>
    </w:p>
    <w:p w14:paraId="741EC95C" w14:textId="31510CDD" w:rsidR="00124204" w:rsidRDefault="00124204" w:rsidP="00124204">
      <w:pPr>
        <w:pStyle w:val="TOC1"/>
        <w:tabs>
          <w:tab w:val="clear" w:pos="5103"/>
          <w:tab w:val="left" w:pos="709"/>
          <w:tab w:val="right" w:pos="7938"/>
        </w:tabs>
        <w:ind w:right="2834"/>
        <w:rPr>
          <w:rFonts w:asciiTheme="minorHAnsi" w:eastAsiaTheme="minorEastAsia" w:hAnsiTheme="minorHAnsi" w:cstheme="minorBidi"/>
          <w:noProof/>
          <w:lang w:eastAsia="en-NZ"/>
        </w:rPr>
      </w:pPr>
      <w:r w:rsidRPr="000C6899">
        <w:rPr>
          <w:noProof/>
          <w:lang w:val="en-US"/>
        </w:rPr>
        <w:t>6.</w:t>
      </w:r>
      <w:r>
        <w:rPr>
          <w:rFonts w:asciiTheme="minorHAnsi" w:eastAsiaTheme="minorEastAsia" w:hAnsiTheme="minorHAnsi" w:cstheme="minorBidi"/>
          <w:noProof/>
          <w:lang w:eastAsia="en-NZ"/>
        </w:rPr>
        <w:tab/>
      </w:r>
      <w:r w:rsidRPr="000C6899">
        <w:rPr>
          <w:noProof/>
          <w:lang w:val="en-US"/>
        </w:rPr>
        <w:t>General Practices’ Delivery and Preferences</w:t>
      </w:r>
      <w:r>
        <w:rPr>
          <w:noProof/>
        </w:rPr>
        <w:tab/>
      </w:r>
      <w:r>
        <w:rPr>
          <w:noProof/>
        </w:rPr>
        <w:fldChar w:fldCharType="begin"/>
      </w:r>
      <w:r>
        <w:rPr>
          <w:noProof/>
        </w:rPr>
        <w:instrText xml:space="preserve"> PAGEREF _Toc380424712 \h </w:instrText>
      </w:r>
      <w:r>
        <w:rPr>
          <w:noProof/>
        </w:rPr>
      </w:r>
      <w:r>
        <w:rPr>
          <w:noProof/>
        </w:rPr>
        <w:fldChar w:fldCharType="separate"/>
      </w:r>
      <w:r w:rsidR="00975754">
        <w:rPr>
          <w:noProof/>
        </w:rPr>
        <w:t>24</w:t>
      </w:r>
      <w:r>
        <w:rPr>
          <w:noProof/>
        </w:rPr>
        <w:fldChar w:fldCharType="end"/>
      </w:r>
    </w:p>
    <w:p w14:paraId="5C1FD644" w14:textId="0D675267" w:rsidR="00124204" w:rsidRDefault="00124204" w:rsidP="00124204">
      <w:pPr>
        <w:pStyle w:val="TOC2"/>
        <w:tabs>
          <w:tab w:val="clear" w:pos="5103"/>
          <w:tab w:val="left" w:pos="1320"/>
          <w:tab w:val="right" w:pos="7938"/>
        </w:tabs>
        <w:ind w:right="2834"/>
        <w:rPr>
          <w:rFonts w:asciiTheme="minorHAnsi" w:eastAsiaTheme="minorEastAsia" w:hAnsiTheme="minorHAnsi" w:cstheme="minorBidi"/>
          <w:noProof/>
          <w:sz w:val="22"/>
          <w:lang w:eastAsia="en-NZ"/>
        </w:rPr>
      </w:pPr>
      <w:r w:rsidRPr="000C6899">
        <w:rPr>
          <w:noProof/>
          <w:lang w:val="en-US"/>
        </w:rPr>
        <w:t>6.1</w:t>
      </w:r>
      <w:r>
        <w:rPr>
          <w:rFonts w:asciiTheme="minorHAnsi" w:eastAsiaTheme="minorEastAsia" w:hAnsiTheme="minorHAnsi" w:cstheme="minorBidi"/>
          <w:noProof/>
          <w:sz w:val="22"/>
          <w:lang w:eastAsia="en-NZ"/>
        </w:rPr>
        <w:tab/>
      </w:r>
      <w:r w:rsidRPr="000C6899">
        <w:rPr>
          <w:noProof/>
          <w:lang w:val="en-US"/>
        </w:rPr>
        <w:t>Awareness and knowledge of the BSP</w:t>
      </w:r>
      <w:r>
        <w:rPr>
          <w:noProof/>
        </w:rPr>
        <w:tab/>
      </w:r>
      <w:r>
        <w:rPr>
          <w:noProof/>
        </w:rPr>
        <w:fldChar w:fldCharType="begin"/>
      </w:r>
      <w:r>
        <w:rPr>
          <w:noProof/>
        </w:rPr>
        <w:instrText xml:space="preserve"> PAGEREF _Toc380424713 \h </w:instrText>
      </w:r>
      <w:r>
        <w:rPr>
          <w:noProof/>
        </w:rPr>
      </w:r>
      <w:r>
        <w:rPr>
          <w:noProof/>
        </w:rPr>
        <w:fldChar w:fldCharType="separate"/>
      </w:r>
      <w:r w:rsidR="00975754">
        <w:rPr>
          <w:noProof/>
        </w:rPr>
        <w:t>24</w:t>
      </w:r>
      <w:r>
        <w:rPr>
          <w:noProof/>
        </w:rPr>
        <w:fldChar w:fldCharType="end"/>
      </w:r>
    </w:p>
    <w:p w14:paraId="4C6BD4AE" w14:textId="4FD10445" w:rsidR="00124204" w:rsidRDefault="00124204" w:rsidP="00124204">
      <w:pPr>
        <w:pStyle w:val="TOC2"/>
        <w:tabs>
          <w:tab w:val="clear" w:pos="5103"/>
          <w:tab w:val="left" w:pos="1320"/>
          <w:tab w:val="right" w:pos="7938"/>
        </w:tabs>
        <w:ind w:right="2834"/>
        <w:rPr>
          <w:rFonts w:asciiTheme="minorHAnsi" w:eastAsiaTheme="minorEastAsia" w:hAnsiTheme="minorHAnsi" w:cstheme="minorBidi"/>
          <w:noProof/>
          <w:sz w:val="22"/>
          <w:lang w:eastAsia="en-NZ"/>
        </w:rPr>
      </w:pPr>
      <w:r w:rsidRPr="000C6899">
        <w:rPr>
          <w:noProof/>
          <w:lang w:val="en-US"/>
        </w:rPr>
        <w:t>6.2</w:t>
      </w:r>
      <w:r>
        <w:rPr>
          <w:rFonts w:asciiTheme="minorHAnsi" w:eastAsiaTheme="minorEastAsia" w:hAnsiTheme="minorHAnsi" w:cstheme="minorBidi"/>
          <w:noProof/>
          <w:sz w:val="22"/>
          <w:lang w:eastAsia="en-NZ"/>
        </w:rPr>
        <w:tab/>
      </w:r>
      <w:r w:rsidRPr="000C6899">
        <w:rPr>
          <w:noProof/>
          <w:lang w:val="en-US"/>
        </w:rPr>
        <w:t>Description of service delivery</w:t>
      </w:r>
      <w:r>
        <w:rPr>
          <w:noProof/>
        </w:rPr>
        <w:tab/>
      </w:r>
      <w:r>
        <w:rPr>
          <w:noProof/>
        </w:rPr>
        <w:fldChar w:fldCharType="begin"/>
      </w:r>
      <w:r>
        <w:rPr>
          <w:noProof/>
        </w:rPr>
        <w:instrText xml:space="preserve"> PAGEREF _Toc380424714 \h </w:instrText>
      </w:r>
      <w:r>
        <w:rPr>
          <w:noProof/>
        </w:rPr>
      </w:r>
      <w:r>
        <w:rPr>
          <w:noProof/>
        </w:rPr>
        <w:fldChar w:fldCharType="separate"/>
      </w:r>
      <w:r w:rsidR="00975754">
        <w:rPr>
          <w:noProof/>
        </w:rPr>
        <w:t>24</w:t>
      </w:r>
      <w:r>
        <w:rPr>
          <w:noProof/>
        </w:rPr>
        <w:fldChar w:fldCharType="end"/>
      </w:r>
    </w:p>
    <w:p w14:paraId="5FCAF937" w14:textId="209DB684" w:rsidR="00124204" w:rsidRDefault="00124204" w:rsidP="00124204">
      <w:pPr>
        <w:pStyle w:val="TOC2"/>
        <w:tabs>
          <w:tab w:val="clear" w:pos="5103"/>
          <w:tab w:val="left" w:pos="1320"/>
          <w:tab w:val="right" w:pos="7938"/>
        </w:tabs>
        <w:ind w:right="2834"/>
        <w:rPr>
          <w:rFonts w:asciiTheme="minorHAnsi" w:eastAsiaTheme="minorEastAsia" w:hAnsiTheme="minorHAnsi" w:cstheme="minorBidi"/>
          <w:noProof/>
          <w:sz w:val="22"/>
          <w:lang w:eastAsia="en-NZ"/>
        </w:rPr>
      </w:pPr>
      <w:r w:rsidRPr="000C6899">
        <w:rPr>
          <w:noProof/>
          <w:lang w:val="en-US"/>
        </w:rPr>
        <w:t>6.3</w:t>
      </w:r>
      <w:r>
        <w:rPr>
          <w:rFonts w:asciiTheme="minorHAnsi" w:eastAsiaTheme="minorEastAsia" w:hAnsiTheme="minorHAnsi" w:cstheme="minorBidi"/>
          <w:noProof/>
          <w:sz w:val="22"/>
          <w:lang w:eastAsia="en-NZ"/>
        </w:rPr>
        <w:tab/>
      </w:r>
      <w:r w:rsidRPr="000C6899">
        <w:rPr>
          <w:noProof/>
          <w:lang w:val="en-US"/>
        </w:rPr>
        <w:t>Perceptions of the BSP</w:t>
      </w:r>
      <w:r>
        <w:rPr>
          <w:noProof/>
        </w:rPr>
        <w:tab/>
      </w:r>
      <w:r>
        <w:rPr>
          <w:noProof/>
        </w:rPr>
        <w:fldChar w:fldCharType="begin"/>
      </w:r>
      <w:r>
        <w:rPr>
          <w:noProof/>
        </w:rPr>
        <w:instrText xml:space="preserve"> PAGEREF _Toc380424715 \h </w:instrText>
      </w:r>
      <w:r>
        <w:rPr>
          <w:noProof/>
        </w:rPr>
      </w:r>
      <w:r>
        <w:rPr>
          <w:noProof/>
        </w:rPr>
        <w:fldChar w:fldCharType="separate"/>
      </w:r>
      <w:r w:rsidR="00975754">
        <w:rPr>
          <w:noProof/>
        </w:rPr>
        <w:t>27</w:t>
      </w:r>
      <w:r>
        <w:rPr>
          <w:noProof/>
        </w:rPr>
        <w:fldChar w:fldCharType="end"/>
      </w:r>
    </w:p>
    <w:p w14:paraId="08C7A34D" w14:textId="5D6FAB8F" w:rsidR="00124204" w:rsidRDefault="00124204" w:rsidP="00124204">
      <w:pPr>
        <w:pStyle w:val="TOC2"/>
        <w:tabs>
          <w:tab w:val="clear" w:pos="5103"/>
          <w:tab w:val="left" w:pos="1320"/>
          <w:tab w:val="right" w:pos="7938"/>
        </w:tabs>
        <w:ind w:right="2834"/>
        <w:rPr>
          <w:rFonts w:asciiTheme="minorHAnsi" w:eastAsiaTheme="minorEastAsia" w:hAnsiTheme="minorHAnsi" w:cstheme="minorBidi"/>
          <w:noProof/>
          <w:sz w:val="22"/>
          <w:lang w:eastAsia="en-NZ"/>
        </w:rPr>
      </w:pPr>
      <w:r w:rsidRPr="000C6899">
        <w:rPr>
          <w:noProof/>
          <w:lang w:val="en-US"/>
        </w:rPr>
        <w:t>6.4</w:t>
      </w:r>
      <w:r>
        <w:rPr>
          <w:rFonts w:asciiTheme="minorHAnsi" w:eastAsiaTheme="minorEastAsia" w:hAnsiTheme="minorHAnsi" w:cstheme="minorBidi"/>
          <w:noProof/>
          <w:sz w:val="22"/>
          <w:lang w:eastAsia="en-NZ"/>
        </w:rPr>
        <w:tab/>
      </w:r>
      <w:r w:rsidRPr="000C6899">
        <w:rPr>
          <w:noProof/>
          <w:lang w:val="en-US"/>
        </w:rPr>
        <w:t>Value of general practice in the BSP</w:t>
      </w:r>
      <w:r>
        <w:rPr>
          <w:noProof/>
        </w:rPr>
        <w:tab/>
      </w:r>
      <w:r>
        <w:rPr>
          <w:noProof/>
        </w:rPr>
        <w:fldChar w:fldCharType="begin"/>
      </w:r>
      <w:r>
        <w:rPr>
          <w:noProof/>
        </w:rPr>
        <w:instrText xml:space="preserve"> PAGEREF _Toc380424716 \h </w:instrText>
      </w:r>
      <w:r>
        <w:rPr>
          <w:noProof/>
        </w:rPr>
      </w:r>
      <w:r>
        <w:rPr>
          <w:noProof/>
        </w:rPr>
        <w:fldChar w:fldCharType="separate"/>
      </w:r>
      <w:r w:rsidR="00975754">
        <w:rPr>
          <w:noProof/>
        </w:rPr>
        <w:t>29</w:t>
      </w:r>
      <w:r>
        <w:rPr>
          <w:noProof/>
        </w:rPr>
        <w:fldChar w:fldCharType="end"/>
      </w:r>
    </w:p>
    <w:p w14:paraId="6DD07F29" w14:textId="20158357" w:rsidR="00124204" w:rsidRDefault="00124204" w:rsidP="00124204">
      <w:pPr>
        <w:pStyle w:val="TOC1"/>
        <w:tabs>
          <w:tab w:val="clear" w:pos="5103"/>
          <w:tab w:val="left" w:pos="709"/>
          <w:tab w:val="right" w:pos="7938"/>
        </w:tabs>
        <w:ind w:right="2834"/>
        <w:rPr>
          <w:rFonts w:asciiTheme="minorHAnsi" w:eastAsiaTheme="minorEastAsia" w:hAnsiTheme="minorHAnsi" w:cstheme="minorBidi"/>
          <w:noProof/>
          <w:lang w:eastAsia="en-NZ"/>
        </w:rPr>
      </w:pPr>
      <w:r w:rsidRPr="000C6899">
        <w:rPr>
          <w:noProof/>
          <w:lang w:val="en-US"/>
        </w:rPr>
        <w:t>7.</w:t>
      </w:r>
      <w:r>
        <w:rPr>
          <w:rFonts w:asciiTheme="minorHAnsi" w:eastAsiaTheme="minorEastAsia" w:hAnsiTheme="minorHAnsi" w:cstheme="minorBidi"/>
          <w:noProof/>
          <w:lang w:eastAsia="en-NZ"/>
        </w:rPr>
        <w:tab/>
      </w:r>
      <w:r w:rsidRPr="000C6899">
        <w:rPr>
          <w:noProof/>
          <w:lang w:val="en-US"/>
        </w:rPr>
        <w:t>Discussion</w:t>
      </w:r>
      <w:r>
        <w:rPr>
          <w:noProof/>
        </w:rPr>
        <w:tab/>
      </w:r>
      <w:r>
        <w:rPr>
          <w:noProof/>
        </w:rPr>
        <w:fldChar w:fldCharType="begin"/>
      </w:r>
      <w:r>
        <w:rPr>
          <w:noProof/>
        </w:rPr>
        <w:instrText xml:space="preserve"> PAGEREF _Toc380424717 \h </w:instrText>
      </w:r>
      <w:r>
        <w:rPr>
          <w:noProof/>
        </w:rPr>
      </w:r>
      <w:r>
        <w:rPr>
          <w:noProof/>
        </w:rPr>
        <w:fldChar w:fldCharType="separate"/>
      </w:r>
      <w:r w:rsidR="00975754">
        <w:rPr>
          <w:noProof/>
        </w:rPr>
        <w:t>32</w:t>
      </w:r>
      <w:r>
        <w:rPr>
          <w:noProof/>
        </w:rPr>
        <w:fldChar w:fldCharType="end"/>
      </w:r>
    </w:p>
    <w:p w14:paraId="72AB3EF4" w14:textId="745C53C7" w:rsidR="00124204" w:rsidRDefault="00124204" w:rsidP="00124204">
      <w:pPr>
        <w:pStyle w:val="TOC1"/>
        <w:tabs>
          <w:tab w:val="clear" w:pos="5103"/>
          <w:tab w:val="left" w:pos="709"/>
          <w:tab w:val="right" w:pos="7938"/>
        </w:tabs>
        <w:ind w:right="2834"/>
        <w:rPr>
          <w:rFonts w:asciiTheme="minorHAnsi" w:eastAsiaTheme="minorEastAsia" w:hAnsiTheme="minorHAnsi" w:cstheme="minorBidi"/>
          <w:noProof/>
          <w:lang w:eastAsia="en-NZ"/>
        </w:rPr>
      </w:pPr>
      <w:r w:rsidRPr="00124204">
        <w:rPr>
          <w:noProof/>
          <w:lang w:val="en-US"/>
        </w:rPr>
        <w:t>Bibliography</w:t>
      </w:r>
      <w:r>
        <w:rPr>
          <w:noProof/>
        </w:rPr>
        <w:tab/>
      </w:r>
      <w:r>
        <w:rPr>
          <w:noProof/>
        </w:rPr>
        <w:fldChar w:fldCharType="begin"/>
      </w:r>
      <w:r>
        <w:rPr>
          <w:noProof/>
        </w:rPr>
        <w:instrText xml:space="preserve"> PAGEREF _Toc380424718 \h </w:instrText>
      </w:r>
      <w:r>
        <w:rPr>
          <w:noProof/>
        </w:rPr>
      </w:r>
      <w:r>
        <w:rPr>
          <w:noProof/>
        </w:rPr>
        <w:fldChar w:fldCharType="separate"/>
      </w:r>
      <w:r w:rsidR="00975754">
        <w:rPr>
          <w:noProof/>
        </w:rPr>
        <w:t>33</w:t>
      </w:r>
      <w:r>
        <w:rPr>
          <w:noProof/>
        </w:rPr>
        <w:fldChar w:fldCharType="end"/>
      </w:r>
    </w:p>
    <w:p w14:paraId="2E9B089C" w14:textId="1506FBD2" w:rsidR="00124204" w:rsidRDefault="00124204" w:rsidP="00124204">
      <w:pPr>
        <w:pStyle w:val="TOC1"/>
        <w:tabs>
          <w:tab w:val="clear" w:pos="5103"/>
          <w:tab w:val="left" w:pos="709"/>
          <w:tab w:val="right" w:pos="7938"/>
        </w:tabs>
        <w:ind w:right="2834"/>
        <w:rPr>
          <w:rFonts w:asciiTheme="minorHAnsi" w:eastAsiaTheme="minorEastAsia" w:hAnsiTheme="minorHAnsi" w:cstheme="minorBidi"/>
          <w:noProof/>
          <w:lang w:eastAsia="en-NZ"/>
        </w:rPr>
      </w:pPr>
      <w:r>
        <w:rPr>
          <w:noProof/>
        </w:rPr>
        <w:t>Appendices</w:t>
      </w:r>
      <w:r>
        <w:rPr>
          <w:noProof/>
        </w:rPr>
        <w:tab/>
      </w:r>
      <w:r>
        <w:rPr>
          <w:noProof/>
        </w:rPr>
        <w:fldChar w:fldCharType="begin"/>
      </w:r>
      <w:r>
        <w:rPr>
          <w:noProof/>
        </w:rPr>
        <w:instrText xml:space="preserve"> PAGEREF _Toc380424719 \h </w:instrText>
      </w:r>
      <w:r>
        <w:rPr>
          <w:noProof/>
        </w:rPr>
      </w:r>
      <w:r>
        <w:rPr>
          <w:noProof/>
        </w:rPr>
        <w:fldChar w:fldCharType="separate"/>
      </w:r>
      <w:r w:rsidR="00975754">
        <w:rPr>
          <w:noProof/>
        </w:rPr>
        <w:t>34</w:t>
      </w:r>
      <w:r>
        <w:rPr>
          <w:noProof/>
        </w:rPr>
        <w:fldChar w:fldCharType="end"/>
      </w:r>
    </w:p>
    <w:p w14:paraId="0CA606CA" w14:textId="47F76ACD" w:rsidR="00124204" w:rsidRDefault="00124204" w:rsidP="00124204">
      <w:pPr>
        <w:pStyle w:val="TOC2"/>
        <w:tabs>
          <w:tab w:val="clear" w:pos="5103"/>
          <w:tab w:val="left" w:pos="1320"/>
          <w:tab w:val="right" w:pos="7938"/>
        </w:tabs>
        <w:ind w:right="2834"/>
        <w:rPr>
          <w:rFonts w:asciiTheme="minorHAnsi" w:eastAsiaTheme="minorEastAsia" w:hAnsiTheme="minorHAnsi" w:cstheme="minorBidi"/>
          <w:noProof/>
          <w:sz w:val="22"/>
          <w:lang w:eastAsia="en-NZ"/>
        </w:rPr>
      </w:pPr>
      <w:r>
        <w:rPr>
          <w:noProof/>
        </w:rPr>
        <w:t>Appendix 1 – General practice research tools</w:t>
      </w:r>
      <w:r>
        <w:rPr>
          <w:noProof/>
        </w:rPr>
        <w:tab/>
      </w:r>
      <w:r>
        <w:rPr>
          <w:noProof/>
        </w:rPr>
        <w:fldChar w:fldCharType="begin"/>
      </w:r>
      <w:r>
        <w:rPr>
          <w:noProof/>
        </w:rPr>
        <w:instrText xml:space="preserve"> PAGEREF _Toc380424720 \h </w:instrText>
      </w:r>
      <w:r>
        <w:rPr>
          <w:noProof/>
        </w:rPr>
      </w:r>
      <w:r>
        <w:rPr>
          <w:noProof/>
        </w:rPr>
        <w:fldChar w:fldCharType="separate"/>
      </w:r>
      <w:r w:rsidR="00975754">
        <w:rPr>
          <w:noProof/>
        </w:rPr>
        <w:t>34</w:t>
      </w:r>
      <w:r>
        <w:rPr>
          <w:noProof/>
        </w:rPr>
        <w:fldChar w:fldCharType="end"/>
      </w:r>
    </w:p>
    <w:p w14:paraId="585F3D1C" w14:textId="79C90732" w:rsidR="00124204" w:rsidRDefault="00124204" w:rsidP="00124204">
      <w:pPr>
        <w:pStyle w:val="TOC2"/>
        <w:tabs>
          <w:tab w:val="clear" w:pos="5103"/>
          <w:tab w:val="left" w:pos="1320"/>
          <w:tab w:val="right" w:pos="7938"/>
        </w:tabs>
        <w:ind w:right="2834"/>
        <w:rPr>
          <w:rFonts w:asciiTheme="minorHAnsi" w:eastAsiaTheme="minorEastAsia" w:hAnsiTheme="minorHAnsi" w:cstheme="minorBidi"/>
          <w:noProof/>
          <w:sz w:val="22"/>
          <w:lang w:eastAsia="en-NZ"/>
        </w:rPr>
      </w:pPr>
      <w:r>
        <w:rPr>
          <w:noProof/>
        </w:rPr>
        <w:t>Appendix 2 – BSP participant research tools</w:t>
      </w:r>
      <w:r>
        <w:rPr>
          <w:noProof/>
        </w:rPr>
        <w:tab/>
      </w:r>
      <w:r>
        <w:rPr>
          <w:noProof/>
        </w:rPr>
        <w:fldChar w:fldCharType="begin"/>
      </w:r>
      <w:r>
        <w:rPr>
          <w:noProof/>
        </w:rPr>
        <w:instrText xml:space="preserve"> PAGEREF _Toc380424721 \h </w:instrText>
      </w:r>
      <w:r>
        <w:rPr>
          <w:noProof/>
        </w:rPr>
      </w:r>
      <w:r>
        <w:rPr>
          <w:noProof/>
        </w:rPr>
        <w:fldChar w:fldCharType="separate"/>
      </w:r>
      <w:r w:rsidR="00975754">
        <w:rPr>
          <w:noProof/>
        </w:rPr>
        <w:t>38</w:t>
      </w:r>
      <w:r>
        <w:rPr>
          <w:noProof/>
        </w:rPr>
        <w:fldChar w:fldCharType="end"/>
      </w:r>
    </w:p>
    <w:p w14:paraId="58B8512F" w14:textId="3026095E" w:rsidR="00124204" w:rsidRDefault="00124204" w:rsidP="00124204">
      <w:pPr>
        <w:pStyle w:val="TOC2"/>
        <w:tabs>
          <w:tab w:val="clear" w:pos="5103"/>
          <w:tab w:val="left" w:pos="1320"/>
          <w:tab w:val="right" w:pos="7938"/>
        </w:tabs>
        <w:ind w:right="2834"/>
        <w:rPr>
          <w:rFonts w:asciiTheme="minorHAnsi" w:eastAsiaTheme="minorEastAsia" w:hAnsiTheme="minorHAnsi" w:cstheme="minorBidi"/>
          <w:noProof/>
          <w:sz w:val="22"/>
          <w:lang w:eastAsia="en-NZ"/>
        </w:rPr>
      </w:pPr>
      <w:r>
        <w:rPr>
          <w:noProof/>
        </w:rPr>
        <w:t>Appendix 3 - Prefer</w:t>
      </w:r>
      <w:r w:rsidR="00375A28">
        <w:rPr>
          <w:noProof/>
        </w:rPr>
        <w:t>red</w:t>
      </w:r>
      <w:r>
        <w:rPr>
          <w:noProof/>
        </w:rPr>
        <w:t xml:space="preserve"> method to hear about positive iFOBT</w:t>
      </w:r>
      <w:r>
        <w:rPr>
          <w:noProof/>
        </w:rPr>
        <w:tab/>
      </w:r>
      <w:r>
        <w:rPr>
          <w:noProof/>
        </w:rPr>
        <w:fldChar w:fldCharType="begin"/>
      </w:r>
      <w:r>
        <w:rPr>
          <w:noProof/>
        </w:rPr>
        <w:instrText xml:space="preserve"> PAGEREF _Toc380424722 \h </w:instrText>
      </w:r>
      <w:r>
        <w:rPr>
          <w:noProof/>
        </w:rPr>
      </w:r>
      <w:r>
        <w:rPr>
          <w:noProof/>
        </w:rPr>
        <w:fldChar w:fldCharType="separate"/>
      </w:r>
      <w:r w:rsidR="00975754">
        <w:rPr>
          <w:noProof/>
        </w:rPr>
        <w:t>44</w:t>
      </w:r>
      <w:r>
        <w:rPr>
          <w:noProof/>
        </w:rPr>
        <w:fldChar w:fldCharType="end"/>
      </w:r>
    </w:p>
    <w:p w14:paraId="320F5523" w14:textId="77777777" w:rsidR="005719A8" w:rsidRDefault="00935A39" w:rsidP="005719A8">
      <w:r>
        <w:rPr>
          <w:sz w:val="20"/>
        </w:rPr>
        <w:fldChar w:fldCharType="end"/>
      </w:r>
    </w:p>
    <w:p w14:paraId="1141EA1F" w14:textId="77777777" w:rsidR="005719A8" w:rsidRDefault="005719A8"/>
    <w:p w14:paraId="28BF68E7" w14:textId="77777777" w:rsidR="005719A8" w:rsidRDefault="005719A8">
      <w:pPr>
        <w:sectPr w:rsidR="005719A8" w:rsidSect="005719A8">
          <w:headerReference w:type="even" r:id="rId11"/>
          <w:headerReference w:type="default" r:id="rId12"/>
          <w:footerReference w:type="even" r:id="rId13"/>
          <w:footerReference w:type="default" r:id="rId14"/>
          <w:headerReference w:type="first" r:id="rId15"/>
          <w:pgSz w:w="11906" w:h="16838" w:code="9"/>
          <w:pgMar w:top="2268" w:right="1134" w:bottom="1701" w:left="1134" w:header="567" w:footer="567" w:gutter="0"/>
          <w:pgNumType w:fmt="lowerRoman"/>
          <w:cols w:space="720"/>
        </w:sectPr>
      </w:pPr>
    </w:p>
    <w:p w14:paraId="52281DE3" w14:textId="77777777" w:rsidR="00327EC9" w:rsidRPr="00A113D0" w:rsidRDefault="00327EC9" w:rsidP="00327EC9">
      <w:pPr>
        <w:pStyle w:val="Heading1"/>
        <w:tabs>
          <w:tab w:val="right" w:pos="9356"/>
          <w:tab w:val="right" w:pos="9498"/>
          <w:tab w:val="right" w:pos="9639"/>
          <w:tab w:val="right" w:pos="9781"/>
        </w:tabs>
        <w:ind w:right="1134"/>
        <w:jc w:val="left"/>
      </w:pPr>
      <w:bookmarkStart w:id="6" w:name="_Toc356566306"/>
      <w:bookmarkStart w:id="7" w:name="_Toc376617501"/>
      <w:bookmarkStart w:id="8" w:name="_Toc380424694"/>
      <w:bookmarkStart w:id="9" w:name="_Toc528559122"/>
      <w:bookmarkStart w:id="10" w:name="_Toc528559356"/>
      <w:bookmarkStart w:id="11" w:name="_Toc528564994"/>
      <w:r w:rsidRPr="00A113D0">
        <w:lastRenderedPageBreak/>
        <w:t>Preface</w:t>
      </w:r>
      <w:bookmarkEnd w:id="6"/>
      <w:bookmarkEnd w:id="7"/>
      <w:bookmarkEnd w:id="8"/>
    </w:p>
    <w:p w14:paraId="680F819A" w14:textId="77777777" w:rsidR="00327EC9" w:rsidRDefault="00327EC9" w:rsidP="00327EC9">
      <w:pPr>
        <w:spacing w:before="0" w:after="120"/>
      </w:pPr>
      <w:r w:rsidRPr="00A113D0">
        <w:t xml:space="preserve">This report has been prepared for the Ministry of Health by </w:t>
      </w:r>
      <w:r>
        <w:t>Liz Smith</w:t>
      </w:r>
      <w:r w:rsidRPr="00A113D0">
        <w:t xml:space="preserve"> from Litmus Limited</w:t>
      </w:r>
      <w:r>
        <w:t xml:space="preserve"> with contributions Lisa Davies </w:t>
      </w:r>
      <w:r w:rsidR="00AB4993">
        <w:t xml:space="preserve">and John </w:t>
      </w:r>
      <w:proofErr w:type="spellStart"/>
      <w:r w:rsidR="00AB4993">
        <w:t>Whaanga</w:t>
      </w:r>
      <w:proofErr w:type="spellEnd"/>
      <w:r w:rsidR="00BF1548">
        <w:t xml:space="preserve"> </w:t>
      </w:r>
      <w:r>
        <w:t>(</w:t>
      </w:r>
      <w:proofErr w:type="spellStart"/>
      <w:r w:rsidR="0097150B">
        <w:t>Kaipuke</w:t>
      </w:r>
      <w:proofErr w:type="spellEnd"/>
      <w:r>
        <w:t xml:space="preserve">), and </w:t>
      </w:r>
      <w:r w:rsidR="00AB4993" w:rsidRPr="00AB4993">
        <w:t xml:space="preserve">Ron </w:t>
      </w:r>
      <w:proofErr w:type="spellStart"/>
      <w:r w:rsidR="00AB4993" w:rsidRPr="00AB4993">
        <w:t>Manulevu</w:t>
      </w:r>
      <w:proofErr w:type="spellEnd"/>
      <w:r w:rsidR="007F73F7">
        <w:t xml:space="preserve"> </w:t>
      </w:r>
      <w:r w:rsidR="00AB4993">
        <w:t xml:space="preserve">and </w:t>
      </w:r>
      <w:proofErr w:type="spellStart"/>
      <w:r w:rsidR="00AB4993" w:rsidRPr="00AB4993">
        <w:t>Analosa</w:t>
      </w:r>
      <w:proofErr w:type="spellEnd"/>
      <w:r w:rsidR="007F73F7">
        <w:t xml:space="preserve"> </w:t>
      </w:r>
      <w:proofErr w:type="spellStart"/>
      <w:r w:rsidR="00AB4993" w:rsidRPr="00AB4993">
        <w:t>Ulusia-Veukiso</w:t>
      </w:r>
      <w:proofErr w:type="spellEnd"/>
      <w:r w:rsidR="007F73F7">
        <w:t xml:space="preserve"> </w:t>
      </w:r>
      <w:r>
        <w:t xml:space="preserve">(Integrity Professionals Limited).  </w:t>
      </w:r>
    </w:p>
    <w:p w14:paraId="35EBDF9E" w14:textId="77777777" w:rsidR="00327EC9" w:rsidRDefault="00327EC9" w:rsidP="00327EC9">
      <w:pPr>
        <w:spacing w:before="0" w:after="120"/>
      </w:pPr>
      <w:r>
        <w:t xml:space="preserve">We thank </w:t>
      </w:r>
      <w:r w:rsidR="00436F9D">
        <w:t xml:space="preserve">Dr Juliet Walker, </w:t>
      </w:r>
      <w:r w:rsidR="00F87BC5">
        <w:t>Lisa Davies</w:t>
      </w:r>
      <w:r>
        <w:t xml:space="preserve"> </w:t>
      </w:r>
      <w:r w:rsidR="006A2C8B">
        <w:t xml:space="preserve">and </w:t>
      </w:r>
      <w:r w:rsidR="006A2C8B" w:rsidRPr="00AB4993">
        <w:t xml:space="preserve">Ron </w:t>
      </w:r>
      <w:proofErr w:type="spellStart"/>
      <w:r w:rsidR="006A2C8B" w:rsidRPr="00AB4993">
        <w:t>Manulevu</w:t>
      </w:r>
      <w:proofErr w:type="spellEnd"/>
      <w:r w:rsidR="006A2C8B">
        <w:t xml:space="preserve"> </w:t>
      </w:r>
      <w:r>
        <w:t>for their review and feedback on the draft report.</w:t>
      </w:r>
    </w:p>
    <w:p w14:paraId="34EE6EBD" w14:textId="77777777" w:rsidR="00327EC9" w:rsidRDefault="00327EC9" w:rsidP="00327EC9">
      <w:pPr>
        <w:spacing w:before="0" w:after="120"/>
      </w:pPr>
      <w:r w:rsidRPr="00A113D0">
        <w:t xml:space="preserve">We acknowledge and thank </w:t>
      </w:r>
      <w:r>
        <w:t xml:space="preserve">all those who participated in interviews, including representatives of </w:t>
      </w:r>
      <w:proofErr w:type="spellStart"/>
      <w:r>
        <w:t>Waitemat</w:t>
      </w:r>
      <w:r w:rsidR="006A2C8B">
        <w:rPr>
          <w:rFonts w:cs="Arial"/>
        </w:rPr>
        <w:t>ā</w:t>
      </w:r>
      <w:proofErr w:type="spellEnd"/>
      <w:r>
        <w:t xml:space="preserve"> District Health Board, Primary Health Organis</w:t>
      </w:r>
      <w:r w:rsidR="007F73F7">
        <w:t>ations, General Practitioners, practice n</w:t>
      </w:r>
      <w:r>
        <w:t xml:space="preserve">urses and </w:t>
      </w:r>
      <w:r w:rsidR="00BF1548">
        <w:t>practice m</w:t>
      </w:r>
      <w:r>
        <w:t>anagers.  We especially thank M</w:t>
      </w:r>
      <w:r w:rsidR="00AB4993">
        <w:rPr>
          <w:rFonts w:cs="Arial"/>
        </w:rPr>
        <w:t>ā</w:t>
      </w:r>
      <w:r>
        <w:t xml:space="preserve">ori and Pacific </w:t>
      </w:r>
      <w:r w:rsidR="007F73F7">
        <w:t xml:space="preserve">BSP </w:t>
      </w:r>
      <w:r>
        <w:t>participants who shared their experiences and perceptions</w:t>
      </w:r>
      <w:r w:rsidR="00AB4993">
        <w:t xml:space="preserve"> of the BSP</w:t>
      </w:r>
      <w:r>
        <w:t xml:space="preserve">. </w:t>
      </w:r>
    </w:p>
    <w:p w14:paraId="3A1B274C" w14:textId="77777777" w:rsidR="00327EC9" w:rsidRPr="00C95C03" w:rsidRDefault="00327EC9" w:rsidP="00327EC9">
      <w:pPr>
        <w:spacing w:before="0" w:after="120"/>
      </w:pPr>
      <w:r w:rsidRPr="00C95C03">
        <w:t>We also thank:</w:t>
      </w:r>
    </w:p>
    <w:p w14:paraId="3EBF51E5" w14:textId="77777777" w:rsidR="00327EC9" w:rsidRPr="00C95C03" w:rsidRDefault="00327EC9" w:rsidP="00CC5733">
      <w:pPr>
        <w:numPr>
          <w:ilvl w:val="0"/>
          <w:numId w:val="6"/>
        </w:numPr>
        <w:autoSpaceDE w:val="0"/>
        <w:autoSpaceDN w:val="0"/>
        <w:adjustRightInd w:val="0"/>
        <w:spacing w:before="0" w:after="120"/>
        <w:ind w:left="1134" w:hanging="425"/>
      </w:pPr>
      <w:r w:rsidRPr="00C95C03">
        <w:t xml:space="preserve">Professor Scott Ramsey for his expert review of the Bowel Screening Pilot Evaluation Plan prepared by Litmus Limited and </w:t>
      </w:r>
      <w:proofErr w:type="spellStart"/>
      <w:r w:rsidRPr="00C95C03">
        <w:t>Sapere</w:t>
      </w:r>
      <w:proofErr w:type="spellEnd"/>
      <w:r w:rsidRPr="00C95C03">
        <w:t xml:space="preserve"> Research Group</w:t>
      </w:r>
    </w:p>
    <w:p w14:paraId="4CB59C60" w14:textId="77777777" w:rsidR="00327EC9" w:rsidRDefault="00327EC9" w:rsidP="00CC5733">
      <w:pPr>
        <w:numPr>
          <w:ilvl w:val="0"/>
          <w:numId w:val="6"/>
        </w:numPr>
        <w:autoSpaceDE w:val="0"/>
        <w:autoSpaceDN w:val="0"/>
        <w:adjustRightInd w:val="0"/>
        <w:spacing w:before="0" w:after="120"/>
        <w:ind w:left="1134" w:hanging="425"/>
      </w:pPr>
      <w:r>
        <w:t>m</w:t>
      </w:r>
      <w:r w:rsidRPr="00C95C03">
        <w:t xml:space="preserve">embers of the Ministry of Health’s Bowel Screening Evaluation Advisory Group for their review comments on the Bowel Screening Pilot Evaluation Plan </w:t>
      </w:r>
      <w:r>
        <w:t>and this report</w:t>
      </w:r>
    </w:p>
    <w:p w14:paraId="6E3CF513" w14:textId="77777777" w:rsidR="00327EC9" w:rsidRPr="00C95C03" w:rsidRDefault="00327EC9" w:rsidP="00CC5733">
      <w:pPr>
        <w:numPr>
          <w:ilvl w:val="0"/>
          <w:numId w:val="6"/>
        </w:numPr>
        <w:autoSpaceDE w:val="0"/>
        <w:autoSpaceDN w:val="0"/>
        <w:adjustRightInd w:val="0"/>
        <w:spacing w:before="0" w:after="120"/>
        <w:ind w:left="1134" w:hanging="425"/>
      </w:pPr>
      <w:r w:rsidRPr="00C95C03">
        <w:t xml:space="preserve">Litmus’ Governance Group members for their specialist screening evaluation </w:t>
      </w:r>
      <w:r>
        <w:t>advice, and ongoing guidance and advice</w:t>
      </w:r>
    </w:p>
    <w:p w14:paraId="3392D0D1" w14:textId="77777777" w:rsidR="00327EC9" w:rsidRPr="00C95C03" w:rsidRDefault="00327EC9" w:rsidP="00CC5733">
      <w:pPr>
        <w:numPr>
          <w:ilvl w:val="0"/>
          <w:numId w:val="6"/>
        </w:numPr>
        <w:autoSpaceDE w:val="0"/>
        <w:autoSpaceDN w:val="0"/>
        <w:adjustRightInd w:val="0"/>
        <w:spacing w:before="0" w:after="120"/>
        <w:ind w:left="1134" w:hanging="425"/>
      </w:pPr>
      <w:r>
        <w:t>s</w:t>
      </w:r>
      <w:r w:rsidRPr="00C95C03">
        <w:t xml:space="preserve">taff in the Bowel Screening Pilot teams at the Ministry of Health and the </w:t>
      </w:r>
      <w:proofErr w:type="spellStart"/>
      <w:r w:rsidR="006A2C8B">
        <w:t>Waitematā</w:t>
      </w:r>
      <w:proofErr w:type="spellEnd"/>
      <w:r w:rsidRPr="00C95C03">
        <w:t xml:space="preserve"> District Health Board for supporting the Bowel Screening Pilot Evaluation. </w:t>
      </w:r>
    </w:p>
    <w:p w14:paraId="22619F98" w14:textId="77777777" w:rsidR="00327EC9" w:rsidRPr="00A113D0" w:rsidRDefault="00327EC9" w:rsidP="00327EC9">
      <w:pPr>
        <w:spacing w:before="0" w:after="120"/>
      </w:pPr>
      <w:r w:rsidRPr="00A113D0">
        <w:t>Please contact Liz Smith (</w:t>
      </w:r>
      <w:hyperlink r:id="rId16" w:history="1">
        <w:r w:rsidRPr="00A113D0">
          <w:rPr>
            <w:color w:val="0000FF"/>
            <w:u w:val="single"/>
          </w:rPr>
          <w:t>liz@litmus.co.nz</w:t>
        </w:r>
      </w:hyperlink>
      <w:r w:rsidRPr="00A113D0">
        <w:t>) if you have any questions about this report.</w:t>
      </w:r>
    </w:p>
    <w:p w14:paraId="16345081" w14:textId="77777777" w:rsidR="005719A8" w:rsidRDefault="00327EC9" w:rsidP="005719A8">
      <w:pPr>
        <w:pStyle w:val="Heading1"/>
      </w:pPr>
      <w:r>
        <w:br w:type="page"/>
      </w:r>
      <w:bookmarkStart w:id="12" w:name="_Toc380424695"/>
      <w:r w:rsidR="005719A8">
        <w:lastRenderedPageBreak/>
        <w:t>1.</w:t>
      </w:r>
      <w:r w:rsidR="005719A8">
        <w:tab/>
      </w:r>
      <w:bookmarkEnd w:id="9"/>
      <w:bookmarkEnd w:id="10"/>
      <w:bookmarkEnd w:id="11"/>
      <w:r>
        <w:t>Executive Summary</w:t>
      </w:r>
      <w:bookmarkEnd w:id="12"/>
    </w:p>
    <w:p w14:paraId="700126DF" w14:textId="77777777" w:rsidR="006A2C8B" w:rsidRPr="00A113D0" w:rsidRDefault="006A2C8B" w:rsidP="006A2C8B">
      <w:pPr>
        <w:pStyle w:val="Heading2"/>
        <w:spacing w:before="240"/>
      </w:pPr>
      <w:bookmarkStart w:id="13" w:name="_Toc319592061"/>
      <w:bookmarkStart w:id="14" w:name="_Toc325492245"/>
      <w:bookmarkStart w:id="15" w:name="_Toc356566308"/>
      <w:bookmarkStart w:id="16" w:name="_Toc376617503"/>
      <w:bookmarkStart w:id="17" w:name="_Toc380424696"/>
      <w:r>
        <w:t>1.1</w:t>
      </w:r>
      <w:r w:rsidRPr="00A113D0">
        <w:tab/>
        <w:t>Background</w:t>
      </w:r>
      <w:bookmarkEnd w:id="13"/>
      <w:bookmarkEnd w:id="14"/>
      <w:bookmarkEnd w:id="15"/>
      <w:bookmarkEnd w:id="16"/>
      <w:bookmarkEnd w:id="17"/>
    </w:p>
    <w:p w14:paraId="773D3A2F" w14:textId="77777777" w:rsidR="006A2C8B" w:rsidRDefault="006A2C8B" w:rsidP="006A2C8B">
      <w:pPr>
        <w:spacing w:before="120"/>
      </w:pPr>
      <w:r w:rsidRPr="00A113D0">
        <w:t>The Ministry of Health (</w:t>
      </w:r>
      <w:r>
        <w:t>the Ministry)</w:t>
      </w:r>
      <w:r w:rsidRPr="00A113D0">
        <w:t xml:space="preserve"> has funded </w:t>
      </w:r>
      <w:proofErr w:type="spellStart"/>
      <w:r w:rsidRPr="00A113D0">
        <w:t>Waitemat</w:t>
      </w:r>
      <w:r>
        <w:rPr>
          <w:rFonts w:cs="Arial"/>
        </w:rPr>
        <w:t>ā</w:t>
      </w:r>
      <w:proofErr w:type="spellEnd"/>
      <w:r w:rsidRPr="00A113D0">
        <w:t xml:space="preserve"> District Health Board (WDHB) to run a </w:t>
      </w:r>
      <w:r>
        <w:t>Bowel Screening Pilot</w:t>
      </w:r>
      <w:r w:rsidRPr="00A113D0">
        <w:t xml:space="preserve"> (BSP) over four years from </w:t>
      </w:r>
      <w:r>
        <w:t>2011/12 to 2015/16</w:t>
      </w:r>
      <w:r w:rsidRPr="00A113D0">
        <w:t xml:space="preserve">. </w:t>
      </w:r>
      <w:r>
        <w:t xml:space="preserve"> </w:t>
      </w:r>
      <w:r w:rsidRPr="00A113D0">
        <w:t xml:space="preserve">An evaluation of the BSP is being undertaken by Litmus and </w:t>
      </w:r>
      <w:proofErr w:type="spellStart"/>
      <w:r w:rsidRPr="00A113D0">
        <w:t>Sapere</w:t>
      </w:r>
      <w:proofErr w:type="spellEnd"/>
      <w:r w:rsidRPr="00A113D0">
        <w:t xml:space="preserve"> Research Group, the results of which will contribute to a decision on whether or not to roll out a national bowel screening programme. </w:t>
      </w:r>
      <w:r>
        <w:t xml:space="preserve"> </w:t>
      </w:r>
      <w:r w:rsidRPr="00A113D0">
        <w:t xml:space="preserve">The goal of the evaluation is to determine whether organised bowel screening could be introduced in New Zealand in a way that is effective, safe and acceptable for participants, equitable and economically efficient. </w:t>
      </w:r>
    </w:p>
    <w:p w14:paraId="02EE22FA" w14:textId="77777777" w:rsidR="006A2C8B" w:rsidRDefault="006A2C8B" w:rsidP="006A2C8B">
      <w:pPr>
        <w:rPr>
          <w:lang w:val="en-US"/>
        </w:rPr>
      </w:pPr>
      <w:r>
        <w:rPr>
          <w:lang w:val="en-US"/>
        </w:rPr>
        <w:t>The role of general practice in informing BSP participants of a positive i</w:t>
      </w:r>
      <w:r w:rsidRPr="005A1478">
        <w:rPr>
          <w:lang w:val="en-US"/>
        </w:rPr>
        <w:t xml:space="preserve">mmunochemical </w:t>
      </w:r>
      <w:proofErr w:type="spellStart"/>
      <w:r w:rsidRPr="005A1478">
        <w:rPr>
          <w:lang w:val="en-US"/>
        </w:rPr>
        <w:t>faecal</w:t>
      </w:r>
      <w:proofErr w:type="spellEnd"/>
      <w:r w:rsidRPr="005A1478">
        <w:rPr>
          <w:lang w:val="en-US"/>
        </w:rPr>
        <w:t xml:space="preserve"> occult blood test</w:t>
      </w:r>
      <w:r>
        <w:rPr>
          <w:lang w:val="en-US"/>
        </w:rPr>
        <w:t xml:space="preserve"> (</w:t>
      </w:r>
      <w:proofErr w:type="spellStart"/>
      <w:r>
        <w:rPr>
          <w:lang w:val="en-US"/>
        </w:rPr>
        <w:t>iFOBT</w:t>
      </w:r>
      <w:proofErr w:type="spellEnd"/>
      <w:r>
        <w:rPr>
          <w:lang w:val="en-US"/>
        </w:rPr>
        <w:t xml:space="preserve">) </w:t>
      </w:r>
      <w:r>
        <w:t>is a unique element of the BSP.  The findings from the first immersion visit (Litmus 2013) found that while g</w:t>
      </w:r>
      <w:r>
        <w:rPr>
          <w:lang w:eastAsia="ar-SA"/>
        </w:rPr>
        <w:t>eneral practitioners (</w:t>
      </w:r>
      <w:r w:rsidRPr="00F316B6">
        <w:rPr>
          <w:lang w:val="en-US"/>
        </w:rPr>
        <w:t>GPs</w:t>
      </w:r>
      <w:r>
        <w:rPr>
          <w:lang w:val="en-US"/>
        </w:rPr>
        <w:t>) and p</w:t>
      </w:r>
      <w:r w:rsidRPr="00F316B6">
        <w:rPr>
          <w:lang w:val="en-US"/>
        </w:rPr>
        <w:t xml:space="preserve">ractice </w:t>
      </w:r>
      <w:r>
        <w:rPr>
          <w:lang w:val="en-US"/>
        </w:rPr>
        <w:t xml:space="preserve">nurses </w:t>
      </w:r>
      <w:r w:rsidRPr="00F316B6">
        <w:rPr>
          <w:lang w:val="en-US"/>
        </w:rPr>
        <w:t>are generally supportive of the BSP</w:t>
      </w:r>
      <w:r>
        <w:rPr>
          <w:lang w:val="en-US"/>
        </w:rPr>
        <w:t xml:space="preserve">, across general practice there is variation in BSP processes and practices.  Internationally, </w:t>
      </w:r>
      <w:r w:rsidRPr="00722841">
        <w:rPr>
          <w:lang w:val="en-US"/>
        </w:rPr>
        <w:t xml:space="preserve">GP involvement in bowel screening has been shown to have a positive impact on </w:t>
      </w:r>
      <w:proofErr w:type="spellStart"/>
      <w:r>
        <w:rPr>
          <w:lang w:val="en-US"/>
        </w:rPr>
        <w:t>i</w:t>
      </w:r>
      <w:r w:rsidRPr="00722841">
        <w:rPr>
          <w:lang w:val="en-US"/>
        </w:rPr>
        <w:t>FOBT</w:t>
      </w:r>
      <w:proofErr w:type="spellEnd"/>
      <w:r w:rsidRPr="00722841">
        <w:rPr>
          <w:lang w:val="en-US"/>
        </w:rPr>
        <w:t xml:space="preserve"> screening participants, although </w:t>
      </w:r>
      <w:r>
        <w:rPr>
          <w:lang w:val="en-US"/>
        </w:rPr>
        <w:t xml:space="preserve">this is </w:t>
      </w:r>
      <w:r w:rsidRPr="00722841">
        <w:rPr>
          <w:lang w:val="en-US"/>
        </w:rPr>
        <w:t>subject to high variability (</w:t>
      </w:r>
      <w:proofErr w:type="spellStart"/>
      <w:r w:rsidRPr="00722841">
        <w:rPr>
          <w:lang w:val="en-US"/>
        </w:rPr>
        <w:t>Federici</w:t>
      </w:r>
      <w:proofErr w:type="spellEnd"/>
      <w:r w:rsidRPr="00722841">
        <w:rPr>
          <w:lang w:val="en-US"/>
        </w:rPr>
        <w:t xml:space="preserve"> et al 2006, Koo et al 2010, Power et al 2009)</w:t>
      </w:r>
      <w:r>
        <w:rPr>
          <w:lang w:val="en-US"/>
        </w:rPr>
        <w:t>.</w:t>
      </w:r>
    </w:p>
    <w:p w14:paraId="04C074B7" w14:textId="77777777" w:rsidR="006A2C8B" w:rsidRDefault="006A2C8B" w:rsidP="006A2C8B">
      <w:r>
        <w:rPr>
          <w:lang w:val="en-US"/>
        </w:rPr>
        <w:t>Given this unique role and noted variation, it was agreed the role and</w:t>
      </w:r>
      <w:r>
        <w:t xml:space="preserve"> value of general practice in the BSP needed to be more fully understood, particularly with regard to enhancing participants’ experience and in considering general practices’ role if the Pilot was rolled out nationally. </w:t>
      </w:r>
      <w:bookmarkStart w:id="18" w:name="_Toc319592063"/>
      <w:bookmarkStart w:id="19" w:name="_Toc325492247"/>
      <w:bookmarkStart w:id="20" w:name="_Toc356566310"/>
      <w:bookmarkStart w:id="21" w:name="_Toc376617505"/>
      <w:r>
        <w:t xml:space="preserve">To identify the role and value of general practice in the BSP, this report draws on the quantitative data from the eligible population and provider </w:t>
      </w:r>
      <w:r w:rsidRPr="00BF1548">
        <w:t>surveys (Litmus 2014 a &amp; b), the</w:t>
      </w:r>
      <w:r>
        <w:t xml:space="preserve"> immersion visits interviews with GPs, practice nurses and practice managers as well </w:t>
      </w:r>
      <w:r w:rsidR="008635D8">
        <w:t xml:space="preserve">as </w:t>
      </w:r>
      <w:r>
        <w:t>face-to-face interviews with M</w:t>
      </w:r>
      <w:r>
        <w:rPr>
          <w:rFonts w:cs="Arial"/>
        </w:rPr>
        <w:t>ā</w:t>
      </w:r>
      <w:r>
        <w:t xml:space="preserve">ori and Pacific BSP participants.  </w:t>
      </w:r>
    </w:p>
    <w:p w14:paraId="664A442E" w14:textId="77777777" w:rsidR="006A2C8B" w:rsidRDefault="006A2C8B" w:rsidP="006A2C8B">
      <w:pPr>
        <w:pStyle w:val="Heading2"/>
        <w:spacing w:before="240"/>
      </w:pPr>
      <w:bookmarkStart w:id="22" w:name="_Toc380424697"/>
      <w:r>
        <w:t>1.</w:t>
      </w:r>
      <w:r w:rsidR="0006212B">
        <w:t>2</w:t>
      </w:r>
      <w:r w:rsidRPr="00A113D0">
        <w:tab/>
        <w:t>Key findings</w:t>
      </w:r>
      <w:bookmarkEnd w:id="18"/>
      <w:bookmarkEnd w:id="19"/>
      <w:bookmarkEnd w:id="20"/>
      <w:bookmarkEnd w:id="21"/>
      <w:bookmarkEnd w:id="22"/>
      <w:r>
        <w:t xml:space="preserve"> </w:t>
      </w:r>
    </w:p>
    <w:p w14:paraId="4A269648" w14:textId="77777777" w:rsidR="00D305FF" w:rsidRDefault="00D305FF" w:rsidP="00D305FF">
      <w:pPr>
        <w:spacing w:before="120"/>
      </w:pPr>
      <w:r w:rsidRPr="00C95C03">
        <w:t xml:space="preserve">Key findings from </w:t>
      </w:r>
      <w:r>
        <w:t xml:space="preserve">across the range of data sources are: </w:t>
      </w:r>
    </w:p>
    <w:p w14:paraId="45602332" w14:textId="77777777" w:rsidR="0001513C" w:rsidRPr="0001513C" w:rsidRDefault="00D305FF" w:rsidP="00D305FF">
      <w:pPr>
        <w:numPr>
          <w:ilvl w:val="0"/>
          <w:numId w:val="6"/>
        </w:numPr>
        <w:autoSpaceDE w:val="0"/>
        <w:autoSpaceDN w:val="0"/>
        <w:adjustRightInd w:val="0"/>
        <w:spacing w:before="60" w:after="120"/>
        <w:ind w:left="1134" w:hanging="425"/>
        <w:rPr>
          <w:lang w:val="en-US"/>
        </w:rPr>
      </w:pPr>
      <w:r>
        <w:t>General practices in WDHB have high levels of awareness, knowledge and support of the BSP</w:t>
      </w:r>
      <w:r w:rsidR="0001513C">
        <w:t>.  I</w:t>
      </w:r>
      <w:r>
        <w:t>n the main</w:t>
      </w:r>
      <w:r w:rsidR="008635D8">
        <w:t>,</w:t>
      </w:r>
      <w:r>
        <w:t xml:space="preserve"> </w:t>
      </w:r>
      <w:r w:rsidR="0001513C">
        <w:t xml:space="preserve">GPs </w:t>
      </w:r>
      <w:r>
        <w:t xml:space="preserve">are undertaking their role in the BSP as intended. </w:t>
      </w:r>
      <w:r w:rsidR="0001513C">
        <w:t xml:space="preserve"> Three quarters of BSP participants heard about their positive </w:t>
      </w:r>
      <w:proofErr w:type="spellStart"/>
      <w:r w:rsidR="0001513C">
        <w:t>iFOBT</w:t>
      </w:r>
      <w:proofErr w:type="spellEnd"/>
      <w:r w:rsidR="0001513C">
        <w:t xml:space="preserve"> result from their general practice. </w:t>
      </w:r>
    </w:p>
    <w:p w14:paraId="1433033E" w14:textId="0BC12D8D" w:rsidR="0001513C" w:rsidRDefault="0001513C" w:rsidP="00D305FF">
      <w:pPr>
        <w:numPr>
          <w:ilvl w:val="0"/>
          <w:numId w:val="6"/>
        </w:numPr>
        <w:autoSpaceDE w:val="0"/>
        <w:autoSpaceDN w:val="0"/>
        <w:adjustRightInd w:val="0"/>
        <w:spacing w:before="60" w:after="120"/>
        <w:ind w:left="1134" w:hanging="425"/>
        <w:rPr>
          <w:lang w:val="en-US"/>
        </w:rPr>
      </w:pPr>
      <w:r>
        <w:rPr>
          <w:lang w:val="en-US"/>
        </w:rPr>
        <w:t xml:space="preserve">For those </w:t>
      </w:r>
      <w:r w:rsidRPr="0001513C">
        <w:rPr>
          <w:lang w:val="en-US"/>
        </w:rPr>
        <w:t xml:space="preserve">BSP participants </w:t>
      </w:r>
      <w:r>
        <w:rPr>
          <w:lang w:val="en-US"/>
        </w:rPr>
        <w:t xml:space="preserve">who did not hear about their positive </w:t>
      </w:r>
      <w:proofErr w:type="spellStart"/>
      <w:r>
        <w:rPr>
          <w:lang w:val="en-US"/>
        </w:rPr>
        <w:t>iFOBT</w:t>
      </w:r>
      <w:proofErr w:type="spellEnd"/>
      <w:r>
        <w:rPr>
          <w:lang w:val="en-US"/>
        </w:rPr>
        <w:t xml:space="preserve"> result via their general practice, this</w:t>
      </w:r>
      <w:r w:rsidR="00D305FF" w:rsidRPr="0001513C">
        <w:rPr>
          <w:lang w:val="en-US"/>
        </w:rPr>
        <w:t xml:space="preserve"> can reflect their personal choice and circumstances</w:t>
      </w:r>
      <w:r>
        <w:rPr>
          <w:lang w:val="en-US"/>
        </w:rPr>
        <w:t xml:space="preserve"> (i</w:t>
      </w:r>
      <w:r w:rsidR="008635D8">
        <w:rPr>
          <w:lang w:val="en-US"/>
        </w:rPr>
        <w:t>.</w:t>
      </w:r>
      <w:r>
        <w:rPr>
          <w:lang w:val="en-US"/>
        </w:rPr>
        <w:t>e</w:t>
      </w:r>
      <w:r w:rsidR="008635D8">
        <w:rPr>
          <w:lang w:val="en-US"/>
        </w:rPr>
        <w:t>.</w:t>
      </w:r>
      <w:r>
        <w:rPr>
          <w:lang w:val="en-US"/>
        </w:rPr>
        <w:t xml:space="preserve"> not wanting their GP informed, not having a nominated GP in their practice, or </w:t>
      </w:r>
      <w:r w:rsidR="00881638">
        <w:rPr>
          <w:lang w:val="en-US"/>
        </w:rPr>
        <w:t xml:space="preserve">not </w:t>
      </w:r>
      <w:r>
        <w:rPr>
          <w:lang w:val="en-US"/>
        </w:rPr>
        <w:t xml:space="preserve">being </w:t>
      </w:r>
      <w:r w:rsidR="00881638">
        <w:rPr>
          <w:lang w:val="en-US"/>
        </w:rPr>
        <w:t>contactable</w:t>
      </w:r>
      <w:r>
        <w:rPr>
          <w:lang w:val="en-US"/>
        </w:rPr>
        <w:t xml:space="preserve"> within </w:t>
      </w:r>
      <w:r w:rsidR="00C05AE1">
        <w:rPr>
          <w:lang w:val="en-US"/>
        </w:rPr>
        <w:t xml:space="preserve">ten </w:t>
      </w:r>
      <w:r>
        <w:rPr>
          <w:lang w:val="en-US"/>
        </w:rPr>
        <w:t xml:space="preserve">days) </w:t>
      </w:r>
      <w:r w:rsidR="005A3CE0">
        <w:rPr>
          <w:lang w:val="en-US"/>
        </w:rPr>
        <w:t>or</w:t>
      </w:r>
      <w:r>
        <w:rPr>
          <w:lang w:val="en-US"/>
        </w:rPr>
        <w:t xml:space="preserve"> incorrect consent form completion. </w:t>
      </w:r>
    </w:p>
    <w:p w14:paraId="04101F58" w14:textId="77777777" w:rsidR="004761ED" w:rsidRDefault="004761ED" w:rsidP="002777EA">
      <w:pPr>
        <w:numPr>
          <w:ilvl w:val="0"/>
          <w:numId w:val="6"/>
        </w:numPr>
        <w:autoSpaceDE w:val="0"/>
        <w:autoSpaceDN w:val="0"/>
        <w:adjustRightInd w:val="0"/>
        <w:spacing w:before="60" w:after="120"/>
        <w:ind w:left="1134" w:hanging="425"/>
        <w:rPr>
          <w:lang w:val="en-US"/>
        </w:rPr>
      </w:pPr>
      <w:r w:rsidRPr="002777EA">
        <w:rPr>
          <w:lang w:val="en-US"/>
        </w:rPr>
        <w:t>M</w:t>
      </w:r>
      <w:r w:rsidRPr="002777EA">
        <w:rPr>
          <w:rFonts w:cs="Arial"/>
          <w:lang w:val="en-US"/>
        </w:rPr>
        <w:t>ā</w:t>
      </w:r>
      <w:r w:rsidRPr="002777EA">
        <w:rPr>
          <w:lang w:val="en-US"/>
        </w:rPr>
        <w:t>ori and Pacific BSP participants interviewed</w:t>
      </w:r>
      <w:r>
        <w:rPr>
          <w:lang w:val="en-US"/>
        </w:rPr>
        <w:t xml:space="preserve"> had very positive experiences along the BSP screening pathway.  The process of hearing about their positive </w:t>
      </w:r>
      <w:proofErr w:type="spellStart"/>
      <w:r>
        <w:rPr>
          <w:lang w:val="en-US"/>
        </w:rPr>
        <w:t>iFOBT</w:t>
      </w:r>
      <w:proofErr w:type="spellEnd"/>
      <w:r>
        <w:rPr>
          <w:lang w:val="en-US"/>
        </w:rPr>
        <w:t xml:space="preserve"> result via general practice or the Endoscopy Unit was a timely and reassuring experience which ensured they understood the need and process for having a colonoscopy. </w:t>
      </w:r>
    </w:p>
    <w:p w14:paraId="798F20D2" w14:textId="77777777" w:rsidR="002777EA" w:rsidRDefault="002777EA" w:rsidP="002777EA">
      <w:pPr>
        <w:numPr>
          <w:ilvl w:val="0"/>
          <w:numId w:val="6"/>
        </w:numPr>
        <w:autoSpaceDE w:val="0"/>
        <w:autoSpaceDN w:val="0"/>
        <w:adjustRightInd w:val="0"/>
        <w:spacing w:before="60" w:after="120"/>
        <w:ind w:left="1134" w:hanging="425"/>
        <w:rPr>
          <w:lang w:val="en-US"/>
        </w:rPr>
      </w:pPr>
      <w:r>
        <w:rPr>
          <w:lang w:val="en-US"/>
        </w:rPr>
        <w:t>Most</w:t>
      </w:r>
      <w:r w:rsidRPr="002777EA">
        <w:rPr>
          <w:lang w:val="en-US"/>
        </w:rPr>
        <w:t xml:space="preserve"> BSP participants do not have a strong preference </w:t>
      </w:r>
      <w:r w:rsidR="00AB7CFB">
        <w:rPr>
          <w:lang w:val="en-US"/>
        </w:rPr>
        <w:t xml:space="preserve">on </w:t>
      </w:r>
      <w:r w:rsidRPr="002777EA">
        <w:rPr>
          <w:lang w:val="en-US"/>
        </w:rPr>
        <w:t xml:space="preserve">who informs them about a positive </w:t>
      </w:r>
      <w:proofErr w:type="spellStart"/>
      <w:r w:rsidRPr="002777EA">
        <w:rPr>
          <w:lang w:val="en-US"/>
        </w:rPr>
        <w:t>iFOBT</w:t>
      </w:r>
      <w:proofErr w:type="spellEnd"/>
      <w:r w:rsidRPr="002777EA">
        <w:rPr>
          <w:lang w:val="en-US"/>
        </w:rPr>
        <w:t xml:space="preserve"> result so long as their </w:t>
      </w:r>
      <w:r>
        <w:rPr>
          <w:lang w:val="en-US"/>
        </w:rPr>
        <w:t xml:space="preserve">positive </w:t>
      </w:r>
      <w:proofErr w:type="spellStart"/>
      <w:r>
        <w:rPr>
          <w:lang w:val="en-US"/>
        </w:rPr>
        <w:t>iFOBT</w:t>
      </w:r>
      <w:proofErr w:type="spellEnd"/>
      <w:r>
        <w:rPr>
          <w:lang w:val="en-US"/>
        </w:rPr>
        <w:t xml:space="preserve"> </w:t>
      </w:r>
      <w:r w:rsidRPr="002777EA">
        <w:rPr>
          <w:lang w:val="en-US"/>
        </w:rPr>
        <w:t xml:space="preserve">results are timely, </w:t>
      </w:r>
      <w:r>
        <w:rPr>
          <w:lang w:val="en-US"/>
        </w:rPr>
        <w:t xml:space="preserve">free and </w:t>
      </w:r>
      <w:r w:rsidRPr="002777EA">
        <w:rPr>
          <w:lang w:val="en-US"/>
        </w:rPr>
        <w:t xml:space="preserve">convenient, given in a reassuring manner, their GP is kept informed, and the transition to colonoscopy is well explained, timely and streamlined.  </w:t>
      </w:r>
    </w:p>
    <w:p w14:paraId="02EB1ECA" w14:textId="77777777" w:rsidR="002777EA" w:rsidRDefault="002777EA" w:rsidP="0077722F">
      <w:pPr>
        <w:keepNext/>
        <w:keepLines/>
        <w:numPr>
          <w:ilvl w:val="0"/>
          <w:numId w:val="6"/>
        </w:numPr>
        <w:autoSpaceDE w:val="0"/>
        <w:autoSpaceDN w:val="0"/>
        <w:adjustRightInd w:val="0"/>
        <w:spacing w:before="60" w:after="120"/>
        <w:ind w:left="1134" w:hanging="425"/>
      </w:pPr>
      <w:r w:rsidRPr="002777EA">
        <w:rPr>
          <w:lang w:val="en-US"/>
        </w:rPr>
        <w:lastRenderedPageBreak/>
        <w:t>M</w:t>
      </w:r>
      <w:r w:rsidRPr="002777EA">
        <w:rPr>
          <w:rFonts w:cs="Arial"/>
          <w:lang w:val="en-US"/>
        </w:rPr>
        <w:t>ā</w:t>
      </w:r>
      <w:r w:rsidRPr="002777EA">
        <w:rPr>
          <w:lang w:val="en-US"/>
        </w:rPr>
        <w:t xml:space="preserve">ori and Pacific BSP participants interviewed who heard received their results from the Endoscopy Unit perceived this approach as </w:t>
      </w:r>
      <w:r w:rsidR="00AB7CFB">
        <w:rPr>
          <w:lang w:val="en-US"/>
        </w:rPr>
        <w:t xml:space="preserve">more </w:t>
      </w:r>
      <w:r w:rsidRPr="00D305FF">
        <w:t>convenient, potentially cheaper</w:t>
      </w:r>
      <w:r w:rsidR="004761ED">
        <w:t xml:space="preserve"> (as no need to take time of work or incur transport costs)</w:t>
      </w:r>
      <w:r w:rsidRPr="00D305FF">
        <w:t xml:space="preserve">, timely and aligned with the next step </w:t>
      </w:r>
      <w:r w:rsidR="00375A28">
        <w:t>of</w:t>
      </w:r>
      <w:r w:rsidRPr="00D305FF">
        <w:t xml:space="preserve"> having a colonoscopy</w:t>
      </w:r>
      <w:r w:rsidR="00AB7CFB">
        <w:t xml:space="preserve"> than general practice.  However, for these participants </w:t>
      </w:r>
      <w:r w:rsidRPr="00D305FF">
        <w:t xml:space="preserve">it is critical </w:t>
      </w:r>
      <w:r w:rsidR="00AB7CFB">
        <w:t xml:space="preserve">that </w:t>
      </w:r>
      <w:r w:rsidRPr="00D305FF">
        <w:t xml:space="preserve">their GP </w:t>
      </w:r>
      <w:r w:rsidR="00AB7CFB">
        <w:t xml:space="preserve">is </w:t>
      </w:r>
      <w:r w:rsidRPr="00D305FF">
        <w:t>aware of the</w:t>
      </w:r>
      <w:r w:rsidR="00AB7CFB">
        <w:t xml:space="preserve">ir </w:t>
      </w:r>
      <w:proofErr w:type="spellStart"/>
      <w:r w:rsidR="00AB7CFB">
        <w:t>iFOBT</w:t>
      </w:r>
      <w:proofErr w:type="spellEnd"/>
      <w:r w:rsidR="00AB7CFB">
        <w:t xml:space="preserve"> </w:t>
      </w:r>
      <w:r w:rsidRPr="00D305FF">
        <w:t xml:space="preserve">result. </w:t>
      </w:r>
    </w:p>
    <w:p w14:paraId="1108E0A9" w14:textId="77777777" w:rsidR="002777EA" w:rsidRDefault="002777EA" w:rsidP="002777EA">
      <w:pPr>
        <w:numPr>
          <w:ilvl w:val="0"/>
          <w:numId w:val="6"/>
        </w:numPr>
        <w:autoSpaceDE w:val="0"/>
        <w:autoSpaceDN w:val="0"/>
        <w:adjustRightInd w:val="0"/>
        <w:spacing w:before="60" w:after="120"/>
        <w:ind w:left="1134" w:hanging="425"/>
        <w:rPr>
          <w:lang w:val="en-US"/>
        </w:rPr>
      </w:pPr>
      <w:r>
        <w:rPr>
          <w:lang w:val="en-US"/>
        </w:rPr>
        <w:t>BSP</w:t>
      </w:r>
      <w:r w:rsidRPr="002777EA">
        <w:rPr>
          <w:lang w:val="en-US"/>
        </w:rPr>
        <w:t xml:space="preserve"> participants who are highly anxious, have other health conditions or are reluctant to have a colonoscopy </w:t>
      </w:r>
      <w:r>
        <w:rPr>
          <w:lang w:val="en-US"/>
        </w:rPr>
        <w:t>gain</w:t>
      </w:r>
      <w:r w:rsidR="005A3CE0">
        <w:rPr>
          <w:lang w:val="en-US"/>
        </w:rPr>
        <w:t>ed</w:t>
      </w:r>
      <w:r w:rsidRPr="002777EA">
        <w:rPr>
          <w:lang w:val="en-US"/>
        </w:rPr>
        <w:t xml:space="preserve"> benefit from a consultation with their GP about their positive result.  </w:t>
      </w:r>
    </w:p>
    <w:p w14:paraId="1C9F6C7F" w14:textId="77777777" w:rsidR="00390CC8" w:rsidRPr="00390CC8" w:rsidRDefault="00390CC8" w:rsidP="00390CC8">
      <w:pPr>
        <w:numPr>
          <w:ilvl w:val="0"/>
          <w:numId w:val="6"/>
        </w:numPr>
        <w:autoSpaceDE w:val="0"/>
        <w:autoSpaceDN w:val="0"/>
        <w:adjustRightInd w:val="0"/>
        <w:spacing w:before="60" w:after="120"/>
        <w:ind w:left="1134" w:hanging="425"/>
      </w:pPr>
      <w:r w:rsidRPr="00390CC8">
        <w:t xml:space="preserve">General Practice staff have high awareness, knowledge and support of the BSP, although there is concern about the impact of the BSP on symptomatic services particularly wait times for colonoscopy for symptomatic patients. </w:t>
      </w:r>
    </w:p>
    <w:p w14:paraId="2B11F7FD" w14:textId="77777777" w:rsidR="00390CC8" w:rsidRPr="00390CC8" w:rsidRDefault="00390CC8" w:rsidP="00390CC8">
      <w:pPr>
        <w:numPr>
          <w:ilvl w:val="0"/>
          <w:numId w:val="6"/>
        </w:numPr>
        <w:autoSpaceDE w:val="0"/>
        <w:autoSpaceDN w:val="0"/>
        <w:adjustRightInd w:val="0"/>
        <w:spacing w:before="60" w:after="120"/>
        <w:ind w:left="1134" w:hanging="425"/>
      </w:pPr>
      <w:r w:rsidRPr="00390CC8">
        <w:t>Promotion of the BSP by general practice is opportunistic.  Currently practices are unaware of the non-responders in their practice</w:t>
      </w:r>
      <w:r w:rsidR="00436F9D">
        <w:t xml:space="preserve"> as there is no system to inform general practice who has received an </w:t>
      </w:r>
      <w:proofErr w:type="spellStart"/>
      <w:r w:rsidR="00436F9D">
        <w:t>iFOBT</w:t>
      </w:r>
      <w:proofErr w:type="spellEnd"/>
      <w:r w:rsidR="00436F9D">
        <w:t xml:space="preserve"> kit and not returned it. </w:t>
      </w:r>
      <w:r w:rsidRPr="00390CC8">
        <w:t xml:space="preserve"> A potential enhancement to general practice’s role is following up non-responders</w:t>
      </w:r>
      <w:r w:rsidR="00AB7CFB">
        <w:t xml:space="preserve"> in particular </w:t>
      </w:r>
      <w:r w:rsidR="00AB7CFB" w:rsidRPr="002777EA">
        <w:rPr>
          <w:lang w:val="en-US"/>
        </w:rPr>
        <w:t>M</w:t>
      </w:r>
      <w:r w:rsidR="00AB7CFB" w:rsidRPr="002777EA">
        <w:rPr>
          <w:rFonts w:cs="Arial"/>
          <w:lang w:val="en-US"/>
        </w:rPr>
        <w:t>ā</w:t>
      </w:r>
      <w:r w:rsidR="00AB7CFB" w:rsidRPr="002777EA">
        <w:rPr>
          <w:lang w:val="en-US"/>
        </w:rPr>
        <w:t xml:space="preserve">ori and Pacific </w:t>
      </w:r>
      <w:r w:rsidR="00AB7CFB">
        <w:rPr>
          <w:lang w:val="en-US"/>
        </w:rPr>
        <w:t>non-responders</w:t>
      </w:r>
      <w:r w:rsidRPr="00390CC8">
        <w:t>.</w:t>
      </w:r>
    </w:p>
    <w:p w14:paraId="6B63730F" w14:textId="0CFD4455" w:rsidR="00390CC8" w:rsidRPr="00390CC8" w:rsidRDefault="00390CC8" w:rsidP="00390CC8">
      <w:pPr>
        <w:numPr>
          <w:ilvl w:val="0"/>
          <w:numId w:val="6"/>
        </w:numPr>
        <w:autoSpaceDE w:val="0"/>
        <w:autoSpaceDN w:val="0"/>
        <w:adjustRightInd w:val="0"/>
        <w:spacing w:before="60" w:after="120"/>
        <w:ind w:left="1134" w:hanging="425"/>
      </w:pPr>
      <w:r w:rsidRPr="00390CC8">
        <w:t xml:space="preserve">Most (but not all) GPs are aware of their role to notify participants with positive </w:t>
      </w:r>
      <w:proofErr w:type="spellStart"/>
      <w:r w:rsidRPr="00390CC8">
        <w:t>iFOBTs</w:t>
      </w:r>
      <w:proofErr w:type="spellEnd"/>
      <w:r w:rsidRPr="00390CC8">
        <w:t xml:space="preserve"> within </w:t>
      </w:r>
      <w:r w:rsidR="00C05AE1">
        <w:t xml:space="preserve">ten </w:t>
      </w:r>
      <w:r w:rsidRPr="00390CC8">
        <w:t xml:space="preserve">days.  How participants are informed by general practice varies from face-to-face consult with GP to phone discussion with practice nurse.  </w:t>
      </w:r>
    </w:p>
    <w:p w14:paraId="6141F198" w14:textId="77777777" w:rsidR="00390CC8" w:rsidRPr="00390CC8" w:rsidRDefault="00390CC8" w:rsidP="00390CC8">
      <w:pPr>
        <w:numPr>
          <w:ilvl w:val="0"/>
          <w:numId w:val="6"/>
        </w:numPr>
        <w:autoSpaceDE w:val="0"/>
        <w:autoSpaceDN w:val="0"/>
        <w:adjustRightInd w:val="0"/>
        <w:spacing w:before="60" w:after="120"/>
        <w:ind w:left="1134" w:hanging="425"/>
      </w:pPr>
      <w:r w:rsidRPr="00390CC8">
        <w:t xml:space="preserve">Most GPs and other staff perceive that having general practice involved in the BSP supports more participants to take part and enhances participant experience.  In contrast, </w:t>
      </w:r>
      <w:r w:rsidR="00436F9D">
        <w:t>a few</w:t>
      </w:r>
      <w:r w:rsidRPr="00975788">
        <w:rPr>
          <w:color w:val="C00000"/>
        </w:rPr>
        <w:t xml:space="preserve"> </w:t>
      </w:r>
      <w:r w:rsidRPr="00390CC8">
        <w:t xml:space="preserve">GPs did not perceive an added value role for general practice, and simply wanted to be kept informed of their patients’ results and interventions.  </w:t>
      </w:r>
    </w:p>
    <w:p w14:paraId="39DE4AD5" w14:textId="77777777" w:rsidR="002777EA" w:rsidRPr="002777EA" w:rsidRDefault="002777EA" w:rsidP="0006212B">
      <w:pPr>
        <w:autoSpaceDE w:val="0"/>
        <w:autoSpaceDN w:val="0"/>
        <w:adjustRightInd w:val="0"/>
        <w:spacing w:before="60" w:after="120"/>
        <w:rPr>
          <w:lang w:val="en-US"/>
        </w:rPr>
      </w:pPr>
    </w:p>
    <w:p w14:paraId="1FE99576" w14:textId="77777777" w:rsidR="00327EC9" w:rsidRDefault="00327EC9" w:rsidP="00527AC5">
      <w:pPr>
        <w:pStyle w:val="Heading1"/>
      </w:pPr>
      <w:r>
        <w:br w:type="page"/>
      </w:r>
      <w:bookmarkStart w:id="23" w:name="_Toc380424698"/>
      <w:r w:rsidR="00AB4993">
        <w:lastRenderedPageBreak/>
        <w:t>2.</w:t>
      </w:r>
      <w:r w:rsidR="00AB4993">
        <w:tab/>
        <w:t>Introduction</w:t>
      </w:r>
      <w:bookmarkEnd w:id="23"/>
    </w:p>
    <w:p w14:paraId="5F179FAA" w14:textId="77777777" w:rsidR="00AB4993" w:rsidRPr="004F1539" w:rsidRDefault="00AB4993" w:rsidP="005A572E">
      <w:pPr>
        <w:pStyle w:val="Heading2"/>
        <w:spacing w:before="600"/>
      </w:pPr>
      <w:bookmarkStart w:id="24" w:name="_Toc376617509"/>
      <w:bookmarkStart w:id="25" w:name="_Toc380424699"/>
      <w:r w:rsidRPr="004F1539">
        <w:t>2.1</w:t>
      </w:r>
      <w:r w:rsidRPr="004F1539">
        <w:tab/>
        <w:t>Background</w:t>
      </w:r>
      <w:bookmarkEnd w:id="24"/>
      <w:bookmarkEnd w:id="25"/>
    </w:p>
    <w:p w14:paraId="285527C2" w14:textId="77777777" w:rsidR="00AB4993" w:rsidRDefault="00AB4993" w:rsidP="00AB4993">
      <w:pPr>
        <w:rPr>
          <w:lang w:eastAsia="en-NZ"/>
        </w:rPr>
      </w:pPr>
      <w:r>
        <w:rPr>
          <w:lang w:eastAsia="en-NZ"/>
        </w:rPr>
        <w:t xml:space="preserve">The Ministry of Health (‘the Ministry’) has funded </w:t>
      </w:r>
      <w:proofErr w:type="spellStart"/>
      <w:r w:rsidR="006A2C8B">
        <w:rPr>
          <w:lang w:eastAsia="en-NZ"/>
        </w:rPr>
        <w:t>Waitematā</w:t>
      </w:r>
      <w:proofErr w:type="spellEnd"/>
      <w:r>
        <w:rPr>
          <w:lang w:eastAsia="en-NZ"/>
        </w:rPr>
        <w:t xml:space="preserve"> District Health Board (WDHB) to run a Bowel Screening Pilot (BSP) over four years from 2012–16.</w:t>
      </w:r>
      <w:r>
        <w:rPr>
          <w:rStyle w:val="FootnoteReference"/>
        </w:rPr>
        <w:footnoteReference w:id="1"/>
      </w:r>
      <w:r>
        <w:rPr>
          <w:lang w:eastAsia="en-NZ"/>
        </w:rPr>
        <w:t xml:space="preserve">  The BSP began with a ‘soft launch’ in late 2011, with full operation of the Pilot starting in January 2012.  Litmus and </w:t>
      </w:r>
      <w:proofErr w:type="spellStart"/>
      <w:r>
        <w:rPr>
          <w:lang w:eastAsia="en-NZ"/>
        </w:rPr>
        <w:t>Sapere</w:t>
      </w:r>
      <w:proofErr w:type="spellEnd"/>
      <w:r>
        <w:rPr>
          <w:lang w:eastAsia="en-NZ"/>
        </w:rPr>
        <w:t xml:space="preserve"> Research Group have been funded by the Ministry to undertake an evaluation of the BSP, including a cost-effectiveness analysis.  The evaluation will inform a decision about whether or not to roll out a national bowel screening programme.</w:t>
      </w:r>
    </w:p>
    <w:p w14:paraId="65E2FFA3" w14:textId="77777777" w:rsidR="00AB4993" w:rsidRDefault="00AB4993" w:rsidP="00AB4993">
      <w:r>
        <w:t xml:space="preserve">The overall goal and underlying objectives of the BSP and its evaluation are the same and have been defined by the Ministry.  The </w:t>
      </w:r>
      <w:r>
        <w:rPr>
          <w:bCs/>
        </w:rPr>
        <w:t>overall</w:t>
      </w:r>
      <w:r w:rsidR="007F73F7">
        <w:rPr>
          <w:bCs/>
        </w:rPr>
        <w:t xml:space="preserve"> </w:t>
      </w:r>
      <w:r>
        <w:rPr>
          <w:bCs/>
        </w:rPr>
        <w:t>goal</w:t>
      </w:r>
      <w:r w:rsidR="007F73F7">
        <w:rPr>
          <w:bCs/>
        </w:rPr>
        <w:t xml:space="preserve"> </w:t>
      </w:r>
      <w:r>
        <w:t xml:space="preserve">of both is to determine: </w:t>
      </w:r>
    </w:p>
    <w:p w14:paraId="5075F8F7" w14:textId="77777777" w:rsidR="00AB4993" w:rsidRDefault="00AB4993" w:rsidP="00AB4993">
      <w:pPr>
        <w:spacing w:before="120"/>
        <w:ind w:left="1134"/>
        <w:rPr>
          <w:b/>
          <w:bCs/>
          <w:i/>
          <w:iCs/>
        </w:rPr>
      </w:pPr>
      <w:r>
        <w:rPr>
          <w:i/>
          <w:iCs/>
        </w:rPr>
        <w:t>Whether organised bowel screening could be introduced in New Zealand in a way that is effective, safe and acceptable for participants; equitable and economically efficient.</w:t>
      </w:r>
    </w:p>
    <w:p w14:paraId="58DCF305" w14:textId="77777777" w:rsidR="00AB4993" w:rsidRDefault="00AB4993" w:rsidP="00AB4993">
      <w:r>
        <w:t xml:space="preserve">The goal comprises </w:t>
      </w:r>
      <w:r>
        <w:rPr>
          <w:bCs/>
        </w:rPr>
        <w:t>four key aims.</w:t>
      </w:r>
    </w:p>
    <w:p w14:paraId="2F63F81C" w14:textId="77777777" w:rsidR="00AB4993" w:rsidRDefault="00AB4993" w:rsidP="00CC5733">
      <w:pPr>
        <w:numPr>
          <w:ilvl w:val="0"/>
          <w:numId w:val="7"/>
        </w:numPr>
        <w:tabs>
          <w:tab w:val="clear" w:pos="927"/>
          <w:tab w:val="num" w:pos="1134"/>
        </w:tabs>
        <w:spacing w:before="120"/>
        <w:ind w:left="1134" w:hanging="420"/>
      </w:pPr>
      <w:r>
        <w:t xml:space="preserve">Effectiveness: Is a national bowel screening programme likely to achieve the mortality reduction from bowel cancer for all population groups seen in international randomised controlled trials? </w:t>
      </w:r>
    </w:p>
    <w:p w14:paraId="2932163A" w14:textId="77777777" w:rsidR="00AB4993" w:rsidRDefault="00AB4993" w:rsidP="00CC5733">
      <w:pPr>
        <w:numPr>
          <w:ilvl w:val="0"/>
          <w:numId w:val="7"/>
        </w:numPr>
        <w:tabs>
          <w:tab w:val="clear" w:pos="927"/>
          <w:tab w:val="num" w:pos="1134"/>
        </w:tabs>
        <w:spacing w:before="120"/>
        <w:ind w:left="1134" w:hanging="420"/>
      </w:pPr>
      <w:r>
        <w:t>Safety and acceptability: Can a national bowel screening programme be delivered in a manner that is safe and acceptable?</w:t>
      </w:r>
    </w:p>
    <w:p w14:paraId="018B7090" w14:textId="77777777" w:rsidR="00AB4993" w:rsidRDefault="00AB4993" w:rsidP="00CC5733">
      <w:pPr>
        <w:numPr>
          <w:ilvl w:val="0"/>
          <w:numId w:val="7"/>
        </w:numPr>
        <w:tabs>
          <w:tab w:val="clear" w:pos="927"/>
          <w:tab w:val="num" w:pos="1134"/>
        </w:tabs>
        <w:spacing w:before="120"/>
        <w:ind w:left="1134" w:hanging="420"/>
      </w:pPr>
      <w:r>
        <w:t>Equity: Can a national bowel screening programme be delivered in a manner that eliminates (or does not increase) current inequalities between population groups?</w:t>
      </w:r>
    </w:p>
    <w:p w14:paraId="5D69EE59" w14:textId="77777777" w:rsidR="00AB4993" w:rsidRDefault="00AB4993" w:rsidP="00CC5733">
      <w:pPr>
        <w:numPr>
          <w:ilvl w:val="0"/>
          <w:numId w:val="7"/>
        </w:numPr>
        <w:tabs>
          <w:tab w:val="clear" w:pos="927"/>
          <w:tab w:val="num" w:pos="1134"/>
        </w:tabs>
        <w:spacing w:before="120"/>
        <w:ind w:left="1134" w:hanging="420"/>
      </w:pPr>
      <w:r>
        <w:t>Economic efficiency: Can a national bowel screening programme be delivered in an economically efficient manner?</w:t>
      </w:r>
    </w:p>
    <w:p w14:paraId="43E9A25A" w14:textId="77777777" w:rsidR="006A793E" w:rsidRDefault="00AB4993" w:rsidP="00AB4993">
      <w:pPr>
        <w:rPr>
          <w:lang w:eastAsia="en-US"/>
        </w:rPr>
      </w:pPr>
      <w:r>
        <w:rPr>
          <w:lang w:eastAsia="en-US"/>
        </w:rPr>
        <w:t>A number of activities are planned for the evaluation of the BSP.</w:t>
      </w:r>
      <w:r>
        <w:rPr>
          <w:rStyle w:val="FootnoteReference"/>
          <w:lang w:eastAsia="en-US"/>
        </w:rPr>
        <w:footnoteReference w:id="2"/>
      </w:r>
      <w:r>
        <w:rPr>
          <w:lang w:eastAsia="en-US"/>
        </w:rPr>
        <w:t xml:space="preserve">  Included in these are three immersion visits, whereby the Litmus evaluation team interviews providers and stakeholders involved in aspects of BSP implementation</w:t>
      </w:r>
      <w:r w:rsidR="00DC6652">
        <w:rPr>
          <w:lang w:eastAsia="en-US"/>
        </w:rPr>
        <w:t>; qualitative interviews with BSP participants and non-participants; and quantitative surveys of the eligible population</w:t>
      </w:r>
      <w:r w:rsidR="006A793E">
        <w:rPr>
          <w:lang w:eastAsia="en-US"/>
        </w:rPr>
        <w:t xml:space="preserve"> and providers. </w:t>
      </w:r>
    </w:p>
    <w:p w14:paraId="750629B7" w14:textId="77777777" w:rsidR="00AB4993" w:rsidRDefault="00AB4993" w:rsidP="00AB4993">
      <w:pPr>
        <w:rPr>
          <w:lang w:eastAsia="en-US"/>
        </w:rPr>
      </w:pPr>
      <w:r>
        <w:rPr>
          <w:lang w:eastAsia="en-US"/>
        </w:rPr>
        <w:t xml:space="preserve">The New Zealand Health and Disability Multi-region Ethics Committee granted ethical approval for the suite of BSP evaluation activities </w:t>
      </w:r>
      <w:r>
        <w:t>(reference MEC/11/EXP/119).</w:t>
      </w:r>
    </w:p>
    <w:p w14:paraId="087B3537" w14:textId="77777777" w:rsidR="00AB4993" w:rsidRDefault="00AB4993" w:rsidP="005A572E">
      <w:pPr>
        <w:pStyle w:val="Heading2"/>
        <w:spacing w:before="600"/>
      </w:pPr>
      <w:bookmarkStart w:id="26" w:name="_Toc376617510"/>
      <w:bookmarkStart w:id="27" w:name="_Toc380424700"/>
      <w:r w:rsidRPr="004F1539">
        <w:lastRenderedPageBreak/>
        <w:t>2.2</w:t>
      </w:r>
      <w:r w:rsidRPr="004F1539">
        <w:tab/>
      </w:r>
      <w:bookmarkStart w:id="28" w:name="_Toc319933204"/>
      <w:bookmarkStart w:id="29" w:name="_Toc356566316"/>
      <w:r>
        <w:t>Report</w:t>
      </w:r>
      <w:r w:rsidRPr="00A113D0">
        <w:t xml:space="preserve"> purpose</w:t>
      </w:r>
      <w:bookmarkEnd w:id="26"/>
      <w:bookmarkEnd w:id="27"/>
      <w:bookmarkEnd w:id="28"/>
      <w:bookmarkEnd w:id="29"/>
    </w:p>
    <w:p w14:paraId="79B52976" w14:textId="77777777" w:rsidR="006B1E4D" w:rsidRDefault="006A793E" w:rsidP="0077722F">
      <w:pPr>
        <w:keepNext/>
        <w:keepLines/>
        <w:rPr>
          <w:lang w:val="en-US"/>
        </w:rPr>
      </w:pPr>
      <w:r>
        <w:rPr>
          <w:lang w:val="en-US"/>
        </w:rPr>
        <w:t xml:space="preserve">The role of general practice in informing BSP participants of a positive </w:t>
      </w:r>
      <w:r w:rsidR="007F73F7">
        <w:rPr>
          <w:lang w:val="en-US"/>
        </w:rPr>
        <w:t>i</w:t>
      </w:r>
      <w:r w:rsidR="007F73F7" w:rsidRPr="005A1478">
        <w:rPr>
          <w:lang w:val="en-US"/>
        </w:rPr>
        <w:t xml:space="preserve">mmunochemical </w:t>
      </w:r>
      <w:proofErr w:type="spellStart"/>
      <w:r w:rsidR="007F73F7" w:rsidRPr="005A1478">
        <w:rPr>
          <w:lang w:val="en-US"/>
        </w:rPr>
        <w:t>faecal</w:t>
      </w:r>
      <w:proofErr w:type="spellEnd"/>
      <w:r w:rsidR="007F73F7" w:rsidRPr="005A1478">
        <w:rPr>
          <w:lang w:val="en-US"/>
        </w:rPr>
        <w:t xml:space="preserve"> occult blood test</w:t>
      </w:r>
      <w:r w:rsidR="007F73F7">
        <w:rPr>
          <w:lang w:val="en-US"/>
        </w:rPr>
        <w:t xml:space="preserve"> </w:t>
      </w:r>
      <w:r>
        <w:rPr>
          <w:lang w:val="en-US"/>
        </w:rPr>
        <w:t>(</w:t>
      </w:r>
      <w:proofErr w:type="spellStart"/>
      <w:r>
        <w:rPr>
          <w:lang w:val="en-US"/>
        </w:rPr>
        <w:t>iFOBT</w:t>
      </w:r>
      <w:proofErr w:type="spellEnd"/>
      <w:r>
        <w:rPr>
          <w:lang w:val="en-US"/>
        </w:rPr>
        <w:t xml:space="preserve">) </w:t>
      </w:r>
      <w:r>
        <w:t xml:space="preserve">is a unique element of the BSP.  The findings from the first immersion visit </w:t>
      </w:r>
      <w:r w:rsidR="00F87BC5">
        <w:t xml:space="preserve">(Litmus 2013) </w:t>
      </w:r>
      <w:r>
        <w:t>found that while g</w:t>
      </w:r>
      <w:r>
        <w:rPr>
          <w:lang w:eastAsia="ar-SA"/>
        </w:rPr>
        <w:t>eneral practitioners (</w:t>
      </w:r>
      <w:r w:rsidRPr="00F316B6">
        <w:rPr>
          <w:lang w:val="en-US"/>
        </w:rPr>
        <w:t>GPs</w:t>
      </w:r>
      <w:r>
        <w:rPr>
          <w:lang w:val="en-US"/>
        </w:rPr>
        <w:t>) and p</w:t>
      </w:r>
      <w:r w:rsidRPr="00F316B6">
        <w:rPr>
          <w:lang w:val="en-US"/>
        </w:rPr>
        <w:t xml:space="preserve">ractice </w:t>
      </w:r>
      <w:r>
        <w:rPr>
          <w:lang w:val="en-US"/>
        </w:rPr>
        <w:t xml:space="preserve">nurses </w:t>
      </w:r>
      <w:r w:rsidRPr="00F316B6">
        <w:rPr>
          <w:lang w:val="en-US"/>
        </w:rPr>
        <w:t>are generally supportive of the BSP</w:t>
      </w:r>
      <w:r>
        <w:rPr>
          <w:lang w:val="en-US"/>
        </w:rPr>
        <w:t xml:space="preserve">, </w:t>
      </w:r>
      <w:r w:rsidR="007F73F7">
        <w:rPr>
          <w:lang w:val="en-US"/>
        </w:rPr>
        <w:t xml:space="preserve">across general practice there is </w:t>
      </w:r>
      <w:r>
        <w:rPr>
          <w:lang w:val="en-US"/>
        </w:rPr>
        <w:t xml:space="preserve">variation in BSP processes and practices.  </w:t>
      </w:r>
      <w:r w:rsidR="006B1E4D">
        <w:rPr>
          <w:lang w:val="en-US"/>
        </w:rPr>
        <w:t xml:space="preserve">Internationally, </w:t>
      </w:r>
      <w:r w:rsidR="006B1E4D" w:rsidRPr="00722841">
        <w:rPr>
          <w:lang w:val="en-US"/>
        </w:rPr>
        <w:t xml:space="preserve">GP involvement in bowel screening has been shown to have a positive impact on </w:t>
      </w:r>
      <w:proofErr w:type="spellStart"/>
      <w:r w:rsidR="006B1E4D">
        <w:rPr>
          <w:lang w:val="en-US"/>
        </w:rPr>
        <w:t>i</w:t>
      </w:r>
      <w:r w:rsidR="006B1E4D" w:rsidRPr="00722841">
        <w:rPr>
          <w:lang w:val="en-US"/>
        </w:rPr>
        <w:t>FOBT</w:t>
      </w:r>
      <w:proofErr w:type="spellEnd"/>
      <w:r w:rsidR="006B1E4D" w:rsidRPr="00722841">
        <w:rPr>
          <w:lang w:val="en-US"/>
        </w:rPr>
        <w:t xml:space="preserve"> screening participants, although </w:t>
      </w:r>
      <w:r w:rsidR="007F73F7">
        <w:rPr>
          <w:lang w:val="en-US"/>
        </w:rPr>
        <w:t>this</w:t>
      </w:r>
      <w:r w:rsidR="006B1E4D">
        <w:rPr>
          <w:lang w:val="en-US"/>
        </w:rPr>
        <w:t xml:space="preserve"> is </w:t>
      </w:r>
      <w:r w:rsidR="006B1E4D" w:rsidRPr="00722841">
        <w:rPr>
          <w:lang w:val="en-US"/>
        </w:rPr>
        <w:t>subject to high variability (</w:t>
      </w:r>
      <w:proofErr w:type="spellStart"/>
      <w:r w:rsidR="006B1E4D" w:rsidRPr="00722841">
        <w:rPr>
          <w:lang w:val="en-US"/>
        </w:rPr>
        <w:t>Federici</w:t>
      </w:r>
      <w:proofErr w:type="spellEnd"/>
      <w:r w:rsidR="006B1E4D" w:rsidRPr="00722841">
        <w:rPr>
          <w:lang w:val="en-US"/>
        </w:rPr>
        <w:t xml:space="preserve"> et al 2006, Koo et al 2010, Power et al 2009)</w:t>
      </w:r>
      <w:r w:rsidR="006B1E4D">
        <w:rPr>
          <w:lang w:val="en-US"/>
        </w:rPr>
        <w:t>.</w:t>
      </w:r>
    </w:p>
    <w:p w14:paraId="360493B2" w14:textId="77777777" w:rsidR="006A793E" w:rsidRDefault="006A793E" w:rsidP="006A793E">
      <w:r>
        <w:rPr>
          <w:lang w:val="en-US"/>
        </w:rPr>
        <w:t>Given this unique role</w:t>
      </w:r>
      <w:r w:rsidR="007C3DA5">
        <w:rPr>
          <w:lang w:val="en-US"/>
        </w:rPr>
        <w:t xml:space="preserve"> and noted variation</w:t>
      </w:r>
      <w:r>
        <w:rPr>
          <w:lang w:val="en-US"/>
        </w:rPr>
        <w:t xml:space="preserve">, it was agreed with the Ministry and the </w:t>
      </w:r>
      <w:r w:rsidR="007C3DA5">
        <w:rPr>
          <w:lang w:val="en-US"/>
        </w:rPr>
        <w:t xml:space="preserve">Bowel Screening </w:t>
      </w:r>
      <w:r>
        <w:rPr>
          <w:lang w:val="en-US"/>
        </w:rPr>
        <w:t>Evaluation Advisory Group, the role and</w:t>
      </w:r>
      <w:r>
        <w:t xml:space="preserve"> value of general practice in the BSP needed to be more fully understood, particularly with regard to enhancing participants’ experience and in considering </w:t>
      </w:r>
      <w:r w:rsidR="006B1E4D">
        <w:t xml:space="preserve">general practices’ </w:t>
      </w:r>
      <w:r>
        <w:t xml:space="preserve">role if the Pilot was rolled out nationally. </w:t>
      </w:r>
    </w:p>
    <w:p w14:paraId="68A2E901" w14:textId="77777777" w:rsidR="00F87BC5" w:rsidRDefault="00F87BC5" w:rsidP="00F87BC5">
      <w:r>
        <w:t xml:space="preserve">To identify the role and value of general practice in the BSP, this report draws on the quantitative data from the eligible population and provider </w:t>
      </w:r>
      <w:r w:rsidRPr="00BF1548">
        <w:t>surveys (Litmus 2014 a &amp; b), the</w:t>
      </w:r>
      <w:r>
        <w:t xml:space="preserve"> immersi</w:t>
      </w:r>
      <w:r w:rsidR="00BF1548">
        <w:t>on visits interviews with GPs, practice nurses and practice m</w:t>
      </w:r>
      <w:r>
        <w:t>anagers as well face-to-face interviews with M</w:t>
      </w:r>
      <w:r>
        <w:rPr>
          <w:rFonts w:cs="Arial"/>
        </w:rPr>
        <w:t>ā</w:t>
      </w:r>
      <w:r>
        <w:t xml:space="preserve">ori and Pacific BSP participants.  </w:t>
      </w:r>
    </w:p>
    <w:p w14:paraId="4CD1C74B" w14:textId="77777777" w:rsidR="00AB4993" w:rsidRPr="005A572E" w:rsidRDefault="00AB4993" w:rsidP="005A572E">
      <w:pPr>
        <w:pStyle w:val="Heading2"/>
        <w:spacing w:before="600"/>
      </w:pPr>
      <w:bookmarkStart w:id="30" w:name="_Toc356566318"/>
      <w:bookmarkStart w:id="31" w:name="_Toc376617511"/>
      <w:bookmarkStart w:id="32" w:name="_Toc380424701"/>
      <w:r w:rsidRPr="00BF1548">
        <w:t>2.3</w:t>
      </w:r>
      <w:r w:rsidRPr="00BF1548">
        <w:tab/>
        <w:t>Glossary of terms</w:t>
      </w:r>
      <w:bookmarkEnd w:id="30"/>
      <w:bookmarkEnd w:id="31"/>
      <w:bookmarkEnd w:id="32"/>
    </w:p>
    <w:p w14:paraId="26D772B9" w14:textId="77777777" w:rsidR="00AB4993" w:rsidRDefault="00AB4993" w:rsidP="00AB4993">
      <w:pPr>
        <w:rPr>
          <w:lang w:val="en-US"/>
        </w:rPr>
      </w:pPr>
      <w:r>
        <w:rPr>
          <w:lang w:val="en-US"/>
        </w:rPr>
        <w:t xml:space="preserve">For clarification, in this report the following terms have been used as follows: </w:t>
      </w:r>
    </w:p>
    <w:p w14:paraId="3258DAF4" w14:textId="77777777" w:rsidR="00AB4993" w:rsidRPr="00D078AB" w:rsidRDefault="00AB4993" w:rsidP="00CC5733">
      <w:pPr>
        <w:pStyle w:val="Bullet"/>
        <w:numPr>
          <w:ilvl w:val="0"/>
          <w:numId w:val="8"/>
        </w:numPr>
        <w:tabs>
          <w:tab w:val="num" w:pos="2126"/>
          <w:tab w:val="num" w:pos="6663"/>
        </w:tabs>
        <w:rPr>
          <w:lang w:val="en-US"/>
        </w:rPr>
      </w:pPr>
      <w:r w:rsidRPr="00D078AB">
        <w:rPr>
          <w:lang w:val="en-US"/>
        </w:rPr>
        <w:t xml:space="preserve">BSP – Bowel Screening Pilot </w:t>
      </w:r>
    </w:p>
    <w:p w14:paraId="15D4A1E1" w14:textId="77777777" w:rsidR="00AB4993" w:rsidRPr="00B9783D" w:rsidRDefault="00AB4993" w:rsidP="00CC5733">
      <w:pPr>
        <w:pStyle w:val="Bullet"/>
        <w:numPr>
          <w:ilvl w:val="0"/>
          <w:numId w:val="8"/>
        </w:numPr>
        <w:tabs>
          <w:tab w:val="num" w:pos="2126"/>
          <w:tab w:val="num" w:pos="6663"/>
        </w:tabs>
        <w:rPr>
          <w:lang w:val="en-US"/>
        </w:rPr>
      </w:pPr>
      <w:r w:rsidRPr="00B9783D">
        <w:rPr>
          <w:lang w:val="en-US"/>
        </w:rPr>
        <w:t xml:space="preserve">CAR – </w:t>
      </w:r>
      <w:r>
        <w:rPr>
          <w:lang w:val="en-US"/>
        </w:rPr>
        <w:t>c</w:t>
      </w:r>
      <w:r w:rsidRPr="00B9783D">
        <w:rPr>
          <w:lang w:val="en-US"/>
        </w:rPr>
        <w:t xml:space="preserve">ommunity </w:t>
      </w:r>
      <w:r>
        <w:rPr>
          <w:lang w:val="en-US"/>
        </w:rPr>
        <w:t>a</w:t>
      </w:r>
      <w:r w:rsidRPr="00B9783D">
        <w:rPr>
          <w:lang w:val="en-US"/>
        </w:rPr>
        <w:t xml:space="preserve">wareness </w:t>
      </w:r>
      <w:r>
        <w:rPr>
          <w:lang w:val="en-US"/>
        </w:rPr>
        <w:t>r</w:t>
      </w:r>
      <w:r w:rsidRPr="00B9783D">
        <w:rPr>
          <w:lang w:val="en-US"/>
        </w:rPr>
        <w:t xml:space="preserve">aising </w:t>
      </w:r>
    </w:p>
    <w:p w14:paraId="1952E30C" w14:textId="77777777" w:rsidR="00BE3E95" w:rsidRDefault="00BE3E95" w:rsidP="00CC5733">
      <w:pPr>
        <w:pStyle w:val="Bullet"/>
        <w:numPr>
          <w:ilvl w:val="0"/>
          <w:numId w:val="8"/>
        </w:numPr>
        <w:tabs>
          <w:tab w:val="num" w:pos="2126"/>
          <w:tab w:val="num" w:pos="6663"/>
        </w:tabs>
        <w:rPr>
          <w:lang w:val="en-US"/>
        </w:rPr>
      </w:pPr>
      <w:r>
        <w:rPr>
          <w:lang w:val="en-US"/>
        </w:rPr>
        <w:t xml:space="preserve">CATI – </w:t>
      </w:r>
      <w:r w:rsidRPr="00C95C03">
        <w:t>computer-assisted telephone interviewing</w:t>
      </w:r>
    </w:p>
    <w:p w14:paraId="1BDD0094" w14:textId="77777777" w:rsidR="00AB4993" w:rsidRDefault="00AB4993" w:rsidP="00CC5733">
      <w:pPr>
        <w:pStyle w:val="Bullet"/>
        <w:numPr>
          <w:ilvl w:val="0"/>
          <w:numId w:val="8"/>
        </w:numPr>
        <w:tabs>
          <w:tab w:val="num" w:pos="2126"/>
          <w:tab w:val="num" w:pos="6663"/>
        </w:tabs>
        <w:rPr>
          <w:lang w:val="en-US"/>
        </w:rPr>
      </w:pPr>
      <w:r>
        <w:rPr>
          <w:lang w:val="en-US"/>
        </w:rPr>
        <w:t xml:space="preserve">CNS – </w:t>
      </w:r>
      <w:r>
        <w:rPr>
          <w:lang w:eastAsia="ar-SA"/>
        </w:rPr>
        <w:t xml:space="preserve">clinical nurse specialists </w:t>
      </w:r>
    </w:p>
    <w:p w14:paraId="086BF09B" w14:textId="77777777" w:rsidR="00AB4993" w:rsidRPr="002B5B07" w:rsidRDefault="00AB4993" w:rsidP="00CC5733">
      <w:pPr>
        <w:pStyle w:val="Bullet"/>
        <w:numPr>
          <w:ilvl w:val="0"/>
          <w:numId w:val="8"/>
        </w:numPr>
        <w:tabs>
          <w:tab w:val="num" w:pos="2126"/>
          <w:tab w:val="num" w:pos="6663"/>
        </w:tabs>
        <w:rPr>
          <w:lang w:val="en-US"/>
        </w:rPr>
      </w:pPr>
      <w:r w:rsidRPr="002B5B07">
        <w:rPr>
          <w:lang w:val="en-US"/>
        </w:rPr>
        <w:t>DHB – District Health Board</w:t>
      </w:r>
    </w:p>
    <w:p w14:paraId="2FFA1EAF" w14:textId="77777777" w:rsidR="00AB4993" w:rsidRDefault="00AB4993" w:rsidP="00CC5733">
      <w:pPr>
        <w:pStyle w:val="Bullet"/>
        <w:numPr>
          <w:ilvl w:val="0"/>
          <w:numId w:val="8"/>
        </w:numPr>
        <w:tabs>
          <w:tab w:val="num" w:pos="6663"/>
        </w:tabs>
      </w:pPr>
      <w:proofErr w:type="spellStart"/>
      <w:proofErr w:type="gramStart"/>
      <w:r w:rsidRPr="005A1478">
        <w:rPr>
          <w:lang w:val="en-US"/>
        </w:rPr>
        <w:t>iFOBT</w:t>
      </w:r>
      <w:proofErr w:type="spellEnd"/>
      <w:proofErr w:type="gramEnd"/>
      <w:r w:rsidR="007F73F7">
        <w:rPr>
          <w:lang w:val="en-US"/>
        </w:rPr>
        <w:t xml:space="preserve"> </w:t>
      </w:r>
      <w:r>
        <w:rPr>
          <w:lang w:val="en-US"/>
        </w:rPr>
        <w:t>–</w:t>
      </w:r>
      <w:r w:rsidR="007F73F7">
        <w:rPr>
          <w:lang w:val="en-US"/>
        </w:rPr>
        <w:t xml:space="preserve"> </w:t>
      </w:r>
      <w:r>
        <w:rPr>
          <w:lang w:val="en-US"/>
        </w:rPr>
        <w:t>i</w:t>
      </w:r>
      <w:r w:rsidRPr="005A1478">
        <w:rPr>
          <w:lang w:val="en-US"/>
        </w:rPr>
        <w:t xml:space="preserve">mmunochemical </w:t>
      </w:r>
      <w:proofErr w:type="spellStart"/>
      <w:r w:rsidRPr="005A1478">
        <w:rPr>
          <w:lang w:val="en-US"/>
        </w:rPr>
        <w:t>faecal</w:t>
      </w:r>
      <w:proofErr w:type="spellEnd"/>
      <w:r w:rsidRPr="005A1478">
        <w:rPr>
          <w:lang w:val="en-US"/>
        </w:rPr>
        <w:t xml:space="preserve"> occult blood test</w:t>
      </w:r>
      <w:r w:rsidRPr="00A6573F">
        <w:rPr>
          <w:vertAlign w:val="superscript"/>
          <w:lang w:val="en-US"/>
        </w:rPr>
        <w:footnoteReference w:id="3"/>
      </w:r>
      <w:r>
        <w:t xml:space="preserve">. A single sample </w:t>
      </w:r>
      <w:proofErr w:type="spellStart"/>
      <w:r>
        <w:t>iFOBT</w:t>
      </w:r>
      <w:proofErr w:type="spellEnd"/>
      <w:r>
        <w:t xml:space="preserve"> test is being used in the BSP. The test is known as OC-Sensor. </w:t>
      </w:r>
    </w:p>
    <w:p w14:paraId="2977F824" w14:textId="77777777" w:rsidR="00AB4993" w:rsidRPr="00F43941" w:rsidRDefault="00AB4993" w:rsidP="00CC5733">
      <w:pPr>
        <w:pStyle w:val="Bullet"/>
        <w:numPr>
          <w:ilvl w:val="0"/>
          <w:numId w:val="8"/>
        </w:numPr>
        <w:tabs>
          <w:tab w:val="num" w:pos="6663"/>
        </w:tabs>
        <w:spacing w:before="60"/>
        <w:ind w:left="1066" w:hanging="357"/>
        <w:rPr>
          <w:lang w:val="en-US"/>
        </w:rPr>
      </w:pPr>
      <w:r w:rsidRPr="004E018A">
        <w:t>General practice – refers generically to the differing systems and models in which primary care is delivered</w:t>
      </w:r>
    </w:p>
    <w:p w14:paraId="7A774B60" w14:textId="77777777" w:rsidR="00AB4993" w:rsidRDefault="00AB4993" w:rsidP="00CC5733">
      <w:pPr>
        <w:pStyle w:val="Bullet"/>
        <w:numPr>
          <w:ilvl w:val="0"/>
          <w:numId w:val="8"/>
        </w:numPr>
        <w:tabs>
          <w:tab w:val="num" w:pos="6663"/>
        </w:tabs>
        <w:rPr>
          <w:lang w:val="en-US"/>
        </w:rPr>
      </w:pPr>
      <w:r>
        <w:rPr>
          <w:lang w:val="en-US"/>
        </w:rPr>
        <w:t>GP – General Practitioner</w:t>
      </w:r>
    </w:p>
    <w:p w14:paraId="4D939AF5" w14:textId="77777777" w:rsidR="00AB4993" w:rsidRDefault="00AB4993" w:rsidP="00CC5733">
      <w:pPr>
        <w:pStyle w:val="Bullet"/>
        <w:numPr>
          <w:ilvl w:val="0"/>
          <w:numId w:val="8"/>
        </w:numPr>
        <w:tabs>
          <w:tab w:val="num" w:pos="6663"/>
        </w:tabs>
        <w:rPr>
          <w:lang w:val="en-US"/>
        </w:rPr>
      </w:pPr>
      <w:r>
        <w:rPr>
          <w:lang w:val="en-US"/>
        </w:rPr>
        <w:t xml:space="preserve">The Ministry – </w:t>
      </w:r>
      <w:r w:rsidRPr="005A1478">
        <w:rPr>
          <w:lang w:val="en-US"/>
        </w:rPr>
        <w:t>Ministry of Health</w:t>
      </w:r>
    </w:p>
    <w:p w14:paraId="32AC9739" w14:textId="77777777" w:rsidR="00AB4993" w:rsidRPr="00D078AB" w:rsidRDefault="00AB4993" w:rsidP="00CC5733">
      <w:pPr>
        <w:pStyle w:val="Bullet"/>
        <w:numPr>
          <w:ilvl w:val="0"/>
          <w:numId w:val="8"/>
        </w:numPr>
        <w:tabs>
          <w:tab w:val="num" w:pos="6663"/>
        </w:tabs>
        <w:rPr>
          <w:lang w:val="en-US"/>
        </w:rPr>
      </w:pPr>
      <w:proofErr w:type="spellStart"/>
      <w:r>
        <w:rPr>
          <w:lang w:val="en-US"/>
        </w:rPr>
        <w:t>MoH</w:t>
      </w:r>
      <w:proofErr w:type="spellEnd"/>
      <w:r w:rsidRPr="00D078AB">
        <w:rPr>
          <w:lang w:val="en-US"/>
        </w:rPr>
        <w:t xml:space="preserve"> – Ministry of Health </w:t>
      </w:r>
    </w:p>
    <w:p w14:paraId="223246F7" w14:textId="77777777" w:rsidR="00AB4993" w:rsidRPr="00DD0A99" w:rsidRDefault="00AB4993" w:rsidP="00CC5733">
      <w:pPr>
        <w:pStyle w:val="Bullet"/>
        <w:numPr>
          <w:ilvl w:val="0"/>
          <w:numId w:val="8"/>
        </w:numPr>
        <w:tabs>
          <w:tab w:val="num" w:pos="6663"/>
        </w:tabs>
        <w:rPr>
          <w:lang w:val="en-US"/>
        </w:rPr>
      </w:pPr>
      <w:r>
        <w:rPr>
          <w:lang w:val="en-US"/>
        </w:rPr>
        <w:t>Non-responders – p</w:t>
      </w:r>
      <w:r w:rsidRPr="00DD0A99">
        <w:rPr>
          <w:lang w:val="en-US"/>
        </w:rPr>
        <w:t xml:space="preserve">eople who have received a pre-invitation, invitation and reminder letter, </w:t>
      </w:r>
      <w:r w:rsidRPr="00DD0A99">
        <w:t>ha</w:t>
      </w:r>
      <w:r>
        <w:t>ve</w:t>
      </w:r>
      <w:r w:rsidRPr="00DD0A99">
        <w:t xml:space="preserve"> not returned a completed kit, </w:t>
      </w:r>
      <w:r>
        <w:rPr>
          <w:lang w:val="en-US"/>
        </w:rPr>
        <w:t>and have</w:t>
      </w:r>
      <w:r w:rsidRPr="00DD0A99">
        <w:rPr>
          <w:lang w:val="en-US"/>
        </w:rPr>
        <w:t xml:space="preserve"> not contacted the Coordination Centre to opt out of the BSP</w:t>
      </w:r>
    </w:p>
    <w:p w14:paraId="7DD942B9" w14:textId="77777777" w:rsidR="00AB4993" w:rsidRDefault="00AB4993" w:rsidP="00CC5733">
      <w:pPr>
        <w:pStyle w:val="Bullet"/>
        <w:numPr>
          <w:ilvl w:val="0"/>
          <w:numId w:val="8"/>
        </w:numPr>
        <w:tabs>
          <w:tab w:val="num" w:pos="2126"/>
          <w:tab w:val="num" w:pos="6663"/>
        </w:tabs>
        <w:rPr>
          <w:lang w:val="en-US"/>
        </w:rPr>
      </w:pPr>
      <w:r w:rsidRPr="00A233F3">
        <w:rPr>
          <w:lang w:val="en-US"/>
        </w:rPr>
        <w:t xml:space="preserve">The Pilot – the </w:t>
      </w:r>
      <w:r w:rsidRPr="00D078AB">
        <w:rPr>
          <w:lang w:val="en-US"/>
        </w:rPr>
        <w:t>Bowel Screening Pilot</w:t>
      </w:r>
      <w:r>
        <w:rPr>
          <w:lang w:val="en-US"/>
        </w:rPr>
        <w:t>/BSP</w:t>
      </w:r>
    </w:p>
    <w:p w14:paraId="12E1C0F9" w14:textId="77777777" w:rsidR="00AB4993" w:rsidRPr="0040040C" w:rsidRDefault="00AB4993" w:rsidP="00CC5733">
      <w:pPr>
        <w:pStyle w:val="Bullet"/>
        <w:numPr>
          <w:ilvl w:val="0"/>
          <w:numId w:val="8"/>
        </w:numPr>
        <w:tabs>
          <w:tab w:val="num" w:pos="2126"/>
          <w:tab w:val="num" w:pos="6663"/>
        </w:tabs>
        <w:rPr>
          <w:lang w:val="en-US"/>
        </w:rPr>
      </w:pPr>
      <w:r w:rsidRPr="0040040C">
        <w:rPr>
          <w:lang w:val="en-US"/>
        </w:rPr>
        <w:t xml:space="preserve">WDHB - </w:t>
      </w:r>
      <w:proofErr w:type="spellStart"/>
      <w:r w:rsidR="006A2C8B">
        <w:rPr>
          <w:lang w:val="en-US"/>
        </w:rPr>
        <w:t>Waitematā</w:t>
      </w:r>
      <w:proofErr w:type="spellEnd"/>
      <w:r w:rsidRPr="0040040C">
        <w:rPr>
          <w:lang w:val="en-US"/>
        </w:rPr>
        <w:t xml:space="preserve"> District Health Board </w:t>
      </w:r>
    </w:p>
    <w:p w14:paraId="79B4DD68" w14:textId="77777777" w:rsidR="00AB4993" w:rsidRDefault="00AB4993" w:rsidP="00CC5733">
      <w:pPr>
        <w:pStyle w:val="Bullet"/>
        <w:numPr>
          <w:ilvl w:val="0"/>
          <w:numId w:val="8"/>
        </w:numPr>
        <w:tabs>
          <w:tab w:val="num" w:pos="2126"/>
          <w:tab w:val="num" w:pos="6663"/>
        </w:tabs>
        <w:rPr>
          <w:lang w:val="en-US"/>
        </w:rPr>
      </w:pPr>
      <w:r w:rsidRPr="00A5735A">
        <w:rPr>
          <w:lang w:val="en-US"/>
        </w:rPr>
        <w:t>The Re</w:t>
      </w:r>
      <w:r>
        <w:rPr>
          <w:lang w:val="en-US"/>
        </w:rPr>
        <w:t>gister – BSP information system</w:t>
      </w:r>
    </w:p>
    <w:p w14:paraId="2A9ECD87" w14:textId="77777777" w:rsidR="00AB4993" w:rsidRPr="006362E6" w:rsidRDefault="00AB4993" w:rsidP="00CC5733">
      <w:pPr>
        <w:pStyle w:val="Bullet"/>
        <w:numPr>
          <w:ilvl w:val="0"/>
          <w:numId w:val="8"/>
        </w:numPr>
        <w:tabs>
          <w:tab w:val="num" w:pos="2126"/>
          <w:tab w:val="num" w:pos="6663"/>
        </w:tabs>
        <w:rPr>
          <w:lang w:val="en-US"/>
        </w:rPr>
      </w:pPr>
      <w:r w:rsidRPr="006362E6">
        <w:rPr>
          <w:lang w:val="en-US"/>
        </w:rPr>
        <w:lastRenderedPageBreak/>
        <w:t>Under-screened populations – no definition was agreed on what constitutes an ‘under-screened’ sub-group therefore the focus was placed on those sub-groups with the lowest level of participation.</w:t>
      </w:r>
    </w:p>
    <w:p w14:paraId="293F7981" w14:textId="77777777" w:rsidR="00EF1D54" w:rsidRDefault="00EF1D54">
      <w:pPr>
        <w:spacing w:before="0"/>
        <w:ind w:left="0"/>
      </w:pPr>
      <w:r>
        <w:br w:type="page"/>
      </w:r>
    </w:p>
    <w:p w14:paraId="03250BF4" w14:textId="77777777" w:rsidR="00EF1D54" w:rsidRPr="00A113D0" w:rsidRDefault="00EF1D54" w:rsidP="00EF1D54">
      <w:pPr>
        <w:pStyle w:val="Heading1"/>
      </w:pPr>
      <w:bookmarkStart w:id="33" w:name="_Toc356566319"/>
      <w:bookmarkStart w:id="34" w:name="_Toc376617512"/>
      <w:bookmarkStart w:id="35" w:name="_Toc380424702"/>
      <w:r w:rsidRPr="00A113D0">
        <w:lastRenderedPageBreak/>
        <w:t>3.</w:t>
      </w:r>
      <w:r w:rsidRPr="00A113D0">
        <w:tab/>
      </w:r>
      <w:r w:rsidR="0085454A">
        <w:t>M</w:t>
      </w:r>
      <w:r w:rsidRPr="00A113D0">
        <w:t>ethodology</w:t>
      </w:r>
      <w:bookmarkEnd w:id="33"/>
      <w:bookmarkEnd w:id="34"/>
      <w:bookmarkEnd w:id="35"/>
    </w:p>
    <w:p w14:paraId="3F484B0F" w14:textId="77777777" w:rsidR="00DC0B42" w:rsidRDefault="00DC0B42" w:rsidP="00DC0B42">
      <w:bookmarkStart w:id="36" w:name="_Toc319933206"/>
      <w:bookmarkStart w:id="37" w:name="_Toc356566320"/>
      <w:bookmarkStart w:id="38" w:name="_Toc376617513"/>
      <w:r>
        <w:t>This section outlines the method used to undertake the immersion visit</w:t>
      </w:r>
      <w:r w:rsidR="007620FE">
        <w:t xml:space="preserve"> interviews in general practice and interviews with M</w:t>
      </w:r>
      <w:r w:rsidR="007620FE">
        <w:rPr>
          <w:rFonts w:cs="Arial"/>
        </w:rPr>
        <w:t>ā</w:t>
      </w:r>
      <w:r w:rsidR="007620FE">
        <w:t>ori and Pacific BSP participants</w:t>
      </w:r>
      <w:r>
        <w:t>.  It details the sample frame, recruitment and interviewing approach, analysis and research limitations.</w:t>
      </w:r>
      <w:r w:rsidR="007620FE">
        <w:t xml:space="preserve">  The method used for the WDHB population survey and the provider survey can be found in the </w:t>
      </w:r>
      <w:r w:rsidR="007620FE" w:rsidRPr="00BF1548">
        <w:t>relevant reports (Litmus 2014 a &amp; b).</w:t>
      </w:r>
    </w:p>
    <w:p w14:paraId="537459DD" w14:textId="77777777" w:rsidR="007620FE" w:rsidRDefault="00EF1D54" w:rsidP="00EF1D54">
      <w:pPr>
        <w:pStyle w:val="Heading2"/>
        <w:spacing w:before="360"/>
      </w:pPr>
      <w:bookmarkStart w:id="39" w:name="_Toc380424703"/>
      <w:r w:rsidRPr="007C0ED3">
        <w:t>3.1</w:t>
      </w:r>
      <w:r w:rsidRPr="007C0ED3">
        <w:tab/>
      </w:r>
      <w:bookmarkEnd w:id="36"/>
      <w:r w:rsidR="007620FE">
        <w:t>Immersion visit interviews with general practice</w:t>
      </w:r>
      <w:bookmarkEnd w:id="39"/>
    </w:p>
    <w:p w14:paraId="31A854D8" w14:textId="77777777" w:rsidR="00EF1D54" w:rsidRPr="007C0ED3" w:rsidRDefault="00EF1D54" w:rsidP="007620FE">
      <w:pPr>
        <w:pStyle w:val="Heading3"/>
      </w:pPr>
      <w:r w:rsidRPr="007C0ED3">
        <w:t>Sample</w:t>
      </w:r>
      <w:bookmarkEnd w:id="37"/>
      <w:bookmarkEnd w:id="38"/>
    </w:p>
    <w:p w14:paraId="21CBA8FA" w14:textId="77777777" w:rsidR="00355CEF" w:rsidRDefault="00EF1D54" w:rsidP="00EF1D54">
      <w:r>
        <w:t xml:space="preserve">Litmus worked with WDHB </w:t>
      </w:r>
      <w:r w:rsidR="00355CEF">
        <w:t xml:space="preserve">and the Primary Health Organisations (PHOs) </w:t>
      </w:r>
      <w:r>
        <w:t xml:space="preserve">to develop a sample frame that ensured participation of </w:t>
      </w:r>
      <w:r w:rsidR="00355CEF">
        <w:t>general</w:t>
      </w:r>
      <w:r w:rsidR="00392892">
        <w:t xml:space="preserve"> practices across WDHB.  A purposive sample frame was developed to ensure</w:t>
      </w:r>
      <w:r w:rsidR="007F73F7">
        <w:t xml:space="preserve"> </w:t>
      </w:r>
      <w:r w:rsidR="00392892">
        <w:t xml:space="preserve">the </w:t>
      </w:r>
      <w:r w:rsidR="00355CEF">
        <w:t>inclusion of rural and urban</w:t>
      </w:r>
      <w:r w:rsidR="007F73F7">
        <w:t xml:space="preserve"> </w:t>
      </w:r>
      <w:r w:rsidR="00355CEF">
        <w:t xml:space="preserve">practices, those </w:t>
      </w:r>
      <w:r w:rsidR="00355CEF" w:rsidRPr="0085454A">
        <w:t xml:space="preserve">with high </w:t>
      </w:r>
      <w:r w:rsidR="005748A9" w:rsidRPr="0085454A">
        <w:t>need</w:t>
      </w:r>
      <w:r w:rsidR="00355CEF" w:rsidRPr="0085454A">
        <w:t xml:space="preserve"> populations</w:t>
      </w:r>
      <w:r w:rsidR="007F73F7">
        <w:t xml:space="preserve"> </w:t>
      </w:r>
      <w:r w:rsidR="005748A9" w:rsidRPr="00304045">
        <w:t>including M</w:t>
      </w:r>
      <w:r w:rsidR="00304045">
        <w:rPr>
          <w:rFonts w:cs="Arial"/>
        </w:rPr>
        <w:t>ā</w:t>
      </w:r>
      <w:r w:rsidR="005748A9" w:rsidRPr="00304045">
        <w:t xml:space="preserve">ori and Pacific people, practices from both </w:t>
      </w:r>
      <w:proofErr w:type="spellStart"/>
      <w:r w:rsidR="005748A9" w:rsidRPr="00304045">
        <w:t>Procare</w:t>
      </w:r>
      <w:proofErr w:type="spellEnd"/>
      <w:r w:rsidR="005748A9" w:rsidRPr="00304045">
        <w:t xml:space="preserve"> and </w:t>
      </w:r>
      <w:proofErr w:type="spellStart"/>
      <w:r w:rsidR="006A2C8B">
        <w:t>Waitematā</w:t>
      </w:r>
      <w:proofErr w:type="spellEnd"/>
      <w:r w:rsidR="005748A9">
        <w:t xml:space="preserve"> PHO</w:t>
      </w:r>
      <w:r w:rsidR="00304045">
        <w:t xml:space="preserve">, and a range of practice size. </w:t>
      </w:r>
    </w:p>
    <w:p w14:paraId="1D1E55BD" w14:textId="6B3316A4" w:rsidR="00933677" w:rsidRDefault="00933677" w:rsidP="00EF1D54">
      <w:r>
        <w:t xml:space="preserve">Interviews were undertaken across </w:t>
      </w:r>
      <w:r w:rsidR="000D7E64">
        <w:t xml:space="preserve">ten </w:t>
      </w:r>
      <w:r>
        <w:t xml:space="preserve">general practices. Table </w:t>
      </w:r>
      <w:r w:rsidR="005D5ADA">
        <w:t>1</w:t>
      </w:r>
      <w:r>
        <w:t xml:space="preserve"> provides an overview of the </w:t>
      </w:r>
      <w:r w:rsidR="00392892">
        <w:t xml:space="preserve">sample structure achieved. </w:t>
      </w:r>
    </w:p>
    <w:p w14:paraId="2FCC021D" w14:textId="77777777" w:rsidR="00EF1D54" w:rsidRDefault="00EF1D54" w:rsidP="005A572E">
      <w:pPr>
        <w:pStyle w:val="Heading4"/>
        <w:spacing w:before="120" w:after="0"/>
      </w:pPr>
      <w:r w:rsidRPr="00526904">
        <w:t xml:space="preserve">Table 1: </w:t>
      </w:r>
      <w:r w:rsidR="00355CEF">
        <w:t xml:space="preserve">Overview of achieve general practice sample </w:t>
      </w:r>
    </w:p>
    <w:tbl>
      <w:tblPr>
        <w:tblW w:w="7938" w:type="dxa"/>
        <w:tblInd w:w="817" w:type="dxa"/>
        <w:tblBorders>
          <w:top w:val="single" w:sz="8" w:space="0" w:color="B3CC82"/>
          <w:left w:val="single" w:sz="8" w:space="0" w:color="B3CC82"/>
          <w:bottom w:val="single" w:sz="8" w:space="0" w:color="B3CC82"/>
          <w:right w:val="single" w:sz="8" w:space="0" w:color="B3CC82"/>
          <w:insideH w:val="single" w:sz="8" w:space="0" w:color="B3CC82"/>
        </w:tblBorders>
        <w:tblLook w:val="00A0" w:firstRow="1" w:lastRow="0" w:firstColumn="1" w:lastColumn="0" w:noHBand="0" w:noVBand="0"/>
      </w:tblPr>
      <w:tblGrid>
        <w:gridCol w:w="1559"/>
        <w:gridCol w:w="3544"/>
        <w:gridCol w:w="2835"/>
      </w:tblGrid>
      <w:tr w:rsidR="00304045" w:rsidRPr="00B2144C" w14:paraId="5AE5E047" w14:textId="77777777" w:rsidTr="00304045">
        <w:tc>
          <w:tcPr>
            <w:tcW w:w="5103" w:type="dxa"/>
            <w:gridSpan w:val="2"/>
            <w:shd w:val="clear" w:color="auto" w:fill="9BBB59"/>
          </w:tcPr>
          <w:p w14:paraId="4079CCD4" w14:textId="77777777" w:rsidR="00304045" w:rsidRPr="00B2144C" w:rsidRDefault="00304045" w:rsidP="005D5ADA">
            <w:pPr>
              <w:autoSpaceDE w:val="0"/>
              <w:autoSpaceDN w:val="0"/>
              <w:adjustRightInd w:val="0"/>
              <w:spacing w:before="0" w:after="60"/>
              <w:ind w:left="0"/>
              <w:rPr>
                <w:b/>
                <w:bCs/>
                <w:color w:val="FFFFFF"/>
                <w:lang w:eastAsia="en-NZ"/>
              </w:rPr>
            </w:pPr>
            <w:r w:rsidRPr="00B2144C">
              <w:rPr>
                <w:b/>
                <w:color w:val="FFFFFF"/>
                <w:lang w:eastAsia="en-NZ"/>
              </w:rPr>
              <w:br w:type="page"/>
            </w:r>
            <w:r w:rsidRPr="00933677">
              <w:rPr>
                <w:b/>
                <w:color w:val="FFFFFF"/>
                <w:lang w:eastAsia="en-NZ"/>
              </w:rPr>
              <w:t>Practice descriptors</w:t>
            </w:r>
          </w:p>
        </w:tc>
        <w:tc>
          <w:tcPr>
            <w:tcW w:w="2835" w:type="dxa"/>
            <w:tcBorders>
              <w:bottom w:val="single" w:sz="8" w:space="0" w:color="B3CC82"/>
            </w:tcBorders>
            <w:shd w:val="clear" w:color="auto" w:fill="9BBB59"/>
          </w:tcPr>
          <w:p w14:paraId="1BB3C6FF" w14:textId="77777777" w:rsidR="00304045" w:rsidRPr="00B2144C" w:rsidRDefault="00304045" w:rsidP="00304045">
            <w:pPr>
              <w:autoSpaceDE w:val="0"/>
              <w:autoSpaceDN w:val="0"/>
              <w:adjustRightInd w:val="0"/>
              <w:spacing w:before="0" w:after="60"/>
              <w:ind w:left="0"/>
              <w:jc w:val="center"/>
              <w:rPr>
                <w:b/>
                <w:color w:val="FFFFFF"/>
                <w:lang w:eastAsia="en-NZ"/>
              </w:rPr>
            </w:pPr>
            <w:r>
              <w:rPr>
                <w:b/>
                <w:color w:val="FFFFFF"/>
                <w:lang w:eastAsia="en-NZ"/>
              </w:rPr>
              <w:t>Number</w:t>
            </w:r>
          </w:p>
        </w:tc>
      </w:tr>
      <w:tr w:rsidR="00304045" w:rsidRPr="009D233A" w14:paraId="6C891C97" w14:textId="77777777" w:rsidTr="00304045">
        <w:tc>
          <w:tcPr>
            <w:tcW w:w="1559" w:type="dxa"/>
            <w:vMerge w:val="restart"/>
            <w:tcBorders>
              <w:right w:val="single" w:sz="8" w:space="0" w:color="B3CC82"/>
            </w:tcBorders>
            <w:shd w:val="clear" w:color="auto" w:fill="auto"/>
            <w:vAlign w:val="center"/>
          </w:tcPr>
          <w:p w14:paraId="3FD9F41C" w14:textId="77777777" w:rsidR="00304045" w:rsidRDefault="00304045" w:rsidP="00304045">
            <w:pPr>
              <w:autoSpaceDE w:val="0"/>
              <w:autoSpaceDN w:val="0"/>
              <w:adjustRightInd w:val="0"/>
              <w:spacing w:before="0" w:after="60"/>
              <w:ind w:left="0"/>
              <w:rPr>
                <w:lang w:eastAsia="en-NZ"/>
              </w:rPr>
            </w:pPr>
            <w:r>
              <w:rPr>
                <w:lang w:eastAsia="en-NZ"/>
              </w:rPr>
              <w:t xml:space="preserve">Location </w:t>
            </w:r>
          </w:p>
        </w:tc>
        <w:tc>
          <w:tcPr>
            <w:tcW w:w="3544" w:type="dxa"/>
            <w:tcBorders>
              <w:right w:val="single" w:sz="8" w:space="0" w:color="B3CC82"/>
            </w:tcBorders>
            <w:shd w:val="clear" w:color="auto" w:fill="E6EED5"/>
          </w:tcPr>
          <w:p w14:paraId="2776BABA" w14:textId="77777777" w:rsidR="00304045" w:rsidRPr="006D0F2A" w:rsidRDefault="00304045" w:rsidP="005D5ADA">
            <w:pPr>
              <w:autoSpaceDE w:val="0"/>
              <w:autoSpaceDN w:val="0"/>
              <w:adjustRightInd w:val="0"/>
              <w:spacing w:before="0" w:after="60"/>
              <w:ind w:left="0"/>
              <w:rPr>
                <w:b/>
                <w:bCs/>
                <w:lang w:eastAsia="en-NZ"/>
              </w:rPr>
            </w:pPr>
            <w:r>
              <w:rPr>
                <w:lang w:eastAsia="en-NZ"/>
              </w:rPr>
              <w:t xml:space="preserve">Urban </w:t>
            </w:r>
          </w:p>
        </w:tc>
        <w:tc>
          <w:tcPr>
            <w:tcW w:w="2835" w:type="dxa"/>
            <w:tcBorders>
              <w:left w:val="single" w:sz="8" w:space="0" w:color="B3CC82"/>
            </w:tcBorders>
            <w:shd w:val="clear" w:color="auto" w:fill="E6EED5"/>
          </w:tcPr>
          <w:p w14:paraId="10E64245" w14:textId="77777777" w:rsidR="00304045" w:rsidRDefault="00304045" w:rsidP="00304045">
            <w:pPr>
              <w:autoSpaceDE w:val="0"/>
              <w:autoSpaceDN w:val="0"/>
              <w:adjustRightInd w:val="0"/>
              <w:spacing w:before="0" w:after="60"/>
              <w:ind w:left="0"/>
              <w:jc w:val="center"/>
              <w:rPr>
                <w:lang w:eastAsia="en-NZ"/>
              </w:rPr>
            </w:pPr>
            <w:r>
              <w:rPr>
                <w:lang w:eastAsia="en-NZ"/>
              </w:rPr>
              <w:t>5</w:t>
            </w:r>
          </w:p>
        </w:tc>
      </w:tr>
      <w:tr w:rsidR="00304045" w:rsidRPr="009D233A" w14:paraId="79D96883" w14:textId="77777777" w:rsidTr="00304045">
        <w:tc>
          <w:tcPr>
            <w:tcW w:w="1559" w:type="dxa"/>
            <w:vMerge/>
            <w:tcBorders>
              <w:right w:val="single" w:sz="8" w:space="0" w:color="B3CC82"/>
            </w:tcBorders>
            <w:shd w:val="clear" w:color="auto" w:fill="auto"/>
            <w:vAlign w:val="center"/>
          </w:tcPr>
          <w:p w14:paraId="631AD0A7" w14:textId="77777777" w:rsidR="00304045" w:rsidRDefault="00304045" w:rsidP="00304045">
            <w:pPr>
              <w:autoSpaceDE w:val="0"/>
              <w:autoSpaceDN w:val="0"/>
              <w:adjustRightInd w:val="0"/>
              <w:spacing w:before="0" w:after="60"/>
              <w:ind w:left="0"/>
              <w:rPr>
                <w:lang w:eastAsia="en-NZ"/>
              </w:rPr>
            </w:pPr>
          </w:p>
        </w:tc>
        <w:tc>
          <w:tcPr>
            <w:tcW w:w="3544" w:type="dxa"/>
            <w:tcBorders>
              <w:right w:val="single" w:sz="8" w:space="0" w:color="B3CC82"/>
            </w:tcBorders>
          </w:tcPr>
          <w:p w14:paraId="16C383FE" w14:textId="77777777" w:rsidR="00304045" w:rsidRPr="006D0F2A" w:rsidRDefault="00304045" w:rsidP="005D5ADA">
            <w:pPr>
              <w:autoSpaceDE w:val="0"/>
              <w:autoSpaceDN w:val="0"/>
              <w:adjustRightInd w:val="0"/>
              <w:spacing w:before="0" w:after="60"/>
              <w:ind w:left="0"/>
              <w:rPr>
                <w:b/>
                <w:bCs/>
                <w:lang w:eastAsia="en-NZ"/>
              </w:rPr>
            </w:pPr>
            <w:r>
              <w:rPr>
                <w:lang w:eastAsia="en-NZ"/>
              </w:rPr>
              <w:t xml:space="preserve">Semi-rural </w:t>
            </w:r>
          </w:p>
        </w:tc>
        <w:tc>
          <w:tcPr>
            <w:tcW w:w="2835" w:type="dxa"/>
            <w:tcBorders>
              <w:left w:val="single" w:sz="8" w:space="0" w:color="B3CC82"/>
            </w:tcBorders>
          </w:tcPr>
          <w:p w14:paraId="65AB5B46" w14:textId="77777777" w:rsidR="00304045" w:rsidRDefault="00304045" w:rsidP="00304045">
            <w:pPr>
              <w:autoSpaceDE w:val="0"/>
              <w:autoSpaceDN w:val="0"/>
              <w:adjustRightInd w:val="0"/>
              <w:spacing w:before="0" w:after="60"/>
              <w:ind w:left="0"/>
              <w:jc w:val="center"/>
              <w:rPr>
                <w:lang w:eastAsia="en-NZ"/>
              </w:rPr>
            </w:pPr>
            <w:r>
              <w:rPr>
                <w:lang w:eastAsia="en-NZ"/>
              </w:rPr>
              <w:t>3</w:t>
            </w:r>
          </w:p>
        </w:tc>
      </w:tr>
      <w:tr w:rsidR="00304045" w:rsidRPr="009D233A" w14:paraId="3CEFCD1A" w14:textId="77777777" w:rsidTr="00304045">
        <w:tc>
          <w:tcPr>
            <w:tcW w:w="1559" w:type="dxa"/>
            <w:vMerge/>
            <w:tcBorders>
              <w:right w:val="single" w:sz="8" w:space="0" w:color="B3CC82"/>
            </w:tcBorders>
            <w:shd w:val="clear" w:color="auto" w:fill="auto"/>
            <w:vAlign w:val="center"/>
          </w:tcPr>
          <w:p w14:paraId="248B72DC" w14:textId="77777777" w:rsidR="00304045" w:rsidRDefault="00304045" w:rsidP="00304045">
            <w:pPr>
              <w:autoSpaceDE w:val="0"/>
              <w:autoSpaceDN w:val="0"/>
              <w:adjustRightInd w:val="0"/>
              <w:spacing w:before="0" w:after="60"/>
              <w:ind w:left="0"/>
              <w:rPr>
                <w:lang w:eastAsia="en-NZ"/>
              </w:rPr>
            </w:pPr>
          </w:p>
        </w:tc>
        <w:tc>
          <w:tcPr>
            <w:tcW w:w="3544" w:type="dxa"/>
            <w:tcBorders>
              <w:right w:val="single" w:sz="8" w:space="0" w:color="B3CC82"/>
            </w:tcBorders>
            <w:shd w:val="clear" w:color="auto" w:fill="E6EED5"/>
          </w:tcPr>
          <w:p w14:paraId="14C232C6" w14:textId="77777777" w:rsidR="00304045" w:rsidRPr="006D0F2A" w:rsidRDefault="00304045" w:rsidP="005D5ADA">
            <w:pPr>
              <w:autoSpaceDE w:val="0"/>
              <w:autoSpaceDN w:val="0"/>
              <w:adjustRightInd w:val="0"/>
              <w:spacing w:before="0" w:after="60"/>
              <w:ind w:left="0"/>
              <w:rPr>
                <w:b/>
                <w:bCs/>
                <w:lang w:eastAsia="en-NZ"/>
              </w:rPr>
            </w:pPr>
            <w:r>
              <w:rPr>
                <w:lang w:eastAsia="en-NZ"/>
              </w:rPr>
              <w:t xml:space="preserve">Rural </w:t>
            </w:r>
          </w:p>
        </w:tc>
        <w:tc>
          <w:tcPr>
            <w:tcW w:w="2835" w:type="dxa"/>
            <w:tcBorders>
              <w:left w:val="single" w:sz="8" w:space="0" w:color="B3CC82"/>
            </w:tcBorders>
            <w:shd w:val="clear" w:color="auto" w:fill="E6EED5"/>
          </w:tcPr>
          <w:p w14:paraId="79228907" w14:textId="77777777" w:rsidR="00304045" w:rsidRDefault="00304045" w:rsidP="00304045">
            <w:pPr>
              <w:autoSpaceDE w:val="0"/>
              <w:autoSpaceDN w:val="0"/>
              <w:adjustRightInd w:val="0"/>
              <w:spacing w:before="0" w:after="60"/>
              <w:ind w:left="0"/>
              <w:jc w:val="center"/>
              <w:rPr>
                <w:lang w:eastAsia="en-NZ"/>
              </w:rPr>
            </w:pPr>
            <w:r>
              <w:rPr>
                <w:lang w:eastAsia="en-NZ"/>
              </w:rPr>
              <w:t>2</w:t>
            </w:r>
          </w:p>
        </w:tc>
      </w:tr>
      <w:tr w:rsidR="00304045" w:rsidRPr="009D233A" w14:paraId="453A8BF5" w14:textId="77777777" w:rsidTr="00304045">
        <w:tc>
          <w:tcPr>
            <w:tcW w:w="1559" w:type="dxa"/>
            <w:vMerge w:val="restart"/>
            <w:tcBorders>
              <w:right w:val="single" w:sz="8" w:space="0" w:color="B3CC82"/>
            </w:tcBorders>
            <w:shd w:val="clear" w:color="auto" w:fill="auto"/>
            <w:vAlign w:val="center"/>
          </w:tcPr>
          <w:p w14:paraId="569C2627" w14:textId="77777777" w:rsidR="00304045" w:rsidRDefault="00304045" w:rsidP="00304045">
            <w:pPr>
              <w:autoSpaceDE w:val="0"/>
              <w:autoSpaceDN w:val="0"/>
              <w:adjustRightInd w:val="0"/>
              <w:spacing w:before="0" w:after="60"/>
              <w:ind w:left="0"/>
              <w:rPr>
                <w:lang w:eastAsia="en-NZ"/>
              </w:rPr>
            </w:pPr>
            <w:r>
              <w:rPr>
                <w:lang w:eastAsia="en-NZ"/>
              </w:rPr>
              <w:t>Size</w:t>
            </w:r>
            <w:r>
              <w:rPr>
                <w:rStyle w:val="FootnoteReference"/>
                <w:lang w:eastAsia="en-NZ"/>
              </w:rPr>
              <w:footnoteReference w:id="4"/>
            </w:r>
          </w:p>
        </w:tc>
        <w:tc>
          <w:tcPr>
            <w:tcW w:w="3544" w:type="dxa"/>
            <w:tcBorders>
              <w:right w:val="single" w:sz="8" w:space="0" w:color="B3CC82"/>
            </w:tcBorders>
          </w:tcPr>
          <w:p w14:paraId="3F70797D" w14:textId="77777777" w:rsidR="00304045" w:rsidRPr="006D0F2A" w:rsidRDefault="00304045" w:rsidP="005D5ADA">
            <w:pPr>
              <w:autoSpaceDE w:val="0"/>
              <w:autoSpaceDN w:val="0"/>
              <w:adjustRightInd w:val="0"/>
              <w:spacing w:before="0" w:after="60"/>
              <w:ind w:left="0"/>
              <w:rPr>
                <w:b/>
                <w:bCs/>
                <w:lang w:eastAsia="en-NZ"/>
              </w:rPr>
            </w:pPr>
            <w:r>
              <w:rPr>
                <w:lang w:eastAsia="en-NZ"/>
              </w:rPr>
              <w:t xml:space="preserve">Large </w:t>
            </w:r>
          </w:p>
        </w:tc>
        <w:tc>
          <w:tcPr>
            <w:tcW w:w="2835" w:type="dxa"/>
            <w:tcBorders>
              <w:left w:val="single" w:sz="8" w:space="0" w:color="B3CC82"/>
            </w:tcBorders>
          </w:tcPr>
          <w:p w14:paraId="58F189A6" w14:textId="77777777" w:rsidR="00304045" w:rsidRDefault="00304045" w:rsidP="00304045">
            <w:pPr>
              <w:autoSpaceDE w:val="0"/>
              <w:autoSpaceDN w:val="0"/>
              <w:adjustRightInd w:val="0"/>
              <w:spacing w:before="0" w:after="60"/>
              <w:ind w:left="0"/>
              <w:jc w:val="center"/>
              <w:rPr>
                <w:lang w:eastAsia="en-NZ"/>
              </w:rPr>
            </w:pPr>
            <w:r>
              <w:rPr>
                <w:lang w:eastAsia="en-NZ"/>
              </w:rPr>
              <w:t>4</w:t>
            </w:r>
          </w:p>
        </w:tc>
      </w:tr>
      <w:tr w:rsidR="00304045" w:rsidRPr="009D233A" w14:paraId="0ACDDB02" w14:textId="77777777" w:rsidTr="00304045">
        <w:tc>
          <w:tcPr>
            <w:tcW w:w="1559" w:type="dxa"/>
            <w:vMerge/>
            <w:tcBorders>
              <w:right w:val="single" w:sz="8" w:space="0" w:color="B3CC82"/>
            </w:tcBorders>
            <w:shd w:val="clear" w:color="auto" w:fill="auto"/>
            <w:vAlign w:val="center"/>
          </w:tcPr>
          <w:p w14:paraId="721809FF" w14:textId="77777777" w:rsidR="00304045" w:rsidRDefault="00304045" w:rsidP="00304045">
            <w:pPr>
              <w:autoSpaceDE w:val="0"/>
              <w:autoSpaceDN w:val="0"/>
              <w:adjustRightInd w:val="0"/>
              <w:spacing w:before="0" w:after="60"/>
              <w:ind w:left="0"/>
              <w:rPr>
                <w:lang w:eastAsia="en-NZ"/>
              </w:rPr>
            </w:pPr>
          </w:p>
        </w:tc>
        <w:tc>
          <w:tcPr>
            <w:tcW w:w="3544" w:type="dxa"/>
            <w:tcBorders>
              <w:right w:val="single" w:sz="8" w:space="0" w:color="B3CC82"/>
            </w:tcBorders>
            <w:shd w:val="clear" w:color="auto" w:fill="E6EED5"/>
          </w:tcPr>
          <w:p w14:paraId="1F446D3B" w14:textId="77777777" w:rsidR="00304045" w:rsidRPr="006D0F2A" w:rsidRDefault="00304045" w:rsidP="005D5ADA">
            <w:pPr>
              <w:autoSpaceDE w:val="0"/>
              <w:autoSpaceDN w:val="0"/>
              <w:adjustRightInd w:val="0"/>
              <w:spacing w:before="0" w:after="60"/>
              <w:ind w:left="0"/>
              <w:rPr>
                <w:b/>
                <w:bCs/>
                <w:lang w:eastAsia="en-NZ"/>
              </w:rPr>
            </w:pPr>
            <w:r>
              <w:rPr>
                <w:lang w:eastAsia="en-NZ"/>
              </w:rPr>
              <w:t xml:space="preserve">Medium </w:t>
            </w:r>
          </w:p>
        </w:tc>
        <w:tc>
          <w:tcPr>
            <w:tcW w:w="2835" w:type="dxa"/>
            <w:tcBorders>
              <w:left w:val="single" w:sz="8" w:space="0" w:color="B3CC82"/>
            </w:tcBorders>
            <w:shd w:val="clear" w:color="auto" w:fill="E6EED5"/>
          </w:tcPr>
          <w:p w14:paraId="1F1F3200" w14:textId="77777777" w:rsidR="00304045" w:rsidRDefault="00304045" w:rsidP="00304045">
            <w:pPr>
              <w:autoSpaceDE w:val="0"/>
              <w:autoSpaceDN w:val="0"/>
              <w:adjustRightInd w:val="0"/>
              <w:spacing w:before="0" w:after="60"/>
              <w:ind w:left="0"/>
              <w:jc w:val="center"/>
              <w:rPr>
                <w:lang w:eastAsia="en-NZ"/>
              </w:rPr>
            </w:pPr>
            <w:r>
              <w:rPr>
                <w:lang w:eastAsia="en-NZ"/>
              </w:rPr>
              <w:t>4</w:t>
            </w:r>
          </w:p>
        </w:tc>
      </w:tr>
      <w:tr w:rsidR="00304045" w:rsidRPr="009D233A" w14:paraId="4806721F" w14:textId="77777777" w:rsidTr="00304045">
        <w:tc>
          <w:tcPr>
            <w:tcW w:w="1559" w:type="dxa"/>
            <w:vMerge/>
            <w:tcBorders>
              <w:right w:val="single" w:sz="8" w:space="0" w:color="B3CC82"/>
            </w:tcBorders>
            <w:shd w:val="clear" w:color="auto" w:fill="auto"/>
            <w:vAlign w:val="center"/>
          </w:tcPr>
          <w:p w14:paraId="16578743" w14:textId="77777777" w:rsidR="00304045" w:rsidRDefault="00304045" w:rsidP="00304045">
            <w:pPr>
              <w:autoSpaceDE w:val="0"/>
              <w:autoSpaceDN w:val="0"/>
              <w:adjustRightInd w:val="0"/>
              <w:spacing w:before="0" w:after="60"/>
              <w:ind w:left="0"/>
              <w:rPr>
                <w:lang w:eastAsia="en-NZ"/>
              </w:rPr>
            </w:pPr>
          </w:p>
        </w:tc>
        <w:tc>
          <w:tcPr>
            <w:tcW w:w="3544" w:type="dxa"/>
            <w:tcBorders>
              <w:right w:val="single" w:sz="8" w:space="0" w:color="B3CC82"/>
            </w:tcBorders>
          </w:tcPr>
          <w:p w14:paraId="36ECDD46" w14:textId="77777777" w:rsidR="00304045" w:rsidRPr="006D0F2A" w:rsidRDefault="00304045" w:rsidP="005D5ADA">
            <w:pPr>
              <w:autoSpaceDE w:val="0"/>
              <w:autoSpaceDN w:val="0"/>
              <w:adjustRightInd w:val="0"/>
              <w:spacing w:before="0" w:after="60"/>
              <w:ind w:left="0"/>
              <w:rPr>
                <w:b/>
                <w:bCs/>
                <w:lang w:eastAsia="en-NZ"/>
              </w:rPr>
            </w:pPr>
            <w:r>
              <w:rPr>
                <w:lang w:eastAsia="en-NZ"/>
              </w:rPr>
              <w:t xml:space="preserve">Small </w:t>
            </w:r>
          </w:p>
        </w:tc>
        <w:tc>
          <w:tcPr>
            <w:tcW w:w="2835" w:type="dxa"/>
            <w:tcBorders>
              <w:left w:val="single" w:sz="8" w:space="0" w:color="B3CC82"/>
            </w:tcBorders>
          </w:tcPr>
          <w:p w14:paraId="37F1884B" w14:textId="77777777" w:rsidR="00304045" w:rsidRDefault="00304045" w:rsidP="00304045">
            <w:pPr>
              <w:autoSpaceDE w:val="0"/>
              <w:autoSpaceDN w:val="0"/>
              <w:adjustRightInd w:val="0"/>
              <w:spacing w:before="0" w:after="60"/>
              <w:ind w:left="0"/>
              <w:jc w:val="center"/>
              <w:rPr>
                <w:lang w:eastAsia="en-NZ"/>
              </w:rPr>
            </w:pPr>
            <w:r>
              <w:rPr>
                <w:lang w:eastAsia="en-NZ"/>
              </w:rPr>
              <w:t>2</w:t>
            </w:r>
          </w:p>
        </w:tc>
      </w:tr>
      <w:tr w:rsidR="00304045" w:rsidRPr="009D233A" w14:paraId="0DD25ED3" w14:textId="77777777" w:rsidTr="00304045">
        <w:tc>
          <w:tcPr>
            <w:tcW w:w="1559" w:type="dxa"/>
            <w:vMerge w:val="restart"/>
            <w:tcBorders>
              <w:right w:val="single" w:sz="8" w:space="0" w:color="B3CC82"/>
            </w:tcBorders>
            <w:shd w:val="clear" w:color="auto" w:fill="auto"/>
            <w:vAlign w:val="center"/>
          </w:tcPr>
          <w:p w14:paraId="3A54F70A" w14:textId="77777777" w:rsidR="00304045" w:rsidRPr="00304045" w:rsidRDefault="00304045" w:rsidP="00304045">
            <w:pPr>
              <w:autoSpaceDE w:val="0"/>
              <w:autoSpaceDN w:val="0"/>
              <w:adjustRightInd w:val="0"/>
              <w:spacing w:before="0" w:after="60"/>
              <w:ind w:left="0"/>
              <w:rPr>
                <w:lang w:eastAsia="en-NZ"/>
              </w:rPr>
            </w:pPr>
            <w:r>
              <w:rPr>
                <w:lang w:eastAsia="en-NZ"/>
              </w:rPr>
              <w:t>PHO</w:t>
            </w:r>
          </w:p>
        </w:tc>
        <w:tc>
          <w:tcPr>
            <w:tcW w:w="3544" w:type="dxa"/>
            <w:tcBorders>
              <w:right w:val="single" w:sz="8" w:space="0" w:color="B3CC82"/>
            </w:tcBorders>
            <w:shd w:val="clear" w:color="auto" w:fill="E6EED5"/>
          </w:tcPr>
          <w:p w14:paraId="6896040F" w14:textId="77777777" w:rsidR="00304045" w:rsidRPr="00304045" w:rsidRDefault="00304045" w:rsidP="005D5ADA">
            <w:pPr>
              <w:autoSpaceDE w:val="0"/>
              <w:autoSpaceDN w:val="0"/>
              <w:adjustRightInd w:val="0"/>
              <w:spacing w:before="0" w:after="60"/>
              <w:ind w:left="0"/>
              <w:rPr>
                <w:lang w:eastAsia="en-NZ"/>
              </w:rPr>
            </w:pPr>
            <w:proofErr w:type="spellStart"/>
            <w:r w:rsidRPr="00304045">
              <w:rPr>
                <w:lang w:eastAsia="en-NZ"/>
              </w:rPr>
              <w:t>Procare</w:t>
            </w:r>
            <w:proofErr w:type="spellEnd"/>
          </w:p>
        </w:tc>
        <w:tc>
          <w:tcPr>
            <w:tcW w:w="2835" w:type="dxa"/>
            <w:tcBorders>
              <w:left w:val="single" w:sz="8" w:space="0" w:color="B3CC82"/>
            </w:tcBorders>
            <w:shd w:val="clear" w:color="auto" w:fill="E6EED5"/>
          </w:tcPr>
          <w:p w14:paraId="5E26B3F3" w14:textId="77777777" w:rsidR="00304045" w:rsidRPr="00304045" w:rsidRDefault="00304045" w:rsidP="00304045">
            <w:pPr>
              <w:autoSpaceDE w:val="0"/>
              <w:autoSpaceDN w:val="0"/>
              <w:adjustRightInd w:val="0"/>
              <w:spacing w:before="0" w:after="60"/>
              <w:ind w:left="0"/>
              <w:jc w:val="center"/>
              <w:rPr>
                <w:lang w:eastAsia="en-NZ"/>
              </w:rPr>
            </w:pPr>
            <w:r>
              <w:rPr>
                <w:lang w:eastAsia="en-NZ"/>
              </w:rPr>
              <w:t>7</w:t>
            </w:r>
          </w:p>
        </w:tc>
      </w:tr>
      <w:tr w:rsidR="00304045" w:rsidRPr="009D233A" w14:paraId="1739F63D" w14:textId="77777777" w:rsidTr="00304045">
        <w:tc>
          <w:tcPr>
            <w:tcW w:w="1559" w:type="dxa"/>
            <w:vMerge/>
            <w:tcBorders>
              <w:right w:val="single" w:sz="8" w:space="0" w:color="B3CC82"/>
            </w:tcBorders>
            <w:shd w:val="clear" w:color="auto" w:fill="auto"/>
          </w:tcPr>
          <w:p w14:paraId="5A8C8D8E" w14:textId="77777777" w:rsidR="00304045" w:rsidRPr="00552F89" w:rsidRDefault="00304045" w:rsidP="00304045">
            <w:pPr>
              <w:autoSpaceDE w:val="0"/>
              <w:autoSpaceDN w:val="0"/>
              <w:adjustRightInd w:val="0"/>
              <w:spacing w:before="0" w:after="60"/>
              <w:ind w:left="0"/>
              <w:rPr>
                <w:lang w:eastAsia="en-NZ"/>
              </w:rPr>
            </w:pPr>
          </w:p>
        </w:tc>
        <w:tc>
          <w:tcPr>
            <w:tcW w:w="3544" w:type="dxa"/>
            <w:tcBorders>
              <w:right w:val="single" w:sz="8" w:space="0" w:color="B3CC82"/>
            </w:tcBorders>
          </w:tcPr>
          <w:p w14:paraId="5D1F76AC" w14:textId="77777777" w:rsidR="00304045" w:rsidRDefault="006A2C8B" w:rsidP="00304045">
            <w:pPr>
              <w:autoSpaceDE w:val="0"/>
              <w:autoSpaceDN w:val="0"/>
              <w:adjustRightInd w:val="0"/>
              <w:spacing w:before="0" w:after="60"/>
              <w:ind w:left="0"/>
              <w:rPr>
                <w:lang w:eastAsia="en-NZ"/>
              </w:rPr>
            </w:pPr>
            <w:proofErr w:type="spellStart"/>
            <w:r>
              <w:rPr>
                <w:lang w:eastAsia="en-NZ"/>
              </w:rPr>
              <w:t>Waitematā</w:t>
            </w:r>
            <w:proofErr w:type="spellEnd"/>
            <w:r w:rsidR="00304045" w:rsidRPr="00552F89">
              <w:rPr>
                <w:lang w:eastAsia="en-NZ"/>
              </w:rPr>
              <w:t xml:space="preserve"> PHO </w:t>
            </w:r>
          </w:p>
        </w:tc>
        <w:tc>
          <w:tcPr>
            <w:tcW w:w="2835" w:type="dxa"/>
            <w:tcBorders>
              <w:left w:val="single" w:sz="8" w:space="0" w:color="B3CC82"/>
            </w:tcBorders>
          </w:tcPr>
          <w:p w14:paraId="1B188884" w14:textId="77777777" w:rsidR="00304045" w:rsidRPr="00552F89" w:rsidRDefault="00304045" w:rsidP="00304045">
            <w:pPr>
              <w:autoSpaceDE w:val="0"/>
              <w:autoSpaceDN w:val="0"/>
              <w:adjustRightInd w:val="0"/>
              <w:spacing w:before="0" w:after="60"/>
              <w:ind w:left="0"/>
              <w:jc w:val="center"/>
              <w:rPr>
                <w:lang w:eastAsia="en-NZ"/>
              </w:rPr>
            </w:pPr>
            <w:r>
              <w:rPr>
                <w:lang w:eastAsia="en-NZ"/>
              </w:rPr>
              <w:t>3</w:t>
            </w:r>
          </w:p>
        </w:tc>
      </w:tr>
      <w:tr w:rsidR="00304045" w:rsidRPr="009D233A" w14:paraId="558B671F" w14:textId="77777777" w:rsidTr="00304045">
        <w:tc>
          <w:tcPr>
            <w:tcW w:w="1559" w:type="dxa"/>
            <w:tcBorders>
              <w:right w:val="single" w:sz="8" w:space="0" w:color="B3CC82"/>
            </w:tcBorders>
            <w:shd w:val="clear" w:color="auto" w:fill="auto"/>
          </w:tcPr>
          <w:p w14:paraId="25A8442D" w14:textId="77777777" w:rsidR="00304045" w:rsidRDefault="00304045" w:rsidP="005D5ADA">
            <w:pPr>
              <w:autoSpaceDE w:val="0"/>
              <w:autoSpaceDN w:val="0"/>
              <w:adjustRightInd w:val="0"/>
              <w:spacing w:before="0" w:after="60"/>
              <w:ind w:left="0"/>
              <w:rPr>
                <w:lang w:eastAsia="en-NZ"/>
              </w:rPr>
            </w:pPr>
            <w:r>
              <w:rPr>
                <w:lang w:eastAsia="en-NZ"/>
              </w:rPr>
              <w:t>High needs</w:t>
            </w:r>
          </w:p>
        </w:tc>
        <w:tc>
          <w:tcPr>
            <w:tcW w:w="3544" w:type="dxa"/>
            <w:tcBorders>
              <w:right w:val="single" w:sz="8" w:space="0" w:color="B3CC82"/>
            </w:tcBorders>
            <w:shd w:val="clear" w:color="auto" w:fill="E6EED5"/>
          </w:tcPr>
          <w:p w14:paraId="434C26CC" w14:textId="77777777" w:rsidR="00304045" w:rsidRPr="006D0F2A" w:rsidRDefault="00304045" w:rsidP="005D5ADA">
            <w:pPr>
              <w:autoSpaceDE w:val="0"/>
              <w:autoSpaceDN w:val="0"/>
              <w:adjustRightInd w:val="0"/>
              <w:spacing w:before="0" w:after="60"/>
              <w:ind w:left="0"/>
              <w:rPr>
                <w:b/>
                <w:bCs/>
                <w:lang w:eastAsia="en-NZ"/>
              </w:rPr>
            </w:pPr>
            <w:r>
              <w:rPr>
                <w:lang w:eastAsia="en-NZ"/>
              </w:rPr>
              <w:t>High needs practice population</w:t>
            </w:r>
          </w:p>
        </w:tc>
        <w:tc>
          <w:tcPr>
            <w:tcW w:w="2835" w:type="dxa"/>
            <w:tcBorders>
              <w:left w:val="single" w:sz="8" w:space="0" w:color="B3CC82"/>
            </w:tcBorders>
            <w:shd w:val="clear" w:color="auto" w:fill="E6EED5"/>
          </w:tcPr>
          <w:p w14:paraId="5B793FA4" w14:textId="77777777" w:rsidR="00304045" w:rsidRDefault="00304045" w:rsidP="00304045">
            <w:pPr>
              <w:autoSpaceDE w:val="0"/>
              <w:autoSpaceDN w:val="0"/>
              <w:adjustRightInd w:val="0"/>
              <w:spacing w:before="0" w:after="60"/>
              <w:ind w:left="0"/>
              <w:jc w:val="center"/>
              <w:rPr>
                <w:lang w:eastAsia="en-NZ"/>
              </w:rPr>
            </w:pPr>
            <w:r>
              <w:rPr>
                <w:lang w:eastAsia="en-NZ"/>
              </w:rPr>
              <w:t>4</w:t>
            </w:r>
          </w:p>
        </w:tc>
      </w:tr>
      <w:tr w:rsidR="00304045" w:rsidRPr="009D233A" w14:paraId="0C3D5322" w14:textId="77777777" w:rsidTr="00304045">
        <w:tc>
          <w:tcPr>
            <w:tcW w:w="5103" w:type="dxa"/>
            <w:gridSpan w:val="2"/>
            <w:tcBorders>
              <w:right w:val="single" w:sz="8" w:space="0" w:color="B3CC82"/>
            </w:tcBorders>
          </w:tcPr>
          <w:p w14:paraId="5FFFE35B" w14:textId="77777777" w:rsidR="00304045" w:rsidRPr="006D0F2A" w:rsidRDefault="00304045" w:rsidP="005D5ADA">
            <w:pPr>
              <w:autoSpaceDE w:val="0"/>
              <w:autoSpaceDN w:val="0"/>
              <w:adjustRightInd w:val="0"/>
              <w:spacing w:before="0" w:after="60"/>
              <w:ind w:left="0"/>
              <w:rPr>
                <w:b/>
                <w:bCs/>
                <w:lang w:eastAsia="en-NZ"/>
              </w:rPr>
            </w:pPr>
            <w:r>
              <w:rPr>
                <w:lang w:eastAsia="en-NZ"/>
              </w:rPr>
              <w:t>Total number of practices</w:t>
            </w:r>
          </w:p>
        </w:tc>
        <w:tc>
          <w:tcPr>
            <w:tcW w:w="2835" w:type="dxa"/>
            <w:tcBorders>
              <w:left w:val="single" w:sz="8" w:space="0" w:color="B3CC82"/>
            </w:tcBorders>
          </w:tcPr>
          <w:p w14:paraId="76C204C1" w14:textId="77777777" w:rsidR="00304045" w:rsidRDefault="00304045" w:rsidP="00304045">
            <w:pPr>
              <w:autoSpaceDE w:val="0"/>
              <w:autoSpaceDN w:val="0"/>
              <w:adjustRightInd w:val="0"/>
              <w:spacing w:before="0" w:after="60"/>
              <w:ind w:left="0"/>
              <w:jc w:val="center"/>
              <w:rPr>
                <w:lang w:eastAsia="en-NZ"/>
              </w:rPr>
            </w:pPr>
            <w:r>
              <w:rPr>
                <w:lang w:eastAsia="en-NZ"/>
              </w:rPr>
              <w:t>10</w:t>
            </w:r>
          </w:p>
        </w:tc>
      </w:tr>
    </w:tbl>
    <w:p w14:paraId="27AAEBF0" w14:textId="77777777" w:rsidR="00BF1548" w:rsidRDefault="005748A9" w:rsidP="00EF1D54">
      <w:r>
        <w:t xml:space="preserve">Interviews were also undertaken with key </w:t>
      </w:r>
      <w:r w:rsidR="00392892">
        <w:t xml:space="preserve">WDHB </w:t>
      </w:r>
      <w:r>
        <w:t xml:space="preserve">BSP staff who interface with </w:t>
      </w:r>
      <w:r w:rsidR="00392892">
        <w:t>g</w:t>
      </w:r>
      <w:r>
        <w:t xml:space="preserve">eneral </w:t>
      </w:r>
      <w:r w:rsidR="00392892">
        <w:t>p</w:t>
      </w:r>
      <w:r>
        <w:t xml:space="preserve">ractice and Primary Health Organisations.  </w:t>
      </w:r>
      <w:r w:rsidR="00EF1D54">
        <w:t xml:space="preserve">In total, </w:t>
      </w:r>
      <w:r>
        <w:t>2</w:t>
      </w:r>
      <w:r w:rsidR="00E96FF5">
        <w:t>3</w:t>
      </w:r>
      <w:r w:rsidR="007F73F7">
        <w:t xml:space="preserve"> </w:t>
      </w:r>
      <w:r>
        <w:t xml:space="preserve">people </w:t>
      </w:r>
      <w:r w:rsidR="00EF1D54">
        <w:t xml:space="preserve">participated in an interview.  </w:t>
      </w:r>
    </w:p>
    <w:p w14:paraId="632A0C95" w14:textId="77777777" w:rsidR="00EF1D54" w:rsidRDefault="00EF1D54" w:rsidP="00EF1D54">
      <w:r>
        <w:t xml:space="preserve">Table 2 details the interviews undertaken by provider type.  </w:t>
      </w:r>
    </w:p>
    <w:p w14:paraId="5F31AB62" w14:textId="77777777" w:rsidR="00F87BC5" w:rsidRDefault="00F87BC5">
      <w:pPr>
        <w:spacing w:before="0"/>
        <w:ind w:left="0"/>
        <w:rPr>
          <w:b/>
        </w:rPr>
      </w:pPr>
      <w:r>
        <w:br w:type="page"/>
      </w:r>
    </w:p>
    <w:p w14:paraId="0F88C717" w14:textId="77777777" w:rsidR="00EF1D54" w:rsidRDefault="00EF1D54" w:rsidP="005A572E">
      <w:pPr>
        <w:pStyle w:val="Heading4"/>
        <w:spacing w:before="120" w:after="0"/>
      </w:pPr>
      <w:r w:rsidRPr="00526904">
        <w:lastRenderedPageBreak/>
        <w:t xml:space="preserve">Table </w:t>
      </w:r>
      <w:r w:rsidR="00F87BC5">
        <w:t>2</w:t>
      </w:r>
      <w:r w:rsidRPr="00526904">
        <w:t xml:space="preserve">: </w:t>
      </w:r>
      <w:r>
        <w:t xml:space="preserve">Sample achieved by provider type </w:t>
      </w:r>
    </w:p>
    <w:tbl>
      <w:tblPr>
        <w:tblW w:w="0" w:type="auto"/>
        <w:tblInd w:w="817" w:type="dxa"/>
        <w:tblBorders>
          <w:top w:val="single" w:sz="8" w:space="0" w:color="B3CC82"/>
          <w:left w:val="single" w:sz="8" w:space="0" w:color="B3CC82"/>
          <w:bottom w:val="single" w:sz="8" w:space="0" w:color="B3CC82"/>
          <w:right w:val="single" w:sz="8" w:space="0" w:color="B3CC82"/>
          <w:insideH w:val="single" w:sz="8" w:space="0" w:color="B3CC82"/>
        </w:tblBorders>
        <w:tblLook w:val="00A0" w:firstRow="1" w:lastRow="0" w:firstColumn="1" w:lastColumn="0" w:noHBand="0" w:noVBand="0"/>
      </w:tblPr>
      <w:tblGrid>
        <w:gridCol w:w="5103"/>
        <w:gridCol w:w="2835"/>
      </w:tblGrid>
      <w:tr w:rsidR="00355CEF" w:rsidRPr="00556F25" w14:paraId="4D7FF0BD" w14:textId="77777777" w:rsidTr="005748A9">
        <w:tc>
          <w:tcPr>
            <w:tcW w:w="5103" w:type="dxa"/>
            <w:tcBorders>
              <w:right w:val="single" w:sz="8" w:space="0" w:color="B3CC82"/>
            </w:tcBorders>
            <w:shd w:val="clear" w:color="auto" w:fill="9BBB59"/>
          </w:tcPr>
          <w:p w14:paraId="0D4A73D5" w14:textId="77777777" w:rsidR="00355CEF" w:rsidRPr="00556F25" w:rsidRDefault="00355CEF" w:rsidP="005D5ADA">
            <w:pPr>
              <w:autoSpaceDE w:val="0"/>
              <w:autoSpaceDN w:val="0"/>
              <w:adjustRightInd w:val="0"/>
              <w:spacing w:before="0" w:after="60"/>
              <w:ind w:left="0"/>
              <w:rPr>
                <w:b/>
                <w:bCs/>
                <w:lang w:eastAsia="en-NZ"/>
              </w:rPr>
            </w:pPr>
            <w:r w:rsidRPr="00556F25">
              <w:rPr>
                <w:b/>
                <w:lang w:eastAsia="en-NZ"/>
              </w:rPr>
              <w:t xml:space="preserve">Provider type </w:t>
            </w:r>
          </w:p>
        </w:tc>
        <w:tc>
          <w:tcPr>
            <w:tcW w:w="2835" w:type="dxa"/>
            <w:tcBorders>
              <w:left w:val="single" w:sz="8" w:space="0" w:color="B3CC82"/>
            </w:tcBorders>
            <w:shd w:val="clear" w:color="auto" w:fill="9BBB59"/>
          </w:tcPr>
          <w:p w14:paraId="7C4A67E0" w14:textId="77777777" w:rsidR="00355CEF" w:rsidRPr="00556F25" w:rsidRDefault="00355CEF" w:rsidP="005D5ADA">
            <w:pPr>
              <w:autoSpaceDE w:val="0"/>
              <w:autoSpaceDN w:val="0"/>
              <w:adjustRightInd w:val="0"/>
              <w:spacing w:before="0" w:after="60"/>
              <w:ind w:left="0"/>
              <w:jc w:val="center"/>
              <w:rPr>
                <w:b/>
                <w:bCs/>
                <w:lang w:eastAsia="en-NZ"/>
              </w:rPr>
            </w:pPr>
            <w:r w:rsidRPr="00556F25">
              <w:rPr>
                <w:b/>
                <w:lang w:eastAsia="en-NZ"/>
              </w:rPr>
              <w:t xml:space="preserve">Number </w:t>
            </w:r>
          </w:p>
        </w:tc>
      </w:tr>
      <w:tr w:rsidR="00355CEF" w:rsidRPr="009D233A" w14:paraId="5A29B458" w14:textId="77777777" w:rsidTr="005748A9">
        <w:tc>
          <w:tcPr>
            <w:tcW w:w="5103" w:type="dxa"/>
            <w:tcBorders>
              <w:right w:val="single" w:sz="8" w:space="0" w:color="B3CC82"/>
            </w:tcBorders>
            <w:shd w:val="clear" w:color="auto" w:fill="E6EED5"/>
          </w:tcPr>
          <w:p w14:paraId="40435FF2" w14:textId="77777777" w:rsidR="00355CEF" w:rsidRPr="006D0F2A" w:rsidRDefault="00355CEF" w:rsidP="005D5ADA">
            <w:pPr>
              <w:autoSpaceDE w:val="0"/>
              <w:autoSpaceDN w:val="0"/>
              <w:adjustRightInd w:val="0"/>
              <w:spacing w:before="0" w:after="60"/>
              <w:ind w:left="0"/>
              <w:rPr>
                <w:b/>
                <w:bCs/>
                <w:lang w:eastAsia="en-NZ"/>
              </w:rPr>
            </w:pPr>
            <w:r>
              <w:rPr>
                <w:lang w:eastAsia="en-NZ"/>
              </w:rPr>
              <w:t>WDHB (including endoscopy nurses)</w:t>
            </w:r>
          </w:p>
        </w:tc>
        <w:tc>
          <w:tcPr>
            <w:tcW w:w="2835" w:type="dxa"/>
            <w:tcBorders>
              <w:left w:val="single" w:sz="8" w:space="0" w:color="B3CC82"/>
            </w:tcBorders>
            <w:shd w:val="clear" w:color="auto" w:fill="E6EED5"/>
          </w:tcPr>
          <w:p w14:paraId="73C4A638" w14:textId="77777777" w:rsidR="00355CEF" w:rsidRPr="006D0F2A" w:rsidRDefault="00355CEF" w:rsidP="005D5ADA">
            <w:pPr>
              <w:autoSpaceDE w:val="0"/>
              <w:autoSpaceDN w:val="0"/>
              <w:adjustRightInd w:val="0"/>
              <w:spacing w:before="0" w:after="60"/>
              <w:ind w:left="0"/>
              <w:jc w:val="center"/>
              <w:rPr>
                <w:bCs/>
                <w:lang w:eastAsia="en-NZ"/>
              </w:rPr>
            </w:pPr>
            <w:r>
              <w:rPr>
                <w:bCs/>
                <w:lang w:eastAsia="en-NZ"/>
              </w:rPr>
              <w:t>3</w:t>
            </w:r>
          </w:p>
        </w:tc>
      </w:tr>
      <w:tr w:rsidR="00355CEF" w:rsidRPr="009D233A" w14:paraId="234D0718" w14:textId="77777777" w:rsidTr="005748A9">
        <w:tc>
          <w:tcPr>
            <w:tcW w:w="5103" w:type="dxa"/>
            <w:tcBorders>
              <w:right w:val="single" w:sz="8" w:space="0" w:color="B3CC82"/>
            </w:tcBorders>
            <w:shd w:val="clear" w:color="auto" w:fill="auto"/>
          </w:tcPr>
          <w:p w14:paraId="0CF87381" w14:textId="77777777" w:rsidR="00355CEF" w:rsidRPr="006D0F2A" w:rsidRDefault="00355CEF" w:rsidP="00355CEF">
            <w:pPr>
              <w:autoSpaceDE w:val="0"/>
              <w:autoSpaceDN w:val="0"/>
              <w:adjustRightInd w:val="0"/>
              <w:spacing w:before="0" w:after="60"/>
              <w:ind w:left="0"/>
              <w:rPr>
                <w:b/>
                <w:bCs/>
                <w:lang w:eastAsia="en-NZ"/>
              </w:rPr>
            </w:pPr>
            <w:r>
              <w:rPr>
                <w:lang w:eastAsia="en-NZ"/>
              </w:rPr>
              <w:t>Primary Health Organisations</w:t>
            </w:r>
          </w:p>
        </w:tc>
        <w:tc>
          <w:tcPr>
            <w:tcW w:w="2835" w:type="dxa"/>
            <w:tcBorders>
              <w:left w:val="single" w:sz="8" w:space="0" w:color="B3CC82"/>
            </w:tcBorders>
            <w:shd w:val="clear" w:color="auto" w:fill="auto"/>
          </w:tcPr>
          <w:p w14:paraId="3273E60B" w14:textId="77777777" w:rsidR="00355CEF" w:rsidRPr="006D0F2A" w:rsidRDefault="00355CEF" w:rsidP="005D5ADA">
            <w:pPr>
              <w:autoSpaceDE w:val="0"/>
              <w:autoSpaceDN w:val="0"/>
              <w:adjustRightInd w:val="0"/>
              <w:spacing w:before="0" w:after="60"/>
              <w:ind w:left="0"/>
              <w:jc w:val="center"/>
              <w:rPr>
                <w:bCs/>
                <w:lang w:eastAsia="en-NZ"/>
              </w:rPr>
            </w:pPr>
            <w:r>
              <w:rPr>
                <w:bCs/>
                <w:lang w:eastAsia="en-NZ"/>
              </w:rPr>
              <w:t>2</w:t>
            </w:r>
          </w:p>
        </w:tc>
      </w:tr>
      <w:tr w:rsidR="00355CEF" w:rsidRPr="009D233A" w14:paraId="000B7E89" w14:textId="77777777" w:rsidTr="005748A9">
        <w:tc>
          <w:tcPr>
            <w:tcW w:w="5103" w:type="dxa"/>
            <w:tcBorders>
              <w:right w:val="single" w:sz="8" w:space="0" w:color="B3CC82"/>
            </w:tcBorders>
            <w:shd w:val="clear" w:color="auto" w:fill="E6EED5"/>
          </w:tcPr>
          <w:p w14:paraId="5D15E80D" w14:textId="77777777" w:rsidR="00355CEF" w:rsidRPr="006D0F2A" w:rsidRDefault="00355CEF" w:rsidP="005D5ADA">
            <w:pPr>
              <w:autoSpaceDE w:val="0"/>
              <w:autoSpaceDN w:val="0"/>
              <w:adjustRightInd w:val="0"/>
              <w:spacing w:before="0" w:after="60"/>
              <w:ind w:left="0"/>
              <w:rPr>
                <w:b/>
                <w:bCs/>
                <w:lang w:eastAsia="en-NZ"/>
              </w:rPr>
            </w:pPr>
            <w:r>
              <w:rPr>
                <w:lang w:eastAsia="en-NZ"/>
              </w:rPr>
              <w:t xml:space="preserve">General practitioners </w:t>
            </w:r>
          </w:p>
        </w:tc>
        <w:tc>
          <w:tcPr>
            <w:tcW w:w="2835" w:type="dxa"/>
            <w:tcBorders>
              <w:left w:val="single" w:sz="8" w:space="0" w:color="B3CC82"/>
            </w:tcBorders>
            <w:shd w:val="clear" w:color="auto" w:fill="E6EED5"/>
          </w:tcPr>
          <w:p w14:paraId="2C742DBD" w14:textId="77777777" w:rsidR="00355CEF" w:rsidRPr="006D0F2A" w:rsidRDefault="005748A9" w:rsidP="005D5ADA">
            <w:pPr>
              <w:autoSpaceDE w:val="0"/>
              <w:autoSpaceDN w:val="0"/>
              <w:adjustRightInd w:val="0"/>
              <w:spacing w:before="0" w:after="60"/>
              <w:ind w:left="0"/>
              <w:jc w:val="center"/>
              <w:rPr>
                <w:bCs/>
                <w:lang w:eastAsia="en-NZ"/>
              </w:rPr>
            </w:pPr>
            <w:r>
              <w:rPr>
                <w:bCs/>
                <w:lang w:eastAsia="en-NZ"/>
              </w:rPr>
              <w:t>9</w:t>
            </w:r>
          </w:p>
        </w:tc>
      </w:tr>
      <w:tr w:rsidR="00355CEF" w:rsidRPr="009D233A" w14:paraId="2C79C1E2" w14:textId="77777777" w:rsidTr="005748A9">
        <w:tc>
          <w:tcPr>
            <w:tcW w:w="5103" w:type="dxa"/>
            <w:tcBorders>
              <w:right w:val="single" w:sz="8" w:space="0" w:color="B3CC82"/>
            </w:tcBorders>
          </w:tcPr>
          <w:p w14:paraId="5401FD33" w14:textId="77777777" w:rsidR="00355CEF" w:rsidRPr="006D0F2A" w:rsidRDefault="00355CEF" w:rsidP="00355CEF">
            <w:pPr>
              <w:autoSpaceDE w:val="0"/>
              <w:autoSpaceDN w:val="0"/>
              <w:adjustRightInd w:val="0"/>
              <w:spacing w:before="0" w:after="60"/>
              <w:ind w:left="0"/>
              <w:rPr>
                <w:b/>
                <w:bCs/>
                <w:lang w:eastAsia="en-NZ"/>
              </w:rPr>
            </w:pPr>
            <w:r>
              <w:rPr>
                <w:lang w:eastAsia="en-NZ"/>
              </w:rPr>
              <w:t xml:space="preserve">Practice nurses </w:t>
            </w:r>
          </w:p>
        </w:tc>
        <w:tc>
          <w:tcPr>
            <w:tcW w:w="2835" w:type="dxa"/>
            <w:tcBorders>
              <w:left w:val="single" w:sz="8" w:space="0" w:color="B3CC82"/>
            </w:tcBorders>
          </w:tcPr>
          <w:p w14:paraId="6B5B668B" w14:textId="77777777" w:rsidR="00355CEF" w:rsidRPr="006D0F2A" w:rsidRDefault="005748A9" w:rsidP="005D5ADA">
            <w:pPr>
              <w:autoSpaceDE w:val="0"/>
              <w:autoSpaceDN w:val="0"/>
              <w:adjustRightInd w:val="0"/>
              <w:spacing w:before="0" w:after="60"/>
              <w:ind w:left="0"/>
              <w:jc w:val="center"/>
              <w:rPr>
                <w:bCs/>
                <w:lang w:eastAsia="en-NZ"/>
              </w:rPr>
            </w:pPr>
            <w:r>
              <w:rPr>
                <w:bCs/>
                <w:lang w:eastAsia="en-NZ"/>
              </w:rPr>
              <w:t>5</w:t>
            </w:r>
          </w:p>
        </w:tc>
      </w:tr>
      <w:tr w:rsidR="00355CEF" w:rsidRPr="009D233A" w14:paraId="74E8B22C" w14:textId="77777777" w:rsidTr="00556F25">
        <w:trPr>
          <w:trHeight w:val="353"/>
        </w:trPr>
        <w:tc>
          <w:tcPr>
            <w:tcW w:w="5103" w:type="dxa"/>
            <w:tcBorders>
              <w:right w:val="single" w:sz="8" w:space="0" w:color="B3CC82"/>
            </w:tcBorders>
            <w:shd w:val="clear" w:color="auto" w:fill="E6EED5"/>
          </w:tcPr>
          <w:p w14:paraId="560FB76B" w14:textId="77777777" w:rsidR="00355CEF" w:rsidRPr="006D0F2A" w:rsidRDefault="00355CEF" w:rsidP="005D5ADA">
            <w:pPr>
              <w:autoSpaceDE w:val="0"/>
              <w:autoSpaceDN w:val="0"/>
              <w:adjustRightInd w:val="0"/>
              <w:spacing w:before="0" w:after="60"/>
              <w:ind w:left="0"/>
              <w:rPr>
                <w:b/>
                <w:bCs/>
                <w:lang w:eastAsia="en-NZ"/>
              </w:rPr>
            </w:pPr>
            <w:r>
              <w:rPr>
                <w:lang w:eastAsia="en-NZ"/>
              </w:rPr>
              <w:t xml:space="preserve">Practice managers </w:t>
            </w:r>
          </w:p>
        </w:tc>
        <w:tc>
          <w:tcPr>
            <w:tcW w:w="2835" w:type="dxa"/>
            <w:tcBorders>
              <w:left w:val="single" w:sz="8" w:space="0" w:color="B3CC82"/>
            </w:tcBorders>
            <w:shd w:val="clear" w:color="auto" w:fill="E6EED5"/>
          </w:tcPr>
          <w:p w14:paraId="33FC662E" w14:textId="77777777" w:rsidR="00355CEF" w:rsidRPr="006D0F2A" w:rsidRDefault="005748A9" w:rsidP="005D5ADA">
            <w:pPr>
              <w:autoSpaceDE w:val="0"/>
              <w:autoSpaceDN w:val="0"/>
              <w:adjustRightInd w:val="0"/>
              <w:spacing w:before="0" w:after="60"/>
              <w:ind w:left="0"/>
              <w:jc w:val="center"/>
              <w:rPr>
                <w:bCs/>
                <w:lang w:eastAsia="en-NZ"/>
              </w:rPr>
            </w:pPr>
            <w:r>
              <w:rPr>
                <w:bCs/>
                <w:lang w:eastAsia="en-NZ"/>
              </w:rPr>
              <w:t>2</w:t>
            </w:r>
          </w:p>
        </w:tc>
      </w:tr>
      <w:tr w:rsidR="00556F25" w:rsidRPr="00556F25" w14:paraId="29D5DAB9" w14:textId="77777777" w:rsidTr="005748A9">
        <w:tc>
          <w:tcPr>
            <w:tcW w:w="5103" w:type="dxa"/>
            <w:tcBorders>
              <w:right w:val="single" w:sz="8" w:space="0" w:color="B3CC82"/>
            </w:tcBorders>
          </w:tcPr>
          <w:p w14:paraId="1E083C6B" w14:textId="77777777" w:rsidR="00556F25" w:rsidRPr="00556F25" w:rsidRDefault="00556F25" w:rsidP="005D5ADA">
            <w:pPr>
              <w:autoSpaceDE w:val="0"/>
              <w:autoSpaceDN w:val="0"/>
              <w:adjustRightInd w:val="0"/>
              <w:spacing w:before="0" w:after="60"/>
              <w:ind w:left="0"/>
              <w:rPr>
                <w:lang w:eastAsia="en-NZ"/>
              </w:rPr>
            </w:pPr>
            <w:r w:rsidRPr="00556F25">
              <w:rPr>
                <w:lang w:eastAsia="en-NZ"/>
              </w:rPr>
              <w:t xml:space="preserve">Other practice staff </w:t>
            </w:r>
          </w:p>
        </w:tc>
        <w:tc>
          <w:tcPr>
            <w:tcW w:w="2835" w:type="dxa"/>
            <w:tcBorders>
              <w:left w:val="single" w:sz="8" w:space="0" w:color="B3CC82"/>
            </w:tcBorders>
          </w:tcPr>
          <w:p w14:paraId="3D02A738" w14:textId="77777777" w:rsidR="00556F25" w:rsidRPr="00556F25" w:rsidRDefault="00556F25" w:rsidP="005D5ADA">
            <w:pPr>
              <w:autoSpaceDE w:val="0"/>
              <w:autoSpaceDN w:val="0"/>
              <w:adjustRightInd w:val="0"/>
              <w:spacing w:before="0" w:after="60"/>
              <w:ind w:left="0"/>
              <w:jc w:val="center"/>
              <w:rPr>
                <w:bCs/>
                <w:lang w:eastAsia="en-NZ"/>
              </w:rPr>
            </w:pPr>
            <w:r w:rsidRPr="00556F25">
              <w:rPr>
                <w:bCs/>
                <w:lang w:eastAsia="en-NZ"/>
              </w:rPr>
              <w:t>2</w:t>
            </w:r>
          </w:p>
        </w:tc>
      </w:tr>
      <w:tr w:rsidR="00355CEF" w:rsidRPr="005748A9" w14:paraId="2EBC0A63" w14:textId="77777777" w:rsidTr="00556F25">
        <w:tc>
          <w:tcPr>
            <w:tcW w:w="5103" w:type="dxa"/>
            <w:tcBorders>
              <w:right w:val="single" w:sz="8" w:space="0" w:color="B3CC82"/>
            </w:tcBorders>
            <w:shd w:val="clear" w:color="auto" w:fill="EAF1DD" w:themeFill="accent3" w:themeFillTint="33"/>
          </w:tcPr>
          <w:p w14:paraId="0C34BAB6" w14:textId="77777777" w:rsidR="00355CEF" w:rsidRPr="005748A9" w:rsidRDefault="005748A9" w:rsidP="005D5ADA">
            <w:pPr>
              <w:autoSpaceDE w:val="0"/>
              <w:autoSpaceDN w:val="0"/>
              <w:adjustRightInd w:val="0"/>
              <w:spacing w:before="0" w:after="60"/>
              <w:ind w:left="0"/>
              <w:rPr>
                <w:b/>
                <w:lang w:eastAsia="en-NZ"/>
              </w:rPr>
            </w:pPr>
            <w:r w:rsidRPr="005748A9">
              <w:rPr>
                <w:b/>
                <w:lang w:eastAsia="en-NZ"/>
              </w:rPr>
              <w:t xml:space="preserve">Total </w:t>
            </w:r>
          </w:p>
        </w:tc>
        <w:tc>
          <w:tcPr>
            <w:tcW w:w="2835" w:type="dxa"/>
            <w:tcBorders>
              <w:left w:val="single" w:sz="8" w:space="0" w:color="B3CC82"/>
            </w:tcBorders>
            <w:shd w:val="clear" w:color="auto" w:fill="EAF1DD" w:themeFill="accent3" w:themeFillTint="33"/>
          </w:tcPr>
          <w:p w14:paraId="5DEB80E0" w14:textId="77777777" w:rsidR="00355CEF" w:rsidRPr="005748A9" w:rsidRDefault="009B5662" w:rsidP="005D5ADA">
            <w:pPr>
              <w:autoSpaceDE w:val="0"/>
              <w:autoSpaceDN w:val="0"/>
              <w:adjustRightInd w:val="0"/>
              <w:spacing w:before="0" w:after="60"/>
              <w:ind w:left="0"/>
              <w:jc w:val="center"/>
              <w:rPr>
                <w:b/>
                <w:bCs/>
                <w:lang w:eastAsia="en-NZ"/>
              </w:rPr>
            </w:pPr>
            <w:r>
              <w:rPr>
                <w:b/>
                <w:bCs/>
                <w:lang w:eastAsia="en-NZ"/>
              </w:rPr>
              <w:t>23</w:t>
            </w:r>
          </w:p>
        </w:tc>
      </w:tr>
    </w:tbl>
    <w:p w14:paraId="7EE738D9" w14:textId="77777777" w:rsidR="00EF1D54" w:rsidRDefault="00EF1D54" w:rsidP="007620FE">
      <w:pPr>
        <w:pStyle w:val="Heading3"/>
      </w:pPr>
      <w:bookmarkStart w:id="40" w:name="_Toc356566321"/>
      <w:bookmarkStart w:id="41" w:name="_Toc376617514"/>
      <w:r>
        <w:t>Fieldwork</w:t>
      </w:r>
      <w:bookmarkEnd w:id="40"/>
      <w:bookmarkEnd w:id="41"/>
    </w:p>
    <w:p w14:paraId="077CE894" w14:textId="77777777" w:rsidR="005D5ADA" w:rsidRDefault="00EF1D54" w:rsidP="0085454A">
      <w:r>
        <w:t xml:space="preserve">Evaluators from Litmus </w:t>
      </w:r>
      <w:r w:rsidR="00392892">
        <w:t xml:space="preserve">and Integrity Professionals </w:t>
      </w:r>
      <w:r w:rsidRPr="009D233A">
        <w:t xml:space="preserve">visited </w:t>
      </w:r>
      <w:r>
        <w:t>W</w:t>
      </w:r>
      <w:r w:rsidRPr="009D233A">
        <w:t xml:space="preserve">DHB </w:t>
      </w:r>
      <w:r>
        <w:t xml:space="preserve">to undertake face-to-face </w:t>
      </w:r>
      <w:r w:rsidRPr="009D233A">
        <w:t>interviews</w:t>
      </w:r>
      <w:r w:rsidR="00F87BC5">
        <w:t xml:space="preserve"> with general practice staff</w:t>
      </w:r>
      <w:r>
        <w:t xml:space="preserve">. </w:t>
      </w:r>
      <w:r w:rsidR="0085454A" w:rsidRPr="005D5ADA">
        <w:t xml:space="preserve">Interviews </w:t>
      </w:r>
      <w:r w:rsidR="005D5ADA">
        <w:t>took</w:t>
      </w:r>
      <w:r w:rsidR="0085454A" w:rsidRPr="005D5ADA">
        <w:t xml:space="preserve"> between 30 and 60 minutes, dependent on roles and availability.  </w:t>
      </w:r>
    </w:p>
    <w:p w14:paraId="5DF32019" w14:textId="77777777" w:rsidR="0085454A" w:rsidRDefault="0085454A" w:rsidP="0085454A">
      <w:r w:rsidRPr="005D5ADA">
        <w:t xml:space="preserve">In line with </w:t>
      </w:r>
      <w:proofErr w:type="spellStart"/>
      <w:r w:rsidR="006A2C8B">
        <w:t>Waitematā</w:t>
      </w:r>
      <w:proofErr w:type="spellEnd"/>
      <w:r w:rsidR="00BF1548">
        <w:t xml:space="preserve"> </w:t>
      </w:r>
      <w:r w:rsidRPr="005D5ADA">
        <w:t>DHB’s Engagement and Consultation Financial Recognition Policy, general practices that participate</w:t>
      </w:r>
      <w:r w:rsidR="00F87BC5">
        <w:t>d</w:t>
      </w:r>
      <w:r w:rsidRPr="005D5ADA">
        <w:t xml:space="preserve"> in a face-to-face interview </w:t>
      </w:r>
      <w:r w:rsidR="005D5ADA">
        <w:t>could seek</w:t>
      </w:r>
      <w:r w:rsidRPr="005D5ADA">
        <w:t xml:space="preserve"> reimbursement of reasonable out-of-pocket expenses up to $125.</w:t>
      </w:r>
    </w:p>
    <w:p w14:paraId="532350F9" w14:textId="77777777" w:rsidR="00EF1D54" w:rsidRPr="005D5ADA" w:rsidRDefault="00EF1D54" w:rsidP="00EF1D54">
      <w:r>
        <w:t xml:space="preserve">Fieldwork was undertaken in October 2013.  </w:t>
      </w:r>
      <w:r w:rsidRPr="005D5ADA">
        <w:t xml:space="preserve">All interviews were audio-recorded and notes were taken during the interview.  All interviews followed an informed consent process. </w:t>
      </w:r>
    </w:p>
    <w:p w14:paraId="0CE63DE5" w14:textId="77777777" w:rsidR="00EF1D54" w:rsidRDefault="00EF1D54" w:rsidP="007620FE">
      <w:pPr>
        <w:pStyle w:val="Heading3"/>
      </w:pPr>
      <w:bookmarkStart w:id="42" w:name="_Toc356566322"/>
      <w:bookmarkStart w:id="43" w:name="_Toc376617515"/>
      <w:r w:rsidRPr="00503CDF">
        <w:t>Research questions</w:t>
      </w:r>
      <w:bookmarkEnd w:id="42"/>
      <w:bookmarkEnd w:id="43"/>
    </w:p>
    <w:p w14:paraId="77E14112" w14:textId="77777777" w:rsidR="00EF1D54" w:rsidRDefault="00337F2D" w:rsidP="00EF1D54">
      <w:r>
        <w:t>With regard to the role and value of general practice in the BSP, interviews</w:t>
      </w:r>
      <w:r w:rsidR="007F73F7">
        <w:t xml:space="preserve"> </w:t>
      </w:r>
      <w:r>
        <w:t xml:space="preserve">with staff from WDHB, PHOs, and general practice </w:t>
      </w:r>
      <w:r w:rsidR="00EF1D54">
        <w:t xml:space="preserve">focused on: </w:t>
      </w:r>
    </w:p>
    <w:p w14:paraId="178A494D" w14:textId="77777777" w:rsidR="005D5ADA" w:rsidRPr="005D5ADA" w:rsidRDefault="005D5ADA" w:rsidP="00CC5733">
      <w:pPr>
        <w:pStyle w:val="Bullet"/>
        <w:numPr>
          <w:ilvl w:val="0"/>
          <w:numId w:val="8"/>
        </w:numPr>
        <w:tabs>
          <w:tab w:val="num" w:pos="6663"/>
        </w:tabs>
        <w:rPr>
          <w:lang w:val="en-US"/>
        </w:rPr>
      </w:pPr>
      <w:r w:rsidRPr="005D5ADA">
        <w:rPr>
          <w:lang w:val="en-US"/>
        </w:rPr>
        <w:t xml:space="preserve">What </w:t>
      </w:r>
      <w:r>
        <w:rPr>
          <w:lang w:val="en-US"/>
        </w:rPr>
        <w:t>is general practices’ level</w:t>
      </w:r>
      <w:r w:rsidRPr="005D5ADA">
        <w:rPr>
          <w:lang w:val="en-US"/>
        </w:rPr>
        <w:t xml:space="preserve"> of understanding of their role in the BSP?</w:t>
      </w:r>
    </w:p>
    <w:p w14:paraId="2F2AC8E5" w14:textId="77777777" w:rsidR="005D5ADA" w:rsidRPr="005D5ADA" w:rsidRDefault="005D5ADA" w:rsidP="00CC5733">
      <w:pPr>
        <w:pStyle w:val="Bullet"/>
        <w:numPr>
          <w:ilvl w:val="0"/>
          <w:numId w:val="8"/>
        </w:numPr>
        <w:tabs>
          <w:tab w:val="num" w:pos="6663"/>
        </w:tabs>
        <w:rPr>
          <w:lang w:val="en-US"/>
        </w:rPr>
      </w:pPr>
      <w:r w:rsidRPr="005D5ADA">
        <w:rPr>
          <w:lang w:val="en-US"/>
        </w:rPr>
        <w:t xml:space="preserve">How are general practices practically managing their role in the BSP? </w:t>
      </w:r>
    </w:p>
    <w:p w14:paraId="1769BC54" w14:textId="77777777" w:rsidR="005D5ADA" w:rsidRPr="005D5ADA" w:rsidRDefault="005D5ADA" w:rsidP="00CC5733">
      <w:pPr>
        <w:pStyle w:val="Bullet"/>
        <w:numPr>
          <w:ilvl w:val="0"/>
          <w:numId w:val="8"/>
        </w:numPr>
        <w:tabs>
          <w:tab w:val="num" w:pos="6663"/>
        </w:tabs>
        <w:rPr>
          <w:lang w:val="en-US"/>
        </w:rPr>
      </w:pPr>
      <w:r w:rsidRPr="005D5ADA">
        <w:rPr>
          <w:lang w:val="en-US"/>
        </w:rPr>
        <w:t>How is the BSP impacting on general practice workload?</w:t>
      </w:r>
    </w:p>
    <w:p w14:paraId="4E6AB2C3" w14:textId="77777777" w:rsidR="005D5ADA" w:rsidRPr="005D5ADA" w:rsidRDefault="005D5ADA" w:rsidP="00CC5733">
      <w:pPr>
        <w:pStyle w:val="Bullet"/>
        <w:numPr>
          <w:ilvl w:val="0"/>
          <w:numId w:val="8"/>
        </w:numPr>
        <w:tabs>
          <w:tab w:val="num" w:pos="6663"/>
        </w:tabs>
        <w:rPr>
          <w:lang w:val="en-US"/>
        </w:rPr>
      </w:pPr>
      <w:r w:rsidRPr="005D5ADA">
        <w:rPr>
          <w:lang w:val="en-US"/>
        </w:rPr>
        <w:t xml:space="preserve">What are </w:t>
      </w:r>
      <w:r w:rsidR="00337F2D">
        <w:rPr>
          <w:lang w:val="en-US"/>
        </w:rPr>
        <w:t>their</w:t>
      </w:r>
      <w:r w:rsidRPr="005D5ADA">
        <w:rPr>
          <w:lang w:val="en-US"/>
        </w:rPr>
        <w:t xml:space="preserve"> attitudes</w:t>
      </w:r>
      <w:r>
        <w:rPr>
          <w:lang w:val="en-US"/>
        </w:rPr>
        <w:t xml:space="preserve"> and perceptions</w:t>
      </w:r>
      <w:r w:rsidRPr="005D5ADA">
        <w:rPr>
          <w:lang w:val="en-US"/>
        </w:rPr>
        <w:t xml:space="preserve"> to the BSP? </w:t>
      </w:r>
    </w:p>
    <w:p w14:paraId="6E58D148" w14:textId="77777777" w:rsidR="005D5ADA" w:rsidRPr="005D5ADA" w:rsidRDefault="005D5ADA" w:rsidP="00CC5733">
      <w:pPr>
        <w:pStyle w:val="Bullet"/>
        <w:numPr>
          <w:ilvl w:val="0"/>
          <w:numId w:val="8"/>
        </w:numPr>
        <w:tabs>
          <w:tab w:val="num" w:pos="6663"/>
        </w:tabs>
        <w:rPr>
          <w:lang w:val="en-US"/>
        </w:rPr>
      </w:pPr>
      <w:r>
        <w:rPr>
          <w:lang w:val="en-US"/>
        </w:rPr>
        <w:t>W</w:t>
      </w:r>
      <w:r w:rsidRPr="005D5ADA">
        <w:rPr>
          <w:lang w:val="en-US"/>
        </w:rPr>
        <w:t xml:space="preserve">hat </w:t>
      </w:r>
      <w:r w:rsidR="00337F2D">
        <w:rPr>
          <w:lang w:val="en-US"/>
        </w:rPr>
        <w:t xml:space="preserve">do they perceive as the </w:t>
      </w:r>
      <w:r w:rsidRPr="005D5ADA">
        <w:rPr>
          <w:lang w:val="en-US"/>
        </w:rPr>
        <w:t xml:space="preserve">value </w:t>
      </w:r>
      <w:r w:rsidR="00337F2D">
        <w:rPr>
          <w:lang w:val="en-US"/>
        </w:rPr>
        <w:t xml:space="preserve">for participants </w:t>
      </w:r>
      <w:r w:rsidRPr="005D5ADA">
        <w:rPr>
          <w:lang w:val="en-US"/>
        </w:rPr>
        <w:t>of having general practice involvement in the BSP?</w:t>
      </w:r>
    </w:p>
    <w:p w14:paraId="6061AD51" w14:textId="77777777" w:rsidR="005D5ADA" w:rsidRPr="00337F2D" w:rsidRDefault="005D5ADA" w:rsidP="00CC5733">
      <w:pPr>
        <w:pStyle w:val="Bullet"/>
        <w:numPr>
          <w:ilvl w:val="0"/>
          <w:numId w:val="8"/>
        </w:numPr>
        <w:tabs>
          <w:tab w:val="num" w:pos="6663"/>
        </w:tabs>
        <w:rPr>
          <w:lang w:val="en-US"/>
        </w:rPr>
      </w:pPr>
      <w:r w:rsidRPr="00337F2D">
        <w:rPr>
          <w:lang w:val="en-US"/>
        </w:rPr>
        <w:t xml:space="preserve">What are the disadvantages of having general practices involved in the BSP?  </w:t>
      </w:r>
    </w:p>
    <w:p w14:paraId="1E42E780" w14:textId="77777777" w:rsidR="00EF1D54" w:rsidRDefault="00EF1D54" w:rsidP="00EF1D54">
      <w:r>
        <w:t>Refer Appendix 1 for the information sheet, consent form and discussion guide.</w:t>
      </w:r>
    </w:p>
    <w:p w14:paraId="07B7E2A2" w14:textId="77777777" w:rsidR="007620FE" w:rsidRDefault="007620FE" w:rsidP="007620FE">
      <w:pPr>
        <w:pStyle w:val="Heading2"/>
        <w:spacing w:before="360"/>
      </w:pPr>
      <w:bookmarkStart w:id="44" w:name="_Toc380424704"/>
      <w:bookmarkStart w:id="45" w:name="_Toc356566323"/>
      <w:bookmarkStart w:id="46" w:name="_Toc376617516"/>
      <w:r w:rsidRPr="007C0ED3">
        <w:t>3.</w:t>
      </w:r>
      <w:r>
        <w:t>2</w:t>
      </w:r>
      <w:r w:rsidRPr="007C0ED3">
        <w:tab/>
      </w:r>
      <w:r>
        <w:t>Interviews with M</w:t>
      </w:r>
      <w:r w:rsidR="00BE3E95">
        <w:rPr>
          <w:rFonts w:cs="Arial"/>
        </w:rPr>
        <w:t>ā</w:t>
      </w:r>
      <w:r>
        <w:t>ori and Pacific BSP participants</w:t>
      </w:r>
      <w:bookmarkEnd w:id="44"/>
    </w:p>
    <w:p w14:paraId="347E1F1E" w14:textId="77777777" w:rsidR="007F73F7" w:rsidRDefault="00BE3E95" w:rsidP="00BE3E95">
      <w:bookmarkStart w:id="47" w:name="_Toc343789322"/>
      <w:r>
        <w:t xml:space="preserve">When the BSP Evaluation Plan was designed, it was initially intended that the </w:t>
      </w:r>
      <w:r w:rsidR="00D903CF">
        <w:t xml:space="preserve">2013 </w:t>
      </w:r>
      <w:r>
        <w:t xml:space="preserve">WDHB </w:t>
      </w:r>
      <w:r w:rsidRPr="00192DD8">
        <w:t>quantitative survey</w:t>
      </w:r>
      <w:r w:rsidR="00D903CF">
        <w:t xml:space="preserve"> wi</w:t>
      </w:r>
      <w:r w:rsidR="007F73F7">
        <w:t>th the eligible population in W</w:t>
      </w:r>
      <w:r w:rsidR="00D903CF">
        <w:t>D</w:t>
      </w:r>
      <w:r w:rsidR="007F73F7">
        <w:t>H</w:t>
      </w:r>
      <w:r w:rsidR="00D903CF">
        <w:t>B</w:t>
      </w:r>
      <w:r>
        <w:t xml:space="preserve"> would also be administered face-to-face to five M</w:t>
      </w:r>
      <w:r>
        <w:rPr>
          <w:rFonts w:cs="Arial"/>
        </w:rPr>
        <w:t>ā</w:t>
      </w:r>
      <w:r>
        <w:t>ori and five Pacific people to validate the CATI questionnaire.  This comparison was undertaken for the 2011 benchmark survey and no significant differences in the responses between the two delivery methods</w:t>
      </w:r>
      <w:r w:rsidR="00337F2D">
        <w:t xml:space="preserve"> were found</w:t>
      </w:r>
      <w:r>
        <w:t xml:space="preserve">.  </w:t>
      </w:r>
    </w:p>
    <w:p w14:paraId="657C9990" w14:textId="77777777" w:rsidR="00BE3E95" w:rsidRDefault="00BE3E95" w:rsidP="00BE3E95">
      <w:r>
        <w:lastRenderedPageBreak/>
        <w:t xml:space="preserve">After consultation with the Ministry and the Bowel Screening Evaluation Advisory Group, it was decided that interviews with </w:t>
      </w:r>
      <w:r w:rsidR="00337F2D">
        <w:t>M</w:t>
      </w:r>
      <w:r w:rsidR="00337F2D">
        <w:rPr>
          <w:rFonts w:cs="Arial"/>
        </w:rPr>
        <w:t>ā</w:t>
      </w:r>
      <w:r w:rsidR="00337F2D">
        <w:t xml:space="preserve">ori and Pacific </w:t>
      </w:r>
      <w:r>
        <w:t xml:space="preserve">BSP participants who had a positive </w:t>
      </w:r>
      <w:proofErr w:type="spellStart"/>
      <w:r>
        <w:t>iFOBT</w:t>
      </w:r>
      <w:proofErr w:type="spellEnd"/>
      <w:r>
        <w:t xml:space="preserve"> would be undertaken to explore </w:t>
      </w:r>
      <w:r w:rsidRPr="00192DD8">
        <w:t>the role of the general practice and the value this interaction added to their experience o</w:t>
      </w:r>
      <w:r>
        <w:t>f the BSP.  It was agreed that this approach</w:t>
      </w:r>
      <w:r w:rsidRPr="00BE3E95">
        <w:t xml:space="preserve"> offer</w:t>
      </w:r>
      <w:r>
        <w:t>ed</w:t>
      </w:r>
      <w:r w:rsidRPr="00BE3E95">
        <w:t xml:space="preserve"> greater insight into understanding the role of </w:t>
      </w:r>
      <w:r>
        <w:t>g</w:t>
      </w:r>
      <w:r w:rsidRPr="00BE3E95">
        <w:t xml:space="preserve">eneral </w:t>
      </w:r>
      <w:r>
        <w:t>p</w:t>
      </w:r>
      <w:r w:rsidRPr="00BE3E95">
        <w:t>ractice and offer</w:t>
      </w:r>
      <w:r>
        <w:t>ed</w:t>
      </w:r>
      <w:r w:rsidR="007F73F7">
        <w:t xml:space="preserve"> </w:t>
      </w:r>
      <w:r w:rsidRPr="00BE3E95">
        <w:t xml:space="preserve">more value than </w:t>
      </w:r>
      <w:r w:rsidR="00337F2D">
        <w:t>re</w:t>
      </w:r>
      <w:r w:rsidRPr="00BE3E95">
        <w:t>vali</w:t>
      </w:r>
      <w:r>
        <w:t xml:space="preserve">dating the questionnaire. </w:t>
      </w:r>
    </w:p>
    <w:p w14:paraId="781C1714" w14:textId="77777777" w:rsidR="00192DD8" w:rsidRPr="00EA119C" w:rsidRDefault="00192DD8" w:rsidP="00192DD8">
      <w:pPr>
        <w:pStyle w:val="Heading3"/>
      </w:pPr>
      <w:r>
        <w:t>Sample</w:t>
      </w:r>
      <w:bookmarkEnd w:id="47"/>
    </w:p>
    <w:p w14:paraId="68AE5E70" w14:textId="55629568" w:rsidR="001920F1" w:rsidRDefault="00192DD8" w:rsidP="00192DD8">
      <w:r w:rsidRPr="00DD0A99">
        <w:t xml:space="preserve">Face-to-face interviews were conducted with </w:t>
      </w:r>
      <w:r w:rsidR="000D7E64">
        <w:t xml:space="preserve">ten </w:t>
      </w:r>
      <w:r>
        <w:t xml:space="preserve">purposively </w:t>
      </w:r>
      <w:r w:rsidRPr="00DD0A99">
        <w:t>selected BSP participants</w:t>
      </w:r>
      <w:r w:rsidR="00337F2D">
        <w:t xml:space="preserve">.  All participants recruited had received a positive </w:t>
      </w:r>
      <w:proofErr w:type="spellStart"/>
      <w:r w:rsidR="00337F2D">
        <w:t>iFOBT</w:t>
      </w:r>
      <w:proofErr w:type="spellEnd"/>
      <w:r w:rsidR="00337F2D">
        <w:t xml:space="preserve"> result and had a colonoscopy</w:t>
      </w:r>
      <w:r w:rsidR="00CF4E72">
        <w:rPr>
          <w:rStyle w:val="FootnoteReference"/>
        </w:rPr>
        <w:footnoteReference w:id="5"/>
      </w:r>
      <w:r w:rsidR="00337F2D">
        <w:t xml:space="preserve">.  This enabled the exploration of the role of the general practice in </w:t>
      </w:r>
      <w:r w:rsidR="00222422">
        <w:t xml:space="preserve">telling participants </w:t>
      </w:r>
      <w:r w:rsidR="00CF4E72">
        <w:t>about the</w:t>
      </w:r>
      <w:r w:rsidR="00222422">
        <w:t>ir</w:t>
      </w:r>
      <w:r w:rsidR="00CF4E72">
        <w:t xml:space="preserve"> positive result. </w:t>
      </w:r>
    </w:p>
    <w:p w14:paraId="0469D86A" w14:textId="77777777" w:rsidR="00192DD8" w:rsidRDefault="001920F1" w:rsidP="00192DD8">
      <w:r w:rsidRPr="00DD0A99">
        <w:t>Recognising potential health inequalities</w:t>
      </w:r>
      <w:r>
        <w:t xml:space="preserve"> and the need to ensure the evaluation enables the voice of those </w:t>
      </w:r>
      <w:r w:rsidR="00D903CF">
        <w:t xml:space="preserve">less </w:t>
      </w:r>
      <w:r>
        <w:t xml:space="preserve">likely to do a phone survey, focus was placed interviewing </w:t>
      </w:r>
      <w:r w:rsidRPr="00DD0A99">
        <w:t>f</w:t>
      </w:r>
      <w:r>
        <w:t>ive</w:t>
      </w:r>
      <w:r w:rsidRPr="00DD0A99">
        <w:t xml:space="preserve"> M</w:t>
      </w:r>
      <w:r w:rsidRPr="00DD0A99">
        <w:rPr>
          <w:rFonts w:cs="Arial"/>
        </w:rPr>
        <w:t>ā</w:t>
      </w:r>
      <w:r>
        <w:t xml:space="preserve">ori and five </w:t>
      </w:r>
      <w:r w:rsidRPr="00DD0A99">
        <w:t xml:space="preserve">Pacific people.  </w:t>
      </w:r>
      <w:r w:rsidR="00D903CF">
        <w:t>To enable recall of the BSP process, M</w:t>
      </w:r>
      <w:r w:rsidR="00D903CF">
        <w:rPr>
          <w:rFonts w:cs="Arial"/>
        </w:rPr>
        <w:t>ā</w:t>
      </w:r>
      <w:r w:rsidR="00D903CF">
        <w:t xml:space="preserve">ori participants had undertaken the test in the last eight months.  </w:t>
      </w:r>
      <w:r w:rsidR="007F73F7">
        <w:t>Reflecting their relatively small number, t</w:t>
      </w:r>
      <w:r w:rsidR="00D903CF">
        <w:t>he sample</w:t>
      </w:r>
      <w:r w:rsidR="007F73F7">
        <w:t xml:space="preserve"> population </w:t>
      </w:r>
      <w:r w:rsidR="00D903CF">
        <w:t xml:space="preserve">for Pacific participants included all Pacific participants who had a positive </w:t>
      </w:r>
      <w:proofErr w:type="spellStart"/>
      <w:r w:rsidR="00D903CF">
        <w:t>iFOBT</w:t>
      </w:r>
      <w:proofErr w:type="spellEnd"/>
      <w:r w:rsidR="00D903CF">
        <w:t xml:space="preserve"> </w:t>
      </w:r>
      <w:r w:rsidR="007F73F7">
        <w:t>sinc</w:t>
      </w:r>
      <w:r w:rsidR="005A572E">
        <w:t xml:space="preserve">e the commencement of the Pilot.  </w:t>
      </w:r>
      <w:r w:rsidR="00192DD8" w:rsidRPr="00DD0A99">
        <w:t xml:space="preserve">Table </w:t>
      </w:r>
      <w:r w:rsidR="000A0D15">
        <w:t>3</w:t>
      </w:r>
      <w:r w:rsidR="00192DD8" w:rsidRPr="00DD0A99">
        <w:t xml:space="preserve"> presents the achieved purposive sample for the </w:t>
      </w:r>
      <w:r w:rsidR="007F73F7">
        <w:t xml:space="preserve">BSP </w:t>
      </w:r>
      <w:r w:rsidR="00192DD8" w:rsidRPr="00DD0A99">
        <w:t>participant</w:t>
      </w:r>
      <w:r w:rsidR="007F73F7">
        <w:t>s in 2013</w:t>
      </w:r>
      <w:r w:rsidR="00192DD8" w:rsidRPr="00DD0A99">
        <w:t>.</w:t>
      </w:r>
    </w:p>
    <w:p w14:paraId="6BA0194C" w14:textId="77777777" w:rsidR="00192DD8" w:rsidRDefault="00192DD8" w:rsidP="005A572E">
      <w:pPr>
        <w:pStyle w:val="Heading4"/>
        <w:spacing w:before="120" w:after="0"/>
      </w:pPr>
      <w:bookmarkStart w:id="48" w:name="_Toc343789323"/>
      <w:r w:rsidRPr="00BA530D">
        <w:t xml:space="preserve">Table </w:t>
      </w:r>
      <w:r w:rsidR="000A0D15" w:rsidRPr="00BA530D">
        <w:t>3</w:t>
      </w:r>
      <w:r w:rsidRPr="00BA530D">
        <w:t xml:space="preserve">: </w:t>
      </w:r>
      <w:r w:rsidR="00337F2D" w:rsidRPr="00BA530D">
        <w:t>BSP participant</w:t>
      </w:r>
      <w:r w:rsidRPr="00BA530D">
        <w:t xml:space="preserve"> sample achieved</w:t>
      </w:r>
      <w:bookmarkEnd w:id="48"/>
    </w:p>
    <w:tbl>
      <w:tblPr>
        <w:tblW w:w="8327" w:type="dxa"/>
        <w:tblInd w:w="817" w:type="dxa"/>
        <w:tblCellMar>
          <w:left w:w="0" w:type="dxa"/>
          <w:right w:w="0" w:type="dxa"/>
        </w:tblCellMar>
        <w:tblLook w:val="04A0" w:firstRow="1" w:lastRow="0" w:firstColumn="1" w:lastColumn="0" w:noHBand="0" w:noVBand="1"/>
      </w:tblPr>
      <w:tblGrid>
        <w:gridCol w:w="3827"/>
        <w:gridCol w:w="2250"/>
        <w:gridCol w:w="2250"/>
      </w:tblGrid>
      <w:tr w:rsidR="00337F2D" w:rsidRPr="00337F2D" w14:paraId="70E7A4BF" w14:textId="77777777" w:rsidTr="001920F1">
        <w:tc>
          <w:tcPr>
            <w:tcW w:w="3827" w:type="dxa"/>
            <w:tcBorders>
              <w:top w:val="single" w:sz="8" w:space="0" w:color="9BBB59"/>
              <w:left w:val="single" w:sz="8" w:space="0" w:color="9BBB59"/>
              <w:bottom w:val="nil"/>
              <w:right w:val="nil"/>
            </w:tcBorders>
            <w:shd w:val="clear" w:color="auto" w:fill="9BBB59"/>
            <w:tcMar>
              <w:top w:w="0" w:type="dxa"/>
              <w:left w:w="108" w:type="dxa"/>
              <w:bottom w:w="0" w:type="dxa"/>
              <w:right w:w="108" w:type="dxa"/>
            </w:tcMar>
            <w:hideMark/>
          </w:tcPr>
          <w:p w14:paraId="77F75AB0" w14:textId="77777777" w:rsidR="00337F2D" w:rsidRPr="00337F2D" w:rsidRDefault="00337F2D" w:rsidP="00337F2D">
            <w:pPr>
              <w:autoSpaceDE w:val="0"/>
              <w:autoSpaceDN w:val="0"/>
              <w:adjustRightInd w:val="0"/>
              <w:spacing w:before="0" w:after="120"/>
              <w:ind w:left="0"/>
              <w:rPr>
                <w:b/>
                <w:bCs/>
              </w:rPr>
            </w:pPr>
            <w:r w:rsidRPr="00337F2D">
              <w:rPr>
                <w:b/>
                <w:bCs/>
              </w:rPr>
              <w:t>Demographics</w:t>
            </w:r>
          </w:p>
        </w:tc>
        <w:tc>
          <w:tcPr>
            <w:tcW w:w="2250" w:type="dxa"/>
            <w:tcBorders>
              <w:top w:val="single" w:sz="8" w:space="0" w:color="9BBB59"/>
              <w:left w:val="nil"/>
              <w:bottom w:val="nil"/>
              <w:right w:val="nil"/>
            </w:tcBorders>
            <w:shd w:val="clear" w:color="auto" w:fill="9BBB59"/>
            <w:tcMar>
              <w:top w:w="0" w:type="dxa"/>
              <w:left w:w="108" w:type="dxa"/>
              <w:bottom w:w="0" w:type="dxa"/>
              <w:right w:w="108" w:type="dxa"/>
            </w:tcMar>
            <w:hideMark/>
          </w:tcPr>
          <w:p w14:paraId="675F094C" w14:textId="77777777" w:rsidR="00337F2D" w:rsidRPr="00337F2D" w:rsidRDefault="00337F2D" w:rsidP="00337F2D">
            <w:pPr>
              <w:autoSpaceDE w:val="0"/>
              <w:autoSpaceDN w:val="0"/>
              <w:adjustRightInd w:val="0"/>
              <w:spacing w:before="0" w:after="120"/>
              <w:ind w:left="0"/>
              <w:jc w:val="center"/>
              <w:rPr>
                <w:b/>
                <w:bCs/>
              </w:rPr>
            </w:pPr>
            <w:r w:rsidRPr="00337F2D">
              <w:rPr>
                <w:b/>
                <w:bCs/>
              </w:rPr>
              <w:t>Māori</w:t>
            </w:r>
          </w:p>
          <w:p w14:paraId="43F49016" w14:textId="77777777" w:rsidR="00337F2D" w:rsidRPr="00337F2D" w:rsidRDefault="00337F2D" w:rsidP="00337F2D">
            <w:pPr>
              <w:autoSpaceDE w:val="0"/>
              <w:autoSpaceDN w:val="0"/>
              <w:adjustRightInd w:val="0"/>
              <w:spacing w:before="0" w:after="120"/>
              <w:ind w:left="0"/>
              <w:jc w:val="center"/>
              <w:rPr>
                <w:b/>
                <w:bCs/>
              </w:rPr>
            </w:pPr>
            <w:r w:rsidRPr="00337F2D">
              <w:rPr>
                <w:b/>
                <w:bCs/>
              </w:rPr>
              <w:t>(n=5)</w:t>
            </w:r>
          </w:p>
        </w:tc>
        <w:tc>
          <w:tcPr>
            <w:tcW w:w="2250" w:type="dxa"/>
            <w:tcBorders>
              <w:top w:val="single" w:sz="8" w:space="0" w:color="9BBB59"/>
              <w:left w:val="nil"/>
              <w:bottom w:val="single" w:sz="8" w:space="0" w:color="9BBB59"/>
              <w:right w:val="single" w:sz="8" w:space="0" w:color="9BBB59"/>
            </w:tcBorders>
            <w:shd w:val="clear" w:color="auto" w:fill="9BBB59"/>
          </w:tcPr>
          <w:p w14:paraId="18486FEA" w14:textId="77777777" w:rsidR="00337F2D" w:rsidRPr="00B85065" w:rsidRDefault="00337F2D" w:rsidP="00337F2D">
            <w:pPr>
              <w:autoSpaceDE w:val="0"/>
              <w:autoSpaceDN w:val="0"/>
              <w:adjustRightInd w:val="0"/>
              <w:spacing w:before="0" w:after="120"/>
              <w:ind w:left="0"/>
              <w:jc w:val="center"/>
              <w:rPr>
                <w:b/>
                <w:bCs/>
              </w:rPr>
            </w:pPr>
            <w:r w:rsidRPr="00B85065">
              <w:rPr>
                <w:b/>
                <w:bCs/>
              </w:rPr>
              <w:t>Pacific*</w:t>
            </w:r>
          </w:p>
          <w:p w14:paraId="2DFA2845" w14:textId="77777777" w:rsidR="00337F2D" w:rsidRPr="00337F2D" w:rsidRDefault="007F73F7" w:rsidP="00337F2D">
            <w:pPr>
              <w:autoSpaceDE w:val="0"/>
              <w:autoSpaceDN w:val="0"/>
              <w:adjustRightInd w:val="0"/>
              <w:spacing w:before="0" w:after="120"/>
              <w:ind w:left="0"/>
              <w:jc w:val="center"/>
              <w:rPr>
                <w:b/>
                <w:bCs/>
              </w:rPr>
            </w:pPr>
            <w:r>
              <w:rPr>
                <w:b/>
                <w:bCs/>
              </w:rPr>
              <w:t>(n=5</w:t>
            </w:r>
            <w:r w:rsidR="00337F2D" w:rsidRPr="00B85065">
              <w:rPr>
                <w:b/>
                <w:bCs/>
              </w:rPr>
              <w:t>)</w:t>
            </w:r>
          </w:p>
        </w:tc>
      </w:tr>
      <w:tr w:rsidR="00337F2D" w:rsidRPr="00337F2D" w14:paraId="512BC33C" w14:textId="77777777" w:rsidTr="001920F1">
        <w:tc>
          <w:tcPr>
            <w:tcW w:w="3827" w:type="dxa"/>
            <w:tcBorders>
              <w:top w:val="single" w:sz="8" w:space="0" w:color="9BBB59"/>
              <w:left w:val="single" w:sz="8" w:space="0" w:color="9BBB59"/>
              <w:bottom w:val="single" w:sz="8" w:space="0" w:color="9BBB59"/>
              <w:right w:val="nil"/>
            </w:tcBorders>
            <w:tcMar>
              <w:top w:w="0" w:type="dxa"/>
              <w:left w:w="108" w:type="dxa"/>
              <w:bottom w:w="0" w:type="dxa"/>
              <w:right w:w="108" w:type="dxa"/>
            </w:tcMar>
            <w:hideMark/>
          </w:tcPr>
          <w:p w14:paraId="01A830BF" w14:textId="77777777" w:rsidR="00337F2D" w:rsidRPr="00337F2D" w:rsidRDefault="00337F2D" w:rsidP="00337F2D">
            <w:pPr>
              <w:autoSpaceDE w:val="0"/>
              <w:autoSpaceDN w:val="0"/>
              <w:adjustRightInd w:val="0"/>
              <w:spacing w:before="0" w:after="120"/>
              <w:ind w:left="0"/>
              <w:rPr>
                <w:bCs/>
              </w:rPr>
            </w:pPr>
            <w:r w:rsidRPr="00337F2D">
              <w:rPr>
                <w:bCs/>
              </w:rPr>
              <w:t>Male</w:t>
            </w:r>
          </w:p>
        </w:tc>
        <w:tc>
          <w:tcPr>
            <w:tcW w:w="2250" w:type="dxa"/>
            <w:tcBorders>
              <w:top w:val="single" w:sz="8" w:space="0" w:color="9BBB59"/>
              <w:left w:val="nil"/>
              <w:bottom w:val="single" w:sz="8" w:space="0" w:color="9BBB59"/>
              <w:right w:val="nil"/>
            </w:tcBorders>
            <w:tcMar>
              <w:top w:w="0" w:type="dxa"/>
              <w:left w:w="108" w:type="dxa"/>
              <w:bottom w:w="0" w:type="dxa"/>
              <w:right w:w="108" w:type="dxa"/>
            </w:tcMar>
            <w:hideMark/>
          </w:tcPr>
          <w:p w14:paraId="2C62BE85" w14:textId="77777777" w:rsidR="00337F2D" w:rsidRPr="00337F2D" w:rsidRDefault="00337F2D" w:rsidP="00337F2D">
            <w:pPr>
              <w:autoSpaceDE w:val="0"/>
              <w:autoSpaceDN w:val="0"/>
              <w:adjustRightInd w:val="0"/>
              <w:spacing w:before="0" w:after="120"/>
              <w:ind w:left="0"/>
              <w:jc w:val="center"/>
              <w:rPr>
                <w:bCs/>
              </w:rPr>
            </w:pPr>
            <w:r w:rsidRPr="00337F2D">
              <w:rPr>
                <w:bCs/>
              </w:rPr>
              <w:t>3</w:t>
            </w:r>
          </w:p>
        </w:tc>
        <w:tc>
          <w:tcPr>
            <w:tcW w:w="2250" w:type="dxa"/>
            <w:tcBorders>
              <w:top w:val="single" w:sz="8" w:space="0" w:color="9BBB59"/>
              <w:left w:val="nil"/>
              <w:bottom w:val="single" w:sz="8" w:space="0" w:color="9BBB59"/>
              <w:right w:val="single" w:sz="8" w:space="0" w:color="9BBB59"/>
            </w:tcBorders>
          </w:tcPr>
          <w:p w14:paraId="6333B175" w14:textId="77777777" w:rsidR="00337F2D" w:rsidRPr="00337F2D" w:rsidRDefault="00337F2D" w:rsidP="00337F2D">
            <w:pPr>
              <w:autoSpaceDE w:val="0"/>
              <w:autoSpaceDN w:val="0"/>
              <w:adjustRightInd w:val="0"/>
              <w:spacing w:before="0" w:after="120"/>
              <w:ind w:left="0"/>
              <w:jc w:val="center"/>
              <w:rPr>
                <w:bCs/>
              </w:rPr>
            </w:pPr>
            <w:r w:rsidRPr="00337F2D">
              <w:rPr>
                <w:bCs/>
              </w:rPr>
              <w:t>3</w:t>
            </w:r>
          </w:p>
        </w:tc>
      </w:tr>
      <w:tr w:rsidR="00337F2D" w:rsidRPr="00337F2D" w14:paraId="7100621C" w14:textId="77777777" w:rsidTr="001920F1">
        <w:tc>
          <w:tcPr>
            <w:tcW w:w="3827" w:type="dxa"/>
            <w:tcBorders>
              <w:top w:val="nil"/>
              <w:left w:val="single" w:sz="8" w:space="0" w:color="9BBB59"/>
              <w:bottom w:val="nil"/>
              <w:right w:val="nil"/>
            </w:tcBorders>
            <w:tcMar>
              <w:top w:w="0" w:type="dxa"/>
              <w:left w:w="108" w:type="dxa"/>
              <w:bottom w:w="0" w:type="dxa"/>
              <w:right w:w="108" w:type="dxa"/>
            </w:tcMar>
            <w:hideMark/>
          </w:tcPr>
          <w:p w14:paraId="16EDC258" w14:textId="77777777" w:rsidR="00337F2D" w:rsidRPr="00337F2D" w:rsidRDefault="00337F2D" w:rsidP="00337F2D">
            <w:pPr>
              <w:autoSpaceDE w:val="0"/>
              <w:autoSpaceDN w:val="0"/>
              <w:adjustRightInd w:val="0"/>
              <w:spacing w:before="0" w:after="120"/>
              <w:ind w:left="0"/>
              <w:rPr>
                <w:bCs/>
              </w:rPr>
            </w:pPr>
            <w:r w:rsidRPr="00337F2D">
              <w:rPr>
                <w:bCs/>
              </w:rPr>
              <w:t>Female</w:t>
            </w:r>
          </w:p>
        </w:tc>
        <w:tc>
          <w:tcPr>
            <w:tcW w:w="2250" w:type="dxa"/>
            <w:tcMar>
              <w:top w:w="0" w:type="dxa"/>
              <w:left w:w="108" w:type="dxa"/>
              <w:bottom w:w="0" w:type="dxa"/>
              <w:right w:w="108" w:type="dxa"/>
            </w:tcMar>
            <w:hideMark/>
          </w:tcPr>
          <w:p w14:paraId="3A4572E0" w14:textId="77777777" w:rsidR="00337F2D" w:rsidRPr="00337F2D" w:rsidRDefault="00337F2D" w:rsidP="00337F2D">
            <w:pPr>
              <w:autoSpaceDE w:val="0"/>
              <w:autoSpaceDN w:val="0"/>
              <w:adjustRightInd w:val="0"/>
              <w:spacing w:before="0" w:after="120"/>
              <w:ind w:left="0"/>
              <w:jc w:val="center"/>
              <w:rPr>
                <w:bCs/>
              </w:rPr>
            </w:pPr>
            <w:r w:rsidRPr="00337F2D">
              <w:rPr>
                <w:bCs/>
              </w:rPr>
              <w:t>2</w:t>
            </w:r>
          </w:p>
        </w:tc>
        <w:tc>
          <w:tcPr>
            <w:tcW w:w="2250" w:type="dxa"/>
            <w:tcBorders>
              <w:top w:val="single" w:sz="8" w:space="0" w:color="9BBB59"/>
              <w:bottom w:val="single" w:sz="8" w:space="0" w:color="9BBB59"/>
              <w:right w:val="single" w:sz="8" w:space="0" w:color="9BBB59"/>
            </w:tcBorders>
          </w:tcPr>
          <w:p w14:paraId="1554CB1A" w14:textId="77777777" w:rsidR="00337F2D" w:rsidRPr="00337F2D" w:rsidRDefault="00337F2D" w:rsidP="00337F2D">
            <w:pPr>
              <w:autoSpaceDE w:val="0"/>
              <w:autoSpaceDN w:val="0"/>
              <w:adjustRightInd w:val="0"/>
              <w:spacing w:before="0" w:after="120"/>
              <w:ind w:left="0"/>
              <w:jc w:val="center"/>
              <w:rPr>
                <w:bCs/>
              </w:rPr>
            </w:pPr>
            <w:r w:rsidRPr="00337F2D">
              <w:rPr>
                <w:bCs/>
              </w:rPr>
              <w:t>2</w:t>
            </w:r>
          </w:p>
        </w:tc>
      </w:tr>
      <w:tr w:rsidR="00337F2D" w:rsidRPr="00337F2D" w14:paraId="7A7B4855" w14:textId="77777777" w:rsidTr="001920F1">
        <w:tc>
          <w:tcPr>
            <w:tcW w:w="3827" w:type="dxa"/>
            <w:tcBorders>
              <w:top w:val="single" w:sz="8" w:space="0" w:color="9BBB59"/>
              <w:left w:val="single" w:sz="8" w:space="0" w:color="9BBB59"/>
              <w:bottom w:val="single" w:sz="8" w:space="0" w:color="9BBB59"/>
              <w:right w:val="nil"/>
            </w:tcBorders>
            <w:shd w:val="clear" w:color="auto" w:fill="C2D69B"/>
            <w:tcMar>
              <w:top w:w="0" w:type="dxa"/>
              <w:left w:w="108" w:type="dxa"/>
              <w:bottom w:w="0" w:type="dxa"/>
              <w:right w:w="108" w:type="dxa"/>
            </w:tcMar>
            <w:hideMark/>
          </w:tcPr>
          <w:p w14:paraId="36C0B8D2" w14:textId="77777777" w:rsidR="00337F2D" w:rsidRPr="00337F2D" w:rsidRDefault="00337F2D" w:rsidP="00337F2D">
            <w:pPr>
              <w:autoSpaceDE w:val="0"/>
              <w:autoSpaceDN w:val="0"/>
              <w:adjustRightInd w:val="0"/>
              <w:spacing w:before="0" w:after="120"/>
              <w:ind w:left="0"/>
              <w:rPr>
                <w:bCs/>
              </w:rPr>
            </w:pPr>
            <w:r w:rsidRPr="00337F2D">
              <w:rPr>
                <w:bCs/>
              </w:rPr>
              <w:t>50 – 59 years</w:t>
            </w:r>
          </w:p>
        </w:tc>
        <w:tc>
          <w:tcPr>
            <w:tcW w:w="2250" w:type="dxa"/>
            <w:tcBorders>
              <w:top w:val="single" w:sz="8" w:space="0" w:color="9BBB59"/>
              <w:left w:val="nil"/>
              <w:bottom w:val="single" w:sz="8" w:space="0" w:color="9BBB59"/>
              <w:right w:val="nil"/>
            </w:tcBorders>
            <w:shd w:val="clear" w:color="auto" w:fill="C2D69B"/>
            <w:tcMar>
              <w:top w:w="0" w:type="dxa"/>
              <w:left w:w="108" w:type="dxa"/>
              <w:bottom w:w="0" w:type="dxa"/>
              <w:right w:w="108" w:type="dxa"/>
            </w:tcMar>
            <w:hideMark/>
          </w:tcPr>
          <w:p w14:paraId="1A7F1274" w14:textId="77777777" w:rsidR="00337F2D" w:rsidRPr="00337F2D" w:rsidRDefault="000E635C" w:rsidP="00337F2D">
            <w:pPr>
              <w:autoSpaceDE w:val="0"/>
              <w:autoSpaceDN w:val="0"/>
              <w:adjustRightInd w:val="0"/>
              <w:spacing w:before="0" w:after="120"/>
              <w:ind w:left="0"/>
              <w:jc w:val="center"/>
              <w:rPr>
                <w:bCs/>
              </w:rPr>
            </w:pPr>
            <w:r>
              <w:rPr>
                <w:bCs/>
              </w:rPr>
              <w:t>4</w:t>
            </w:r>
          </w:p>
        </w:tc>
        <w:tc>
          <w:tcPr>
            <w:tcW w:w="2250" w:type="dxa"/>
            <w:tcBorders>
              <w:top w:val="single" w:sz="8" w:space="0" w:color="9BBB59"/>
              <w:left w:val="nil"/>
              <w:bottom w:val="single" w:sz="8" w:space="0" w:color="9BBB59"/>
              <w:right w:val="single" w:sz="8" w:space="0" w:color="9BBB59"/>
            </w:tcBorders>
            <w:shd w:val="clear" w:color="auto" w:fill="C2D69B"/>
          </w:tcPr>
          <w:p w14:paraId="17F3AE88" w14:textId="77777777" w:rsidR="00337F2D" w:rsidRPr="00337F2D" w:rsidRDefault="000E635C" w:rsidP="00337F2D">
            <w:pPr>
              <w:autoSpaceDE w:val="0"/>
              <w:autoSpaceDN w:val="0"/>
              <w:adjustRightInd w:val="0"/>
              <w:spacing w:before="0" w:after="120"/>
              <w:ind w:left="0"/>
              <w:jc w:val="center"/>
              <w:rPr>
                <w:bCs/>
              </w:rPr>
            </w:pPr>
            <w:r>
              <w:rPr>
                <w:bCs/>
              </w:rPr>
              <w:t>1</w:t>
            </w:r>
          </w:p>
        </w:tc>
      </w:tr>
      <w:tr w:rsidR="00337F2D" w:rsidRPr="00337F2D" w14:paraId="5600C4A9" w14:textId="77777777" w:rsidTr="000E635C">
        <w:tc>
          <w:tcPr>
            <w:tcW w:w="3827" w:type="dxa"/>
            <w:tcBorders>
              <w:top w:val="nil"/>
              <w:left w:val="single" w:sz="8" w:space="0" w:color="9BBB59"/>
              <w:bottom w:val="nil"/>
              <w:right w:val="nil"/>
            </w:tcBorders>
            <w:shd w:val="clear" w:color="auto" w:fill="C2D69B"/>
            <w:tcMar>
              <w:top w:w="0" w:type="dxa"/>
              <w:left w:w="108" w:type="dxa"/>
              <w:bottom w:w="0" w:type="dxa"/>
              <w:right w:w="108" w:type="dxa"/>
            </w:tcMar>
            <w:hideMark/>
          </w:tcPr>
          <w:p w14:paraId="6692D62B" w14:textId="77777777" w:rsidR="00337F2D" w:rsidRPr="00337F2D" w:rsidRDefault="00337F2D" w:rsidP="00337F2D">
            <w:pPr>
              <w:autoSpaceDE w:val="0"/>
              <w:autoSpaceDN w:val="0"/>
              <w:adjustRightInd w:val="0"/>
              <w:spacing w:before="0" w:after="120"/>
              <w:ind w:left="0"/>
              <w:rPr>
                <w:bCs/>
              </w:rPr>
            </w:pPr>
            <w:r w:rsidRPr="00337F2D">
              <w:rPr>
                <w:bCs/>
              </w:rPr>
              <w:t>60 – 69 years</w:t>
            </w:r>
          </w:p>
        </w:tc>
        <w:tc>
          <w:tcPr>
            <w:tcW w:w="2250" w:type="dxa"/>
            <w:shd w:val="clear" w:color="auto" w:fill="C2D69B"/>
            <w:tcMar>
              <w:top w:w="0" w:type="dxa"/>
              <w:left w:w="108" w:type="dxa"/>
              <w:bottom w:w="0" w:type="dxa"/>
              <w:right w:w="108" w:type="dxa"/>
            </w:tcMar>
          </w:tcPr>
          <w:p w14:paraId="2A2F220A" w14:textId="77777777" w:rsidR="00337F2D" w:rsidRPr="00337F2D" w:rsidRDefault="000E635C" w:rsidP="00337F2D">
            <w:pPr>
              <w:autoSpaceDE w:val="0"/>
              <w:autoSpaceDN w:val="0"/>
              <w:adjustRightInd w:val="0"/>
              <w:spacing w:before="0" w:after="120"/>
              <w:ind w:left="0"/>
              <w:jc w:val="center"/>
              <w:rPr>
                <w:bCs/>
              </w:rPr>
            </w:pPr>
            <w:r>
              <w:rPr>
                <w:bCs/>
              </w:rPr>
              <w:t>1</w:t>
            </w:r>
          </w:p>
        </w:tc>
        <w:tc>
          <w:tcPr>
            <w:tcW w:w="2250" w:type="dxa"/>
            <w:tcBorders>
              <w:top w:val="single" w:sz="8" w:space="0" w:color="9BBB59"/>
              <w:bottom w:val="single" w:sz="8" w:space="0" w:color="9BBB59"/>
              <w:right w:val="single" w:sz="8" w:space="0" w:color="9BBB59"/>
            </w:tcBorders>
            <w:shd w:val="clear" w:color="auto" w:fill="C2D69B"/>
          </w:tcPr>
          <w:p w14:paraId="6D399B1E" w14:textId="77777777" w:rsidR="00337F2D" w:rsidRPr="00337F2D" w:rsidRDefault="000E635C" w:rsidP="00337F2D">
            <w:pPr>
              <w:autoSpaceDE w:val="0"/>
              <w:autoSpaceDN w:val="0"/>
              <w:adjustRightInd w:val="0"/>
              <w:spacing w:before="0" w:after="120"/>
              <w:ind w:left="0"/>
              <w:jc w:val="center"/>
              <w:rPr>
                <w:bCs/>
              </w:rPr>
            </w:pPr>
            <w:r>
              <w:rPr>
                <w:bCs/>
              </w:rPr>
              <w:t>3</w:t>
            </w:r>
          </w:p>
        </w:tc>
      </w:tr>
      <w:tr w:rsidR="00337F2D" w:rsidRPr="00337F2D" w14:paraId="2A4B57B6" w14:textId="77777777" w:rsidTr="000E635C">
        <w:tc>
          <w:tcPr>
            <w:tcW w:w="3827" w:type="dxa"/>
            <w:tcBorders>
              <w:top w:val="single" w:sz="8" w:space="0" w:color="9BBB59"/>
              <w:left w:val="single" w:sz="8" w:space="0" w:color="9BBB59"/>
              <w:bottom w:val="single" w:sz="8" w:space="0" w:color="9BBB59"/>
              <w:right w:val="nil"/>
            </w:tcBorders>
            <w:shd w:val="clear" w:color="auto" w:fill="C2D69B"/>
            <w:tcMar>
              <w:top w:w="0" w:type="dxa"/>
              <w:left w:w="108" w:type="dxa"/>
              <w:bottom w:w="0" w:type="dxa"/>
              <w:right w:w="108" w:type="dxa"/>
            </w:tcMar>
            <w:hideMark/>
          </w:tcPr>
          <w:p w14:paraId="76855D7C" w14:textId="77777777" w:rsidR="00337F2D" w:rsidRPr="00337F2D" w:rsidRDefault="00337F2D" w:rsidP="00337F2D">
            <w:pPr>
              <w:autoSpaceDE w:val="0"/>
              <w:autoSpaceDN w:val="0"/>
              <w:adjustRightInd w:val="0"/>
              <w:spacing w:before="0" w:after="120"/>
              <w:ind w:left="0"/>
              <w:rPr>
                <w:bCs/>
              </w:rPr>
            </w:pPr>
            <w:r w:rsidRPr="00337F2D">
              <w:rPr>
                <w:bCs/>
              </w:rPr>
              <w:t xml:space="preserve">70 – 74 years </w:t>
            </w:r>
          </w:p>
        </w:tc>
        <w:tc>
          <w:tcPr>
            <w:tcW w:w="2250" w:type="dxa"/>
            <w:tcBorders>
              <w:top w:val="single" w:sz="8" w:space="0" w:color="9BBB59"/>
              <w:left w:val="nil"/>
              <w:bottom w:val="single" w:sz="8" w:space="0" w:color="9BBB59"/>
              <w:right w:val="nil"/>
            </w:tcBorders>
            <w:shd w:val="clear" w:color="auto" w:fill="C2D69B"/>
            <w:tcMar>
              <w:top w:w="0" w:type="dxa"/>
              <w:left w:w="108" w:type="dxa"/>
              <w:bottom w:w="0" w:type="dxa"/>
              <w:right w:w="108" w:type="dxa"/>
            </w:tcMar>
          </w:tcPr>
          <w:p w14:paraId="756052EF" w14:textId="77777777" w:rsidR="00337F2D" w:rsidRPr="00337F2D" w:rsidRDefault="000E635C" w:rsidP="00337F2D">
            <w:pPr>
              <w:autoSpaceDE w:val="0"/>
              <w:autoSpaceDN w:val="0"/>
              <w:adjustRightInd w:val="0"/>
              <w:spacing w:before="0" w:after="120"/>
              <w:ind w:left="0"/>
              <w:jc w:val="center"/>
              <w:rPr>
                <w:bCs/>
              </w:rPr>
            </w:pPr>
            <w:r>
              <w:rPr>
                <w:bCs/>
              </w:rPr>
              <w:t>-</w:t>
            </w:r>
          </w:p>
        </w:tc>
        <w:tc>
          <w:tcPr>
            <w:tcW w:w="2250" w:type="dxa"/>
            <w:tcBorders>
              <w:top w:val="single" w:sz="8" w:space="0" w:color="9BBB59"/>
              <w:left w:val="nil"/>
              <w:bottom w:val="single" w:sz="8" w:space="0" w:color="9BBB59"/>
              <w:right w:val="single" w:sz="8" w:space="0" w:color="9BBB59"/>
            </w:tcBorders>
            <w:shd w:val="clear" w:color="auto" w:fill="C2D69B"/>
          </w:tcPr>
          <w:p w14:paraId="0B5A8274" w14:textId="77777777" w:rsidR="00337F2D" w:rsidRPr="00337F2D" w:rsidRDefault="00337F2D" w:rsidP="00337F2D">
            <w:pPr>
              <w:autoSpaceDE w:val="0"/>
              <w:autoSpaceDN w:val="0"/>
              <w:adjustRightInd w:val="0"/>
              <w:spacing w:before="0" w:after="120"/>
              <w:ind w:left="0"/>
              <w:jc w:val="center"/>
              <w:rPr>
                <w:bCs/>
              </w:rPr>
            </w:pPr>
            <w:r w:rsidRPr="00337F2D">
              <w:rPr>
                <w:bCs/>
              </w:rPr>
              <w:t>1</w:t>
            </w:r>
          </w:p>
        </w:tc>
      </w:tr>
      <w:tr w:rsidR="00337F2D" w:rsidRPr="00337F2D" w14:paraId="5373BC8A" w14:textId="77777777" w:rsidTr="001920F1">
        <w:tc>
          <w:tcPr>
            <w:tcW w:w="3827" w:type="dxa"/>
            <w:tcBorders>
              <w:top w:val="single" w:sz="8" w:space="0" w:color="9BBB59"/>
              <w:left w:val="single" w:sz="8" w:space="0" w:color="9BBB59"/>
              <w:bottom w:val="single" w:sz="8" w:space="0" w:color="9BBB59"/>
              <w:right w:val="nil"/>
            </w:tcBorders>
            <w:tcMar>
              <w:top w:w="0" w:type="dxa"/>
              <w:left w:w="108" w:type="dxa"/>
              <w:bottom w:w="0" w:type="dxa"/>
              <w:right w:w="108" w:type="dxa"/>
            </w:tcMar>
            <w:hideMark/>
          </w:tcPr>
          <w:p w14:paraId="2770A41B" w14:textId="77777777" w:rsidR="00337F2D" w:rsidRPr="00337F2D" w:rsidRDefault="00337F2D" w:rsidP="00337F2D">
            <w:pPr>
              <w:autoSpaceDE w:val="0"/>
              <w:autoSpaceDN w:val="0"/>
              <w:adjustRightInd w:val="0"/>
              <w:spacing w:before="0" w:after="120"/>
              <w:ind w:left="0"/>
              <w:rPr>
                <w:bCs/>
              </w:rPr>
            </w:pPr>
            <w:r w:rsidRPr="00337F2D">
              <w:rPr>
                <w:bCs/>
              </w:rPr>
              <w:t xml:space="preserve">5 year recall 1 kit </w:t>
            </w:r>
          </w:p>
        </w:tc>
        <w:tc>
          <w:tcPr>
            <w:tcW w:w="2250" w:type="dxa"/>
            <w:tcBorders>
              <w:top w:val="single" w:sz="8" w:space="0" w:color="9BBB59"/>
              <w:bottom w:val="single" w:sz="8" w:space="0" w:color="9BBB59"/>
            </w:tcBorders>
            <w:tcMar>
              <w:top w:w="0" w:type="dxa"/>
              <w:left w:w="108" w:type="dxa"/>
              <w:bottom w:w="0" w:type="dxa"/>
              <w:right w:w="108" w:type="dxa"/>
            </w:tcMar>
            <w:hideMark/>
          </w:tcPr>
          <w:p w14:paraId="2754621F" w14:textId="77777777" w:rsidR="00337F2D" w:rsidRPr="00337F2D" w:rsidRDefault="00337F2D" w:rsidP="00337F2D">
            <w:pPr>
              <w:autoSpaceDE w:val="0"/>
              <w:autoSpaceDN w:val="0"/>
              <w:adjustRightInd w:val="0"/>
              <w:spacing w:before="0" w:after="120"/>
              <w:ind w:left="0"/>
              <w:jc w:val="center"/>
              <w:rPr>
                <w:bCs/>
              </w:rPr>
            </w:pPr>
            <w:r w:rsidRPr="00337F2D">
              <w:rPr>
                <w:bCs/>
              </w:rPr>
              <w:t>3</w:t>
            </w:r>
          </w:p>
        </w:tc>
        <w:tc>
          <w:tcPr>
            <w:tcW w:w="2250" w:type="dxa"/>
            <w:tcBorders>
              <w:top w:val="single" w:sz="8" w:space="0" w:color="9BBB59"/>
              <w:bottom w:val="single" w:sz="8" w:space="0" w:color="9BBB59"/>
              <w:right w:val="single" w:sz="8" w:space="0" w:color="9BBB59"/>
            </w:tcBorders>
          </w:tcPr>
          <w:p w14:paraId="6B450F95" w14:textId="77777777" w:rsidR="00337F2D" w:rsidRPr="00337F2D" w:rsidRDefault="000E635C" w:rsidP="00337F2D">
            <w:pPr>
              <w:autoSpaceDE w:val="0"/>
              <w:autoSpaceDN w:val="0"/>
              <w:adjustRightInd w:val="0"/>
              <w:spacing w:before="0" w:after="120"/>
              <w:ind w:left="0"/>
              <w:jc w:val="center"/>
              <w:rPr>
                <w:bCs/>
              </w:rPr>
            </w:pPr>
            <w:r>
              <w:rPr>
                <w:bCs/>
              </w:rPr>
              <w:t>3</w:t>
            </w:r>
          </w:p>
        </w:tc>
      </w:tr>
      <w:tr w:rsidR="00337F2D" w:rsidRPr="00337F2D" w14:paraId="2D006929" w14:textId="77777777" w:rsidTr="001920F1">
        <w:tc>
          <w:tcPr>
            <w:tcW w:w="3827" w:type="dxa"/>
            <w:tcBorders>
              <w:top w:val="single" w:sz="8" w:space="0" w:color="9BBB59"/>
              <w:left w:val="single" w:sz="8" w:space="0" w:color="9BBB59"/>
              <w:bottom w:val="single" w:sz="8" w:space="0" w:color="9BBB59"/>
              <w:right w:val="nil"/>
            </w:tcBorders>
            <w:tcMar>
              <w:top w:w="0" w:type="dxa"/>
              <w:left w:w="108" w:type="dxa"/>
              <w:bottom w:w="0" w:type="dxa"/>
              <w:right w:w="108" w:type="dxa"/>
            </w:tcMar>
            <w:hideMark/>
          </w:tcPr>
          <w:p w14:paraId="1A14EC40" w14:textId="77777777" w:rsidR="00337F2D" w:rsidRPr="00337F2D" w:rsidRDefault="00337F2D" w:rsidP="00337F2D">
            <w:pPr>
              <w:autoSpaceDE w:val="0"/>
              <w:autoSpaceDN w:val="0"/>
              <w:adjustRightInd w:val="0"/>
              <w:spacing w:before="0" w:after="120"/>
              <w:ind w:left="0"/>
              <w:rPr>
                <w:bCs/>
              </w:rPr>
            </w:pPr>
            <w:r w:rsidRPr="00337F2D">
              <w:rPr>
                <w:bCs/>
              </w:rPr>
              <w:t xml:space="preserve">Surveillance </w:t>
            </w:r>
          </w:p>
        </w:tc>
        <w:tc>
          <w:tcPr>
            <w:tcW w:w="2250" w:type="dxa"/>
            <w:tcBorders>
              <w:top w:val="single" w:sz="8" w:space="0" w:color="9BBB59"/>
              <w:left w:val="nil"/>
              <w:bottom w:val="single" w:sz="8" w:space="0" w:color="9BBB59"/>
              <w:right w:val="nil"/>
            </w:tcBorders>
            <w:tcMar>
              <w:top w:w="0" w:type="dxa"/>
              <w:left w:w="108" w:type="dxa"/>
              <w:bottom w:w="0" w:type="dxa"/>
              <w:right w:w="108" w:type="dxa"/>
            </w:tcMar>
            <w:hideMark/>
          </w:tcPr>
          <w:p w14:paraId="2FB81F3B" w14:textId="77777777" w:rsidR="00337F2D" w:rsidRPr="00337F2D" w:rsidRDefault="00337F2D" w:rsidP="00337F2D">
            <w:pPr>
              <w:autoSpaceDE w:val="0"/>
              <w:autoSpaceDN w:val="0"/>
              <w:adjustRightInd w:val="0"/>
              <w:spacing w:before="0" w:after="120"/>
              <w:ind w:left="0"/>
              <w:jc w:val="center"/>
              <w:rPr>
                <w:bCs/>
              </w:rPr>
            </w:pPr>
            <w:r w:rsidRPr="00337F2D">
              <w:rPr>
                <w:bCs/>
              </w:rPr>
              <w:t>2</w:t>
            </w:r>
          </w:p>
        </w:tc>
        <w:tc>
          <w:tcPr>
            <w:tcW w:w="2250" w:type="dxa"/>
            <w:tcBorders>
              <w:top w:val="single" w:sz="8" w:space="0" w:color="9BBB59"/>
              <w:left w:val="nil"/>
              <w:bottom w:val="single" w:sz="8" w:space="0" w:color="9BBB59"/>
              <w:right w:val="single" w:sz="8" w:space="0" w:color="9BBB59"/>
            </w:tcBorders>
          </w:tcPr>
          <w:p w14:paraId="4592D4F4" w14:textId="77777777" w:rsidR="00337F2D" w:rsidRPr="00337F2D" w:rsidRDefault="000E635C" w:rsidP="00337F2D">
            <w:pPr>
              <w:autoSpaceDE w:val="0"/>
              <w:autoSpaceDN w:val="0"/>
              <w:adjustRightInd w:val="0"/>
              <w:spacing w:before="0" w:after="120"/>
              <w:ind w:left="0"/>
              <w:jc w:val="center"/>
              <w:rPr>
                <w:bCs/>
              </w:rPr>
            </w:pPr>
            <w:r>
              <w:rPr>
                <w:bCs/>
              </w:rPr>
              <w:t>2</w:t>
            </w:r>
          </w:p>
        </w:tc>
      </w:tr>
    </w:tbl>
    <w:p w14:paraId="03CF1F8B" w14:textId="77777777" w:rsidR="00192DD8" w:rsidRPr="00703673" w:rsidRDefault="00192DD8" w:rsidP="00192DD8">
      <w:pPr>
        <w:autoSpaceDE w:val="0"/>
        <w:autoSpaceDN w:val="0"/>
        <w:adjustRightInd w:val="0"/>
        <w:spacing w:before="0" w:after="120"/>
        <w:rPr>
          <w:sz w:val="18"/>
        </w:rPr>
      </w:pPr>
      <w:r w:rsidRPr="00703673">
        <w:rPr>
          <w:sz w:val="18"/>
        </w:rPr>
        <w:t xml:space="preserve">* Pacific interviewees included </w:t>
      </w:r>
      <w:r w:rsidR="001920F1">
        <w:rPr>
          <w:sz w:val="18"/>
        </w:rPr>
        <w:t>2</w:t>
      </w:r>
      <w:r w:rsidRPr="00703673">
        <w:rPr>
          <w:sz w:val="18"/>
        </w:rPr>
        <w:t xml:space="preserve"> Samoan</w:t>
      </w:r>
      <w:r w:rsidR="001920F1">
        <w:rPr>
          <w:sz w:val="18"/>
        </w:rPr>
        <w:t>,</w:t>
      </w:r>
      <w:r w:rsidR="000E635C">
        <w:rPr>
          <w:sz w:val="18"/>
        </w:rPr>
        <w:t xml:space="preserve"> </w:t>
      </w:r>
      <w:r w:rsidR="001920F1">
        <w:rPr>
          <w:sz w:val="18"/>
        </w:rPr>
        <w:t xml:space="preserve">2 </w:t>
      </w:r>
      <w:r w:rsidRPr="00703673">
        <w:rPr>
          <w:sz w:val="18"/>
        </w:rPr>
        <w:t>Niuean</w:t>
      </w:r>
      <w:r w:rsidR="001920F1">
        <w:rPr>
          <w:sz w:val="18"/>
        </w:rPr>
        <w:t>, and 1 Cook Island Māori.</w:t>
      </w:r>
    </w:p>
    <w:p w14:paraId="3BF9BC36" w14:textId="77777777" w:rsidR="00192DD8" w:rsidRDefault="00192DD8" w:rsidP="00192DD8">
      <w:pPr>
        <w:pStyle w:val="Heading3"/>
      </w:pPr>
      <w:bookmarkStart w:id="49" w:name="_Toc343789324"/>
      <w:r w:rsidRPr="000F6714">
        <w:t>Recruitment process</w:t>
      </w:r>
      <w:bookmarkEnd w:id="49"/>
    </w:p>
    <w:p w14:paraId="76B63D9A" w14:textId="77777777" w:rsidR="00192DD8" w:rsidRDefault="00192DD8" w:rsidP="00192DD8">
      <w:r>
        <w:t xml:space="preserve">An initial letter with an information sheet was sent out to the potential participants selected from the Register by the </w:t>
      </w:r>
      <w:r w:rsidR="001920F1">
        <w:t>BSP</w:t>
      </w:r>
      <w:r w:rsidR="007F73F7">
        <w:t xml:space="preserve"> </w:t>
      </w:r>
      <w:r>
        <w:t xml:space="preserve">Coordination Centre.  The letter outlined the purpose of the evaluation and </w:t>
      </w:r>
      <w:r w:rsidR="001920F1">
        <w:t>this research</w:t>
      </w:r>
      <w:r>
        <w:t xml:space="preserve"> project.  Participants were given details regarding confidentiality of the research and how their contribution will be used to inform the evaluation and seek improvements to the BSP.  Before their contact details were forwarded to Litmus, participants were given the opportunity to opt out of the research by contacting the </w:t>
      </w:r>
      <w:r w:rsidR="001920F1">
        <w:t xml:space="preserve">BSP Coordination Centre.  </w:t>
      </w:r>
      <w:r>
        <w:t>Participants were called on receipt of the non-opted out participant list and invited to take part in the pathway study</w:t>
      </w:r>
      <w:r w:rsidR="001920F1">
        <w:t xml:space="preserve"> by </w:t>
      </w:r>
      <w:proofErr w:type="spellStart"/>
      <w:r w:rsidR="0097150B">
        <w:t>Kaipuke</w:t>
      </w:r>
      <w:proofErr w:type="spellEnd"/>
      <w:r w:rsidR="007F73F7">
        <w:t xml:space="preserve"> </w:t>
      </w:r>
      <w:r w:rsidR="001920F1">
        <w:t>for M</w:t>
      </w:r>
      <w:r w:rsidR="001920F1">
        <w:rPr>
          <w:rFonts w:cs="Arial"/>
        </w:rPr>
        <w:t>ā</w:t>
      </w:r>
      <w:r w:rsidR="001920F1">
        <w:t>ori participants and Integrity Professionals for Pacific participants</w:t>
      </w:r>
      <w:r>
        <w:t xml:space="preserve">.  </w:t>
      </w:r>
    </w:p>
    <w:p w14:paraId="486642EB" w14:textId="77777777" w:rsidR="001920F1" w:rsidRDefault="001920F1" w:rsidP="001920F1">
      <w:pPr>
        <w:pStyle w:val="Heading3"/>
      </w:pPr>
      <w:r>
        <w:lastRenderedPageBreak/>
        <w:t>Fieldwork</w:t>
      </w:r>
    </w:p>
    <w:p w14:paraId="16220285" w14:textId="77777777" w:rsidR="00192DD8" w:rsidRDefault="00192DD8" w:rsidP="00192DD8">
      <w:r>
        <w:t xml:space="preserve">The interviews were conducted </w:t>
      </w:r>
      <w:r w:rsidR="001920F1">
        <w:t>in November and December 2013</w:t>
      </w:r>
      <w:r>
        <w:t>.</w:t>
      </w:r>
      <w:r w:rsidR="005A572E">
        <w:t xml:space="preserve">  </w:t>
      </w:r>
    </w:p>
    <w:p w14:paraId="31C7774B" w14:textId="77777777" w:rsidR="00192DD8" w:rsidRDefault="00192DD8" w:rsidP="00192DD8">
      <w:r>
        <w:t>M</w:t>
      </w:r>
      <w:r>
        <w:rPr>
          <w:rFonts w:cs="Arial"/>
        </w:rPr>
        <w:t>ā</w:t>
      </w:r>
      <w:r>
        <w:t xml:space="preserve">ori researchers </w:t>
      </w:r>
      <w:r w:rsidR="001920F1">
        <w:t>(</w:t>
      </w:r>
      <w:proofErr w:type="spellStart"/>
      <w:r w:rsidR="0097150B">
        <w:t>Kaipuke</w:t>
      </w:r>
      <w:proofErr w:type="spellEnd"/>
      <w:r w:rsidR="001920F1">
        <w:t xml:space="preserve">) </w:t>
      </w:r>
      <w:r>
        <w:t>undertook interviews with M</w:t>
      </w:r>
      <w:r>
        <w:rPr>
          <w:rFonts w:cs="Arial"/>
        </w:rPr>
        <w:t>ā</w:t>
      </w:r>
      <w:r>
        <w:t xml:space="preserve">ori participants.  Pacific researchers </w:t>
      </w:r>
      <w:r w:rsidR="001920F1">
        <w:t xml:space="preserve">(Integrity Professionals) </w:t>
      </w:r>
      <w:r>
        <w:t>undertook interviews with Pacific participants.  M</w:t>
      </w:r>
      <w:r>
        <w:rPr>
          <w:rFonts w:cs="Arial"/>
        </w:rPr>
        <w:t>ā</w:t>
      </w:r>
      <w:r>
        <w:t xml:space="preserve">ori and Pacific interviews were gender-matched (i.e. interviewer matched with interviewee).  Each interview lasted approximately 30 to 60 minutes and was held at a venue preferred by the participants and safe for the researcher.  Interviews were audio recorded.  Participants received a </w:t>
      </w:r>
      <w:proofErr w:type="spellStart"/>
      <w:r>
        <w:t>koha</w:t>
      </w:r>
      <w:proofErr w:type="spellEnd"/>
      <w:r>
        <w:t xml:space="preserve"> of $50 for their time and contribution.  They were encouraged to have a support person or people present during the interview.  </w:t>
      </w:r>
    </w:p>
    <w:p w14:paraId="4C383CF4" w14:textId="77777777" w:rsidR="001920F1" w:rsidRDefault="001920F1" w:rsidP="001920F1">
      <w:pPr>
        <w:pStyle w:val="Heading3"/>
      </w:pPr>
      <w:r w:rsidRPr="00503CDF">
        <w:t>Research questions</w:t>
      </w:r>
    </w:p>
    <w:p w14:paraId="24874C23" w14:textId="77777777" w:rsidR="006D0610" w:rsidRDefault="006D0610" w:rsidP="006D0610">
      <w:pPr>
        <w:rPr>
          <w:rFonts w:cs="Arial"/>
        </w:rPr>
      </w:pPr>
      <w:r>
        <w:rPr>
          <w:rFonts w:cs="Arial"/>
        </w:rPr>
        <w:t>The intent of the interview was to explore the value of general practice involvement in the BSP from the participant perspective, and also to identify whether there were any new issues or other feedback arising</w:t>
      </w:r>
      <w:r w:rsidR="007F73F7">
        <w:rPr>
          <w:rFonts w:cs="Arial"/>
        </w:rPr>
        <w:t xml:space="preserve"> compared to 2012 BSP participant feedback</w:t>
      </w:r>
      <w:r>
        <w:rPr>
          <w:rFonts w:cs="Arial"/>
        </w:rPr>
        <w:t>.</w:t>
      </w:r>
    </w:p>
    <w:p w14:paraId="758098FA" w14:textId="77777777" w:rsidR="001920F1" w:rsidRDefault="001920F1" w:rsidP="00C04E21">
      <w:pPr>
        <w:rPr>
          <w:rFonts w:cs="Arial"/>
        </w:rPr>
      </w:pPr>
      <w:r>
        <w:rPr>
          <w:rFonts w:cs="Arial"/>
        </w:rPr>
        <w:t xml:space="preserve">The interviews </w:t>
      </w:r>
      <w:r w:rsidR="00002E56">
        <w:rPr>
          <w:rFonts w:cs="Arial"/>
        </w:rPr>
        <w:t>used a similar approach to the clinical pathways studies undertaken in 201</w:t>
      </w:r>
      <w:r w:rsidR="007F73F7">
        <w:rPr>
          <w:rFonts w:cs="Arial"/>
        </w:rPr>
        <w:t>2</w:t>
      </w:r>
      <w:r w:rsidR="00002E56">
        <w:rPr>
          <w:rFonts w:cs="Arial"/>
        </w:rPr>
        <w:t xml:space="preserve"> (Litmus 2013a).  Participants were asked to map their experience of the BSP from first hearing about it to the completion of their colonoscopy, and </w:t>
      </w:r>
      <w:r w:rsidR="00222422">
        <w:rPr>
          <w:rFonts w:cs="Arial"/>
        </w:rPr>
        <w:t>discuss</w:t>
      </w:r>
      <w:r w:rsidR="00002E56">
        <w:rPr>
          <w:rFonts w:cs="Arial"/>
        </w:rPr>
        <w:t xml:space="preserve"> what worked well and not so well.  Particular focus was placed on</w:t>
      </w:r>
      <w:r w:rsidR="00C04E21">
        <w:rPr>
          <w:rFonts w:cs="Arial"/>
        </w:rPr>
        <w:t xml:space="preserve"> how they heard about their results, and </w:t>
      </w:r>
      <w:r w:rsidR="006D0610">
        <w:rPr>
          <w:rFonts w:cs="Arial"/>
        </w:rPr>
        <w:t xml:space="preserve">experiences of </w:t>
      </w:r>
      <w:r w:rsidR="00C04E21">
        <w:rPr>
          <w:rFonts w:cs="Arial"/>
        </w:rPr>
        <w:t xml:space="preserve">this process and </w:t>
      </w:r>
      <w:r w:rsidR="006D0610">
        <w:rPr>
          <w:rFonts w:cs="Arial"/>
        </w:rPr>
        <w:t>perceived pros and cons of alternative process</w:t>
      </w:r>
      <w:r w:rsidR="007F73F7">
        <w:rPr>
          <w:rFonts w:cs="Arial"/>
        </w:rPr>
        <w:t>es</w:t>
      </w:r>
      <w:r w:rsidR="00C04E21">
        <w:rPr>
          <w:rFonts w:cs="Arial"/>
        </w:rPr>
        <w:t xml:space="preserve">.  Feedback was also sought on the </w:t>
      </w:r>
      <w:r w:rsidRPr="0022606D">
        <w:rPr>
          <w:rFonts w:cs="Arial"/>
        </w:rPr>
        <w:t>awareness of community awareness raising activities (CAR) activities.</w:t>
      </w:r>
      <w:r w:rsidR="005A572E">
        <w:rPr>
          <w:rFonts w:cs="Arial"/>
        </w:rPr>
        <w:t xml:space="preserve"> </w:t>
      </w:r>
    </w:p>
    <w:p w14:paraId="6179ACD9" w14:textId="77777777" w:rsidR="00002E56" w:rsidRDefault="00002E56" w:rsidP="00002E56">
      <w:r>
        <w:t>Refer Appendix 2 for the information sheet, consent form and discussion guide.</w:t>
      </w:r>
    </w:p>
    <w:p w14:paraId="13E8EEC1" w14:textId="77777777" w:rsidR="00192DD8" w:rsidRDefault="00192DD8" w:rsidP="00192DD8">
      <w:pPr>
        <w:pStyle w:val="Heading3"/>
      </w:pPr>
      <w:bookmarkStart w:id="50" w:name="_Toc343789326"/>
      <w:r>
        <w:t>Analysis</w:t>
      </w:r>
      <w:bookmarkEnd w:id="50"/>
    </w:p>
    <w:p w14:paraId="6A1C277F" w14:textId="77777777" w:rsidR="002D6CA5" w:rsidRDefault="006D0610" w:rsidP="002D6CA5">
      <w:pPr>
        <w:tabs>
          <w:tab w:val="left" w:pos="720"/>
        </w:tabs>
        <w:rPr>
          <w:lang w:val="en-US" w:eastAsia="en-US"/>
        </w:rPr>
      </w:pPr>
      <w:r>
        <w:rPr>
          <w:lang w:val="en-US" w:eastAsia="en-US"/>
        </w:rPr>
        <w:t>G</w:t>
      </w:r>
      <w:r w:rsidR="00C04E21">
        <w:rPr>
          <w:lang w:val="en-US" w:eastAsia="en-US"/>
        </w:rPr>
        <w:t xml:space="preserve">eneral practice interview transcripts were coded and grouped into concepts and categories </w:t>
      </w:r>
      <w:r w:rsidR="002D6CA5">
        <w:rPr>
          <w:lang w:val="en-US" w:eastAsia="en-US"/>
        </w:rPr>
        <w:t>and presented as themes in this report.</w:t>
      </w:r>
    </w:p>
    <w:p w14:paraId="5524149E" w14:textId="77777777" w:rsidR="00192DD8" w:rsidRDefault="00C04E21" w:rsidP="00192DD8">
      <w:r>
        <w:t>On completion of the participant interviews, analysis workshops were undertaken with M</w:t>
      </w:r>
      <w:r w:rsidRPr="004E0CDF">
        <w:t>ā</w:t>
      </w:r>
      <w:r>
        <w:t xml:space="preserve">ori and Pacific researchers (i.e. </w:t>
      </w:r>
      <w:proofErr w:type="spellStart"/>
      <w:r w:rsidR="0097150B">
        <w:t>Kaipuke</w:t>
      </w:r>
      <w:proofErr w:type="spellEnd"/>
      <w:r>
        <w:t xml:space="preserve"> and Integrity Professionals) to debrief on the interviews and discuss common themes arising across the interviews.  Interview notes prepared by </w:t>
      </w:r>
      <w:proofErr w:type="spellStart"/>
      <w:r w:rsidR="0097150B">
        <w:t>Kaipuke</w:t>
      </w:r>
      <w:proofErr w:type="spellEnd"/>
      <w:r>
        <w:t xml:space="preserve"> and </w:t>
      </w:r>
      <w:r w:rsidR="007F73F7">
        <w:t>Integrity</w:t>
      </w:r>
      <w:r>
        <w:t xml:space="preserve"> Professionals were coded and grouped into themes. </w:t>
      </w:r>
      <w:r w:rsidR="00192DD8" w:rsidRPr="00DD0A99">
        <w:t>Particular focus was placed on understanding</w:t>
      </w:r>
      <w:r>
        <w:t xml:space="preserve"> the unique </w:t>
      </w:r>
      <w:r w:rsidR="00192DD8" w:rsidRPr="00DD0A99">
        <w:t>M</w:t>
      </w:r>
      <w:r w:rsidR="00192DD8" w:rsidRPr="00DD0A99">
        <w:rPr>
          <w:rFonts w:cs="Arial"/>
        </w:rPr>
        <w:t>ā</w:t>
      </w:r>
      <w:r w:rsidR="00192DD8" w:rsidRPr="00DD0A99">
        <w:t>ori and Pacific people’s experience</w:t>
      </w:r>
      <w:r w:rsidR="00192DD8" w:rsidRPr="00DD0A99">
        <w:rPr>
          <w:color w:val="3366FF"/>
        </w:rPr>
        <w:t>.</w:t>
      </w:r>
    </w:p>
    <w:p w14:paraId="6437D74D" w14:textId="77777777" w:rsidR="002D6CA5" w:rsidRDefault="002D6CA5" w:rsidP="002D6CA5">
      <w:pPr>
        <w:pStyle w:val="Heading2"/>
        <w:spacing w:before="360"/>
      </w:pPr>
      <w:bookmarkStart w:id="51" w:name="_Toc380424705"/>
      <w:bookmarkStart w:id="52" w:name="_Toc343789328"/>
      <w:r>
        <w:t>3.3</w:t>
      </w:r>
      <w:r>
        <w:tab/>
        <w:t>Other data sources</w:t>
      </w:r>
      <w:bookmarkEnd w:id="51"/>
    </w:p>
    <w:p w14:paraId="4D4B8003" w14:textId="77777777" w:rsidR="002D6CA5" w:rsidRDefault="002D6CA5" w:rsidP="002D6CA5">
      <w:r>
        <w:t>Data was also drawn from the follow-up WDHB population survey and the WDHB provider survey (Litmus 2014a</w:t>
      </w:r>
      <w:r w:rsidR="007F73F7">
        <w:t xml:space="preserve"> </w:t>
      </w:r>
      <w:r>
        <w:t xml:space="preserve">&amp; b). </w:t>
      </w:r>
    </w:p>
    <w:p w14:paraId="647AC12A" w14:textId="77777777" w:rsidR="002D6CA5" w:rsidRDefault="002D6CA5" w:rsidP="002D6CA5">
      <w:r>
        <w:t xml:space="preserve">In the </w:t>
      </w:r>
      <w:r w:rsidRPr="00E96FF5">
        <w:t xml:space="preserve">follow-up WDHB population survey </w:t>
      </w:r>
      <w:r>
        <w:t xml:space="preserve">some minor revisions were made to measure: </w:t>
      </w:r>
    </w:p>
    <w:p w14:paraId="54514C70" w14:textId="420A9424" w:rsidR="002D6CA5" w:rsidRDefault="00EE3C0F" w:rsidP="00CC5733">
      <w:pPr>
        <w:pStyle w:val="Bullet"/>
        <w:numPr>
          <w:ilvl w:val="0"/>
          <w:numId w:val="8"/>
        </w:numPr>
        <w:tabs>
          <w:tab w:val="num" w:pos="6663"/>
        </w:tabs>
        <w:rPr>
          <w:lang w:val="en-US"/>
        </w:rPr>
      </w:pPr>
      <w:r>
        <w:rPr>
          <w:lang w:val="en-US"/>
        </w:rPr>
        <w:t>w</w:t>
      </w:r>
      <w:r w:rsidRPr="002D6CA5">
        <w:rPr>
          <w:lang w:val="en-US"/>
        </w:rPr>
        <w:t xml:space="preserve">hether </w:t>
      </w:r>
      <w:r w:rsidR="002D6CA5" w:rsidRPr="002D6CA5">
        <w:rPr>
          <w:lang w:val="en-US"/>
        </w:rPr>
        <w:t>participants received their</w:t>
      </w:r>
      <w:r w:rsidR="000A0D15">
        <w:rPr>
          <w:lang w:val="en-US"/>
        </w:rPr>
        <w:t xml:space="preserve"> positive</w:t>
      </w:r>
      <w:r w:rsidR="002D6CA5" w:rsidRPr="002D6CA5">
        <w:rPr>
          <w:lang w:val="en-US"/>
        </w:rPr>
        <w:t xml:space="preserve"> </w:t>
      </w:r>
      <w:proofErr w:type="spellStart"/>
      <w:r w:rsidR="002D6CA5" w:rsidRPr="002D6CA5">
        <w:rPr>
          <w:lang w:val="en-US"/>
        </w:rPr>
        <w:t>iFOBT</w:t>
      </w:r>
      <w:proofErr w:type="spellEnd"/>
      <w:r w:rsidR="002D6CA5" w:rsidRPr="002D6CA5">
        <w:rPr>
          <w:lang w:val="en-US"/>
        </w:rPr>
        <w:t xml:space="preserve"> resul</w:t>
      </w:r>
      <w:r w:rsidR="002D6CA5">
        <w:rPr>
          <w:lang w:val="en-US"/>
        </w:rPr>
        <w:t xml:space="preserve">ts from their general practice </w:t>
      </w:r>
    </w:p>
    <w:p w14:paraId="4DEE38E8" w14:textId="2AE20F5B" w:rsidR="002D6CA5" w:rsidRDefault="00EE3C0F" w:rsidP="00CC5733">
      <w:pPr>
        <w:pStyle w:val="Bullet"/>
        <w:numPr>
          <w:ilvl w:val="0"/>
          <w:numId w:val="8"/>
        </w:numPr>
        <w:tabs>
          <w:tab w:val="num" w:pos="6663"/>
        </w:tabs>
        <w:rPr>
          <w:lang w:val="en-US"/>
        </w:rPr>
      </w:pPr>
      <w:proofErr w:type="gramStart"/>
      <w:r>
        <w:rPr>
          <w:lang w:val="en-US"/>
        </w:rPr>
        <w:t>preference</w:t>
      </w:r>
      <w:proofErr w:type="gramEnd"/>
      <w:r>
        <w:rPr>
          <w:lang w:val="en-US"/>
        </w:rPr>
        <w:t xml:space="preserve"> </w:t>
      </w:r>
      <w:r w:rsidR="002D6CA5">
        <w:rPr>
          <w:lang w:val="en-US"/>
        </w:rPr>
        <w:t xml:space="preserve">on who informs BSP participants if they have a positive </w:t>
      </w:r>
      <w:proofErr w:type="spellStart"/>
      <w:r w:rsidR="002D6CA5">
        <w:rPr>
          <w:lang w:val="en-US"/>
        </w:rPr>
        <w:t>iFOBT</w:t>
      </w:r>
      <w:proofErr w:type="spellEnd"/>
      <w:r w:rsidR="002D6CA5">
        <w:rPr>
          <w:lang w:val="en-US"/>
        </w:rPr>
        <w:t xml:space="preserve"> result. </w:t>
      </w:r>
    </w:p>
    <w:p w14:paraId="4709FC6A" w14:textId="77777777" w:rsidR="002D6CA5" w:rsidRPr="002D6CA5" w:rsidRDefault="002D6CA5" w:rsidP="002D6CA5">
      <w:r>
        <w:lastRenderedPageBreak/>
        <w:t xml:space="preserve">It is noted that only 7% of BSP participants have a positive </w:t>
      </w:r>
      <w:proofErr w:type="spellStart"/>
      <w:r>
        <w:t>iFOBT</w:t>
      </w:r>
      <w:proofErr w:type="spellEnd"/>
      <w:r>
        <w:t xml:space="preserve"> therefore the small sample size </w:t>
      </w:r>
      <w:r w:rsidRPr="002D6CA5">
        <w:t>limit</w:t>
      </w:r>
      <w:r>
        <w:t>ed</w:t>
      </w:r>
      <w:r w:rsidRPr="002D6CA5">
        <w:t xml:space="preserve"> this analysis.</w:t>
      </w:r>
    </w:p>
    <w:p w14:paraId="65254A11" w14:textId="77777777" w:rsidR="00554C7D" w:rsidRDefault="002D6CA5" w:rsidP="002D6CA5">
      <w:r>
        <w:t xml:space="preserve">The </w:t>
      </w:r>
      <w:r w:rsidRPr="00E96FF5">
        <w:t>provider survey</w:t>
      </w:r>
      <w:r>
        <w:t xml:space="preserve"> sought GPs, </w:t>
      </w:r>
      <w:r w:rsidR="00222422">
        <w:t>practice nurses and practice m</w:t>
      </w:r>
      <w:r>
        <w:t>anager</w:t>
      </w:r>
      <w:r w:rsidR="00222422">
        <w:t>s’</w:t>
      </w:r>
      <w:r>
        <w:t xml:space="preserve"> feedback on</w:t>
      </w:r>
      <w:r w:rsidR="00554C7D">
        <w:t xml:space="preserve">: </w:t>
      </w:r>
    </w:p>
    <w:p w14:paraId="62976D07" w14:textId="77777777" w:rsidR="00554C7D" w:rsidRDefault="002D6CA5" w:rsidP="00CC5733">
      <w:pPr>
        <w:pStyle w:val="Bullet"/>
        <w:numPr>
          <w:ilvl w:val="0"/>
          <w:numId w:val="8"/>
        </w:numPr>
        <w:tabs>
          <w:tab w:val="num" w:pos="6663"/>
        </w:tabs>
        <w:rPr>
          <w:lang w:val="en-US"/>
        </w:rPr>
      </w:pPr>
      <w:r w:rsidRPr="00554C7D">
        <w:rPr>
          <w:lang w:val="en-US"/>
        </w:rPr>
        <w:t>awareness of their role in the BSP</w:t>
      </w:r>
    </w:p>
    <w:p w14:paraId="663E933C" w14:textId="77777777" w:rsidR="00554C7D" w:rsidRDefault="00554C7D" w:rsidP="00CC5733">
      <w:pPr>
        <w:pStyle w:val="Bullet"/>
        <w:numPr>
          <w:ilvl w:val="0"/>
          <w:numId w:val="8"/>
        </w:numPr>
        <w:tabs>
          <w:tab w:val="num" w:pos="6663"/>
        </w:tabs>
        <w:rPr>
          <w:lang w:val="en-US"/>
        </w:rPr>
      </w:pPr>
      <w:r w:rsidRPr="00554C7D">
        <w:rPr>
          <w:lang w:val="en-US"/>
        </w:rPr>
        <w:t xml:space="preserve">their perceived performance of </w:t>
      </w:r>
      <w:r w:rsidR="002D6CA5" w:rsidRPr="00554C7D">
        <w:rPr>
          <w:lang w:val="en-US"/>
        </w:rPr>
        <w:t xml:space="preserve">their role </w:t>
      </w:r>
    </w:p>
    <w:p w14:paraId="09A36201" w14:textId="77777777" w:rsidR="00554C7D" w:rsidRDefault="002D6CA5" w:rsidP="00CC5733">
      <w:pPr>
        <w:pStyle w:val="Bullet"/>
        <w:numPr>
          <w:ilvl w:val="0"/>
          <w:numId w:val="8"/>
        </w:numPr>
        <w:tabs>
          <w:tab w:val="num" w:pos="6663"/>
        </w:tabs>
        <w:rPr>
          <w:lang w:val="en-US"/>
        </w:rPr>
      </w:pPr>
      <w:r w:rsidRPr="00554C7D">
        <w:rPr>
          <w:lang w:val="en-US"/>
        </w:rPr>
        <w:t xml:space="preserve">impact </w:t>
      </w:r>
      <w:r w:rsidR="00554C7D">
        <w:rPr>
          <w:lang w:val="en-US"/>
        </w:rPr>
        <w:t>of the BSP</w:t>
      </w:r>
      <w:r w:rsidR="000A0D15">
        <w:rPr>
          <w:lang w:val="en-US"/>
        </w:rPr>
        <w:t xml:space="preserve"> </w:t>
      </w:r>
      <w:r w:rsidRPr="00554C7D">
        <w:rPr>
          <w:lang w:val="en-US"/>
        </w:rPr>
        <w:t xml:space="preserve">on general practice workload </w:t>
      </w:r>
    </w:p>
    <w:p w14:paraId="5BF387D8" w14:textId="77777777" w:rsidR="00554C7D" w:rsidRDefault="002D6CA5" w:rsidP="00CC5733">
      <w:pPr>
        <w:pStyle w:val="Bullet"/>
        <w:numPr>
          <w:ilvl w:val="0"/>
          <w:numId w:val="8"/>
        </w:numPr>
        <w:tabs>
          <w:tab w:val="num" w:pos="6663"/>
        </w:tabs>
        <w:rPr>
          <w:lang w:val="en-US"/>
        </w:rPr>
      </w:pPr>
      <w:r w:rsidRPr="00554C7D">
        <w:rPr>
          <w:lang w:val="en-US"/>
        </w:rPr>
        <w:t>attitudes to the BSP</w:t>
      </w:r>
    </w:p>
    <w:p w14:paraId="28AF4E40" w14:textId="77777777" w:rsidR="00554C7D" w:rsidRDefault="002D6CA5" w:rsidP="00CC5733">
      <w:pPr>
        <w:pStyle w:val="Bullet"/>
        <w:numPr>
          <w:ilvl w:val="0"/>
          <w:numId w:val="8"/>
        </w:numPr>
        <w:tabs>
          <w:tab w:val="num" w:pos="6663"/>
        </w:tabs>
        <w:rPr>
          <w:lang w:val="en-US"/>
        </w:rPr>
      </w:pPr>
      <w:r w:rsidRPr="00554C7D">
        <w:rPr>
          <w:lang w:val="en-US"/>
        </w:rPr>
        <w:t xml:space="preserve">perceptions of capacity across the screening </w:t>
      </w:r>
      <w:r w:rsidR="00554C7D">
        <w:rPr>
          <w:lang w:val="en-US"/>
        </w:rPr>
        <w:t xml:space="preserve">pathway </w:t>
      </w:r>
    </w:p>
    <w:p w14:paraId="6859AC7D" w14:textId="77777777" w:rsidR="002D6CA5" w:rsidRPr="00554C7D" w:rsidRDefault="002D6CA5" w:rsidP="00CC5733">
      <w:pPr>
        <w:pStyle w:val="Bullet"/>
        <w:numPr>
          <w:ilvl w:val="0"/>
          <w:numId w:val="8"/>
        </w:numPr>
        <w:tabs>
          <w:tab w:val="num" w:pos="6663"/>
        </w:tabs>
        <w:rPr>
          <w:lang w:val="en-US"/>
        </w:rPr>
      </w:pPr>
      <w:proofErr w:type="gramStart"/>
      <w:r w:rsidRPr="00554C7D">
        <w:rPr>
          <w:lang w:val="en-US"/>
        </w:rPr>
        <w:t>effectiveness</w:t>
      </w:r>
      <w:proofErr w:type="gramEnd"/>
      <w:r w:rsidRPr="00554C7D">
        <w:rPr>
          <w:lang w:val="en-US"/>
        </w:rPr>
        <w:t xml:space="preserve"> of the interface with the BSP Coordination Centre </w:t>
      </w:r>
      <w:r w:rsidR="009E3E09">
        <w:rPr>
          <w:lang w:val="en-US"/>
        </w:rPr>
        <w:t>and the E</w:t>
      </w:r>
      <w:r w:rsidR="00554C7D">
        <w:rPr>
          <w:lang w:val="en-US"/>
        </w:rPr>
        <w:t xml:space="preserve">ndoscopy </w:t>
      </w:r>
      <w:r w:rsidR="009E3E09">
        <w:rPr>
          <w:lang w:val="en-US"/>
        </w:rPr>
        <w:t>U</w:t>
      </w:r>
      <w:r w:rsidR="00554C7D">
        <w:rPr>
          <w:lang w:val="en-US"/>
        </w:rPr>
        <w:t>nit</w:t>
      </w:r>
      <w:r w:rsidRPr="00554C7D">
        <w:rPr>
          <w:lang w:val="en-US"/>
        </w:rPr>
        <w:t xml:space="preserve">. </w:t>
      </w:r>
    </w:p>
    <w:p w14:paraId="533B1CF0" w14:textId="77777777" w:rsidR="00192DD8" w:rsidRPr="002D6CA5" w:rsidRDefault="002D6CA5" w:rsidP="00DE42AD">
      <w:pPr>
        <w:pStyle w:val="Heading2"/>
        <w:spacing w:before="240"/>
      </w:pPr>
      <w:bookmarkStart w:id="53" w:name="_Toc380424706"/>
      <w:r>
        <w:t>3.4</w:t>
      </w:r>
      <w:r>
        <w:tab/>
      </w:r>
      <w:r w:rsidR="00192DD8" w:rsidRPr="002D6CA5">
        <w:t>Research limitations</w:t>
      </w:r>
      <w:bookmarkEnd w:id="52"/>
      <w:bookmarkEnd w:id="53"/>
    </w:p>
    <w:p w14:paraId="1DD201C0" w14:textId="77777777" w:rsidR="000A0D15" w:rsidRDefault="000A0D15" w:rsidP="000A0D15">
      <w:r>
        <w:t xml:space="preserve">This report draws on a mix of qualitative information and quantitative data.  Litmus is confident that the results presented in the report are based on the information and data provided.  Table 4 provides a commentary on the data and information used to inform this report and their quality.  </w:t>
      </w:r>
    </w:p>
    <w:p w14:paraId="1C99DF12" w14:textId="77777777" w:rsidR="000A0D15" w:rsidRPr="000A0D15" w:rsidRDefault="000A0D15" w:rsidP="00014A8C">
      <w:pPr>
        <w:pStyle w:val="Heading4"/>
        <w:spacing w:before="120" w:after="0"/>
      </w:pPr>
      <w:r>
        <w:t>Table 4</w:t>
      </w:r>
      <w:r w:rsidRPr="000A0D15">
        <w:t>: List of data and information used and their quality</w:t>
      </w:r>
      <w:r w:rsidR="005A572E">
        <w:br/>
      </w:r>
    </w:p>
    <w:tbl>
      <w:tblPr>
        <w:tblStyle w:val="MediumShading1-Accent3"/>
        <w:tblW w:w="8930" w:type="dxa"/>
        <w:tblInd w:w="817" w:type="dxa"/>
        <w:tblLook w:val="04A0" w:firstRow="1" w:lastRow="0" w:firstColumn="1" w:lastColumn="0" w:noHBand="0" w:noVBand="1"/>
      </w:tblPr>
      <w:tblGrid>
        <w:gridCol w:w="1843"/>
        <w:gridCol w:w="1100"/>
        <w:gridCol w:w="5987"/>
      </w:tblGrid>
      <w:tr w:rsidR="000A0D15" w14:paraId="4180CF97" w14:textId="77777777" w:rsidTr="00DE42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hideMark/>
          </w:tcPr>
          <w:p w14:paraId="560F717B" w14:textId="77777777" w:rsidR="000A0D15" w:rsidRDefault="000A0D15">
            <w:pPr>
              <w:spacing w:before="0"/>
              <w:ind w:left="0"/>
              <w:rPr>
                <w:rFonts w:cs="Arial"/>
                <w:bCs w:val="0"/>
                <w:sz w:val="20"/>
                <w:szCs w:val="18"/>
              </w:rPr>
            </w:pPr>
            <w:r>
              <w:rPr>
                <w:rFonts w:cs="Arial"/>
                <w:bCs w:val="0"/>
                <w:sz w:val="20"/>
                <w:szCs w:val="18"/>
              </w:rPr>
              <w:t>Data sources</w:t>
            </w:r>
          </w:p>
        </w:tc>
        <w:tc>
          <w:tcPr>
            <w:tcW w:w="1100" w:type="dxa"/>
            <w:hideMark/>
          </w:tcPr>
          <w:p w14:paraId="29816183" w14:textId="77777777" w:rsidR="000A0D15" w:rsidRDefault="000A0D15">
            <w:pPr>
              <w:spacing w:before="0"/>
              <w:ind w:left="0"/>
              <w:cnfStyle w:val="100000000000" w:firstRow="1" w:lastRow="0" w:firstColumn="0" w:lastColumn="0" w:oddVBand="0" w:evenVBand="0" w:oddHBand="0" w:evenHBand="0" w:firstRowFirstColumn="0" w:firstRowLastColumn="0" w:lastRowFirstColumn="0" w:lastRowLastColumn="0"/>
              <w:rPr>
                <w:rFonts w:cs="Arial"/>
                <w:bCs w:val="0"/>
                <w:sz w:val="20"/>
                <w:szCs w:val="18"/>
              </w:rPr>
            </w:pPr>
            <w:r>
              <w:rPr>
                <w:rFonts w:cs="Arial"/>
                <w:bCs w:val="0"/>
                <w:sz w:val="20"/>
                <w:szCs w:val="18"/>
              </w:rPr>
              <w:t xml:space="preserve">Quality rating </w:t>
            </w:r>
          </w:p>
        </w:tc>
        <w:tc>
          <w:tcPr>
            <w:tcW w:w="5987" w:type="dxa"/>
            <w:hideMark/>
          </w:tcPr>
          <w:p w14:paraId="6386B2A8" w14:textId="77777777" w:rsidR="000A0D15" w:rsidRDefault="000A0D15">
            <w:pPr>
              <w:spacing w:before="0"/>
              <w:ind w:left="0"/>
              <w:cnfStyle w:val="100000000000" w:firstRow="1" w:lastRow="0" w:firstColumn="0" w:lastColumn="0" w:oddVBand="0" w:evenVBand="0" w:oddHBand="0" w:evenHBand="0" w:firstRowFirstColumn="0" w:firstRowLastColumn="0" w:lastRowFirstColumn="0" w:lastRowLastColumn="0"/>
              <w:rPr>
                <w:rFonts w:cs="Arial"/>
                <w:bCs w:val="0"/>
                <w:sz w:val="20"/>
                <w:szCs w:val="18"/>
              </w:rPr>
            </w:pPr>
            <w:r>
              <w:rPr>
                <w:rFonts w:cs="Arial"/>
                <w:bCs w:val="0"/>
                <w:sz w:val="20"/>
                <w:szCs w:val="18"/>
              </w:rPr>
              <w:t>Comments on quality</w:t>
            </w:r>
          </w:p>
        </w:tc>
      </w:tr>
      <w:tr w:rsidR="000A0D15" w14:paraId="388531C8" w14:textId="77777777" w:rsidTr="00DE4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5A8B7AA" w14:textId="77777777" w:rsidR="000A0D15" w:rsidRDefault="000A0D15">
            <w:pPr>
              <w:spacing w:before="0"/>
              <w:ind w:left="0"/>
              <w:rPr>
                <w:rFonts w:cs="Arial"/>
                <w:b w:val="0"/>
                <w:bCs w:val="0"/>
                <w:sz w:val="20"/>
                <w:szCs w:val="18"/>
              </w:rPr>
            </w:pPr>
            <w:r>
              <w:rPr>
                <w:rFonts w:cs="Arial"/>
                <w:b w:val="0"/>
                <w:bCs w:val="0"/>
                <w:sz w:val="20"/>
                <w:szCs w:val="18"/>
              </w:rPr>
              <w:t xml:space="preserve">2013 WDHB eligible population survey </w:t>
            </w:r>
            <w:r w:rsidR="00BB65A8">
              <w:rPr>
                <w:rFonts w:cs="Arial"/>
                <w:b w:val="0"/>
                <w:bCs w:val="0"/>
                <w:sz w:val="20"/>
                <w:szCs w:val="18"/>
              </w:rPr>
              <w:t>(Litmus 2014 a)</w:t>
            </w:r>
          </w:p>
        </w:tc>
        <w:tc>
          <w:tcPr>
            <w:tcW w:w="1100" w:type="dxa"/>
            <w:hideMark/>
          </w:tcPr>
          <w:p w14:paraId="349AA623" w14:textId="77777777" w:rsidR="000A0D15" w:rsidRDefault="000A0D15" w:rsidP="000A0D15">
            <w:pPr>
              <w:spacing w:before="0"/>
              <w:ind w:left="0"/>
              <w:cnfStyle w:val="000000100000" w:firstRow="0" w:lastRow="0" w:firstColumn="0" w:lastColumn="0" w:oddVBand="0" w:evenVBand="0" w:oddHBand="1" w:evenHBand="0" w:firstRowFirstColumn="0" w:firstRowLastColumn="0" w:lastRowFirstColumn="0" w:lastRowLastColumn="0"/>
              <w:rPr>
                <w:rFonts w:cs="Arial"/>
                <w:bCs/>
                <w:sz w:val="20"/>
                <w:szCs w:val="18"/>
              </w:rPr>
            </w:pPr>
            <w:r>
              <w:rPr>
                <w:rFonts w:cs="Arial"/>
                <w:bCs/>
                <w:sz w:val="20"/>
                <w:szCs w:val="18"/>
              </w:rPr>
              <w:t xml:space="preserve">Medium </w:t>
            </w:r>
          </w:p>
        </w:tc>
        <w:tc>
          <w:tcPr>
            <w:tcW w:w="5987" w:type="dxa"/>
          </w:tcPr>
          <w:p w14:paraId="2BE45B17" w14:textId="77777777" w:rsidR="00BB65A8" w:rsidRPr="00BB65A8" w:rsidRDefault="00BB65A8" w:rsidP="00BB65A8">
            <w:pPr>
              <w:spacing w:before="0"/>
              <w:ind w:left="0"/>
              <w:cnfStyle w:val="000000100000" w:firstRow="0" w:lastRow="0" w:firstColumn="0" w:lastColumn="0" w:oddVBand="0" w:evenVBand="0" w:oddHBand="1" w:evenHBand="0" w:firstRowFirstColumn="0" w:firstRowLastColumn="0" w:lastRowFirstColumn="0" w:lastRowLastColumn="0"/>
              <w:rPr>
                <w:rFonts w:cs="Arial"/>
                <w:bCs/>
                <w:sz w:val="20"/>
                <w:szCs w:val="18"/>
              </w:rPr>
            </w:pPr>
            <w:r w:rsidRPr="00BB65A8">
              <w:rPr>
                <w:rFonts w:cs="Arial"/>
                <w:bCs/>
                <w:sz w:val="20"/>
                <w:szCs w:val="18"/>
              </w:rPr>
              <w:t>In the absence of any other population-level data on awareness and knowledge around bowel cancer and bowel screening, the telephone surveys conducted as part of the BSP evaluation provide useful information.</w:t>
            </w:r>
            <w:r w:rsidR="00222422">
              <w:rPr>
                <w:rFonts w:cs="Arial"/>
                <w:bCs/>
                <w:sz w:val="20"/>
                <w:szCs w:val="18"/>
              </w:rPr>
              <w:t xml:space="preserve"> Data limitations: </w:t>
            </w:r>
          </w:p>
          <w:p w14:paraId="72875B0B" w14:textId="77777777" w:rsidR="00BB65A8" w:rsidRPr="00BB65A8" w:rsidRDefault="00BB65A8" w:rsidP="00CC5733">
            <w:pPr>
              <w:pStyle w:val="ListParagraph"/>
              <w:numPr>
                <w:ilvl w:val="0"/>
                <w:numId w:val="16"/>
              </w:numPr>
              <w:spacing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bCs/>
                <w:sz w:val="20"/>
                <w:szCs w:val="18"/>
              </w:rPr>
            </w:pPr>
            <w:r w:rsidRPr="00BB65A8">
              <w:rPr>
                <w:rFonts w:ascii="Arial" w:hAnsi="Arial" w:cs="Arial"/>
                <w:bCs/>
                <w:sz w:val="20"/>
                <w:szCs w:val="18"/>
              </w:rPr>
              <w:t>Relatively small sample sizes limit the possibility of extensive sub-group analysis and the reliability of comparisons over time.</w:t>
            </w:r>
          </w:p>
          <w:p w14:paraId="4DBC9F18" w14:textId="77777777" w:rsidR="00BB65A8" w:rsidRPr="00BB65A8" w:rsidRDefault="00BB65A8" w:rsidP="00CC5733">
            <w:pPr>
              <w:pStyle w:val="ListParagraph"/>
              <w:numPr>
                <w:ilvl w:val="0"/>
                <w:numId w:val="16"/>
              </w:numPr>
              <w:spacing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bCs/>
                <w:sz w:val="20"/>
                <w:szCs w:val="18"/>
              </w:rPr>
            </w:pPr>
            <w:r w:rsidRPr="00BB65A8">
              <w:rPr>
                <w:rFonts w:ascii="Arial" w:hAnsi="Arial" w:cs="Arial"/>
                <w:bCs/>
                <w:sz w:val="20"/>
                <w:szCs w:val="18"/>
              </w:rPr>
              <w:t>People who were less easily identifiable as Māori or Pacific may be less well represented, relative to those who were more easily identifiable as Māori or Pacific.</w:t>
            </w:r>
          </w:p>
          <w:p w14:paraId="58303D59" w14:textId="77777777" w:rsidR="00BB65A8" w:rsidRPr="00BB65A8" w:rsidRDefault="00BB65A8" w:rsidP="00CC5733">
            <w:pPr>
              <w:pStyle w:val="ListParagraph"/>
              <w:numPr>
                <w:ilvl w:val="0"/>
                <w:numId w:val="16"/>
              </w:numPr>
              <w:spacing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bCs/>
                <w:sz w:val="20"/>
                <w:szCs w:val="18"/>
              </w:rPr>
            </w:pPr>
            <w:r w:rsidRPr="00BB65A8">
              <w:rPr>
                <w:rFonts w:ascii="Arial" w:hAnsi="Arial" w:cs="Arial"/>
                <w:bCs/>
                <w:sz w:val="20"/>
                <w:szCs w:val="18"/>
              </w:rPr>
              <w:t>Non-respondents may have differed from respondents in unknown ways, which would affect the survey results.  Weighting will have helped to mitigate the problem.</w:t>
            </w:r>
          </w:p>
          <w:p w14:paraId="4DAE732C" w14:textId="77777777" w:rsidR="000A0D15" w:rsidRDefault="00BB65A8" w:rsidP="00CC5733">
            <w:pPr>
              <w:pStyle w:val="ListParagraph"/>
              <w:numPr>
                <w:ilvl w:val="0"/>
                <w:numId w:val="16"/>
              </w:numPr>
              <w:spacing w:after="12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bCs/>
                <w:sz w:val="20"/>
                <w:szCs w:val="18"/>
              </w:rPr>
            </w:pPr>
            <w:r w:rsidRPr="00BB65A8">
              <w:rPr>
                <w:rFonts w:ascii="Arial" w:hAnsi="Arial" w:cs="Arial"/>
                <w:bCs/>
                <w:sz w:val="20"/>
                <w:szCs w:val="18"/>
              </w:rPr>
              <w:t xml:space="preserve">The response rates achieved for the two WDHB surveys (using a conservative measure) were reasonable, but not exceptional. </w:t>
            </w:r>
          </w:p>
        </w:tc>
      </w:tr>
      <w:tr w:rsidR="000A0D15" w14:paraId="3BC58346" w14:textId="77777777" w:rsidTr="00DE42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8D3947B" w14:textId="77777777" w:rsidR="000A0D15" w:rsidRDefault="000A0D15" w:rsidP="00934830">
            <w:pPr>
              <w:spacing w:before="0"/>
              <w:ind w:left="0"/>
              <w:rPr>
                <w:rFonts w:cs="Arial"/>
                <w:b w:val="0"/>
                <w:bCs w:val="0"/>
                <w:sz w:val="20"/>
                <w:szCs w:val="18"/>
              </w:rPr>
            </w:pPr>
            <w:r>
              <w:rPr>
                <w:rFonts w:cs="Arial"/>
                <w:b w:val="0"/>
                <w:bCs w:val="0"/>
                <w:sz w:val="20"/>
                <w:szCs w:val="18"/>
              </w:rPr>
              <w:t>2013 WDHB provider survey (</w:t>
            </w:r>
            <w:r w:rsidR="00934830">
              <w:rPr>
                <w:rFonts w:cs="Arial"/>
                <w:b w:val="0"/>
                <w:bCs w:val="0"/>
                <w:sz w:val="20"/>
                <w:szCs w:val="18"/>
              </w:rPr>
              <w:t>general practice</w:t>
            </w:r>
            <w:r>
              <w:rPr>
                <w:rFonts w:cs="Arial"/>
                <w:b w:val="0"/>
                <w:bCs w:val="0"/>
                <w:sz w:val="20"/>
                <w:szCs w:val="18"/>
              </w:rPr>
              <w:t xml:space="preserve"> responses)</w:t>
            </w:r>
            <w:r w:rsidR="00BB65A8">
              <w:rPr>
                <w:rFonts w:cs="Arial"/>
                <w:b w:val="0"/>
                <w:bCs w:val="0"/>
                <w:sz w:val="20"/>
                <w:szCs w:val="18"/>
              </w:rPr>
              <w:t xml:space="preserve"> (Litmus 2014 b)</w:t>
            </w:r>
          </w:p>
        </w:tc>
        <w:tc>
          <w:tcPr>
            <w:tcW w:w="1100" w:type="dxa"/>
            <w:hideMark/>
          </w:tcPr>
          <w:p w14:paraId="17F40FD2" w14:textId="77777777" w:rsidR="000A0D15" w:rsidRDefault="000A0D15" w:rsidP="000A0D15">
            <w:pPr>
              <w:spacing w:before="0"/>
              <w:ind w:left="0"/>
              <w:cnfStyle w:val="000000010000" w:firstRow="0" w:lastRow="0" w:firstColumn="0" w:lastColumn="0" w:oddVBand="0" w:evenVBand="0" w:oddHBand="0" w:evenHBand="1" w:firstRowFirstColumn="0" w:firstRowLastColumn="0" w:lastRowFirstColumn="0" w:lastRowLastColumn="0"/>
              <w:rPr>
                <w:rFonts w:cs="Arial"/>
                <w:bCs/>
                <w:sz w:val="20"/>
                <w:szCs w:val="18"/>
              </w:rPr>
            </w:pPr>
            <w:r>
              <w:rPr>
                <w:rFonts w:cs="Arial"/>
                <w:bCs/>
                <w:sz w:val="20"/>
                <w:szCs w:val="18"/>
              </w:rPr>
              <w:t xml:space="preserve">Medium </w:t>
            </w:r>
          </w:p>
        </w:tc>
        <w:tc>
          <w:tcPr>
            <w:tcW w:w="5987" w:type="dxa"/>
          </w:tcPr>
          <w:p w14:paraId="090FBCAA" w14:textId="77777777" w:rsidR="000A0D15" w:rsidRDefault="00BB65A8" w:rsidP="00CC5733">
            <w:pPr>
              <w:pStyle w:val="ListParagraph"/>
              <w:numPr>
                <w:ilvl w:val="0"/>
                <w:numId w:val="16"/>
              </w:numPr>
              <w:spacing w:line="240" w:lineRule="auto"/>
              <w:ind w:left="357" w:hanging="357"/>
              <w:cnfStyle w:val="000000010000" w:firstRow="0" w:lastRow="0" w:firstColumn="0" w:lastColumn="0" w:oddVBand="0" w:evenVBand="0" w:oddHBand="0" w:evenHBand="1" w:firstRowFirstColumn="0" w:firstRowLastColumn="0" w:lastRowFirstColumn="0" w:lastRowLastColumn="0"/>
              <w:rPr>
                <w:rFonts w:ascii="Arial" w:hAnsi="Arial" w:cs="Arial"/>
                <w:bCs/>
                <w:sz w:val="20"/>
                <w:szCs w:val="18"/>
              </w:rPr>
            </w:pPr>
            <w:r w:rsidRPr="00BB65A8">
              <w:rPr>
                <w:rFonts w:ascii="Arial" w:hAnsi="Arial" w:cs="Arial"/>
                <w:bCs/>
                <w:sz w:val="20"/>
                <w:szCs w:val="18"/>
              </w:rPr>
              <w:t xml:space="preserve">The key methodological limitations of the provider surveys are the low GP and practice nurse response rates and an inability to establish whether GP and practice nurse samples are representative of the wider population of WDHB GPs and practice nurses. Consequently, GP and practice nurse findings are indicative and not definitive.  </w:t>
            </w:r>
          </w:p>
        </w:tc>
      </w:tr>
      <w:tr w:rsidR="000A0D15" w14:paraId="40844704" w14:textId="77777777" w:rsidTr="00DE42AD">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843" w:type="dxa"/>
          </w:tcPr>
          <w:p w14:paraId="2349F324" w14:textId="77777777" w:rsidR="000A0D15" w:rsidRDefault="000A0D15" w:rsidP="00934830">
            <w:pPr>
              <w:spacing w:before="0"/>
              <w:ind w:left="0"/>
              <w:rPr>
                <w:rFonts w:cs="Arial"/>
                <w:b w:val="0"/>
                <w:bCs w:val="0"/>
                <w:sz w:val="20"/>
                <w:szCs w:val="18"/>
              </w:rPr>
            </w:pPr>
            <w:r>
              <w:rPr>
                <w:rFonts w:cs="Arial"/>
                <w:b w:val="0"/>
                <w:bCs w:val="0"/>
                <w:sz w:val="20"/>
                <w:szCs w:val="18"/>
              </w:rPr>
              <w:t xml:space="preserve">Immersion interviews with </w:t>
            </w:r>
            <w:r w:rsidR="00934830">
              <w:rPr>
                <w:rFonts w:cs="Arial"/>
                <w:b w:val="0"/>
                <w:bCs w:val="0"/>
                <w:sz w:val="20"/>
                <w:szCs w:val="18"/>
              </w:rPr>
              <w:t xml:space="preserve">general </w:t>
            </w:r>
            <w:r w:rsidR="00222422">
              <w:rPr>
                <w:rFonts w:cs="Arial"/>
                <w:b w:val="0"/>
                <w:bCs w:val="0"/>
                <w:sz w:val="20"/>
                <w:szCs w:val="18"/>
              </w:rPr>
              <w:t>practice and WDHB staff</w:t>
            </w:r>
          </w:p>
        </w:tc>
        <w:tc>
          <w:tcPr>
            <w:tcW w:w="1100" w:type="dxa"/>
            <w:hideMark/>
          </w:tcPr>
          <w:p w14:paraId="67017654" w14:textId="77777777" w:rsidR="000A0D15" w:rsidRDefault="000A0D15">
            <w:pPr>
              <w:spacing w:before="0"/>
              <w:ind w:left="0"/>
              <w:cnfStyle w:val="000000100000" w:firstRow="0" w:lastRow="0" w:firstColumn="0" w:lastColumn="0" w:oddVBand="0" w:evenVBand="0" w:oddHBand="1" w:evenHBand="0" w:firstRowFirstColumn="0" w:firstRowLastColumn="0" w:lastRowFirstColumn="0" w:lastRowLastColumn="0"/>
              <w:rPr>
                <w:rFonts w:cs="Arial"/>
                <w:bCs/>
                <w:sz w:val="20"/>
                <w:szCs w:val="18"/>
              </w:rPr>
            </w:pPr>
            <w:r>
              <w:rPr>
                <w:rFonts w:cs="Arial"/>
                <w:bCs/>
                <w:sz w:val="20"/>
                <w:szCs w:val="18"/>
              </w:rPr>
              <w:t>Medium</w:t>
            </w:r>
          </w:p>
        </w:tc>
        <w:tc>
          <w:tcPr>
            <w:tcW w:w="5987" w:type="dxa"/>
            <w:hideMark/>
          </w:tcPr>
          <w:p w14:paraId="3E2574F1" w14:textId="77777777" w:rsidR="000A0D15" w:rsidRPr="00934830" w:rsidRDefault="000A0D15" w:rsidP="00CC5733">
            <w:pPr>
              <w:pStyle w:val="ListParagraph"/>
              <w:numPr>
                <w:ilvl w:val="0"/>
                <w:numId w:val="16"/>
              </w:numPr>
              <w:spacing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bCs/>
                <w:sz w:val="20"/>
                <w:szCs w:val="18"/>
              </w:rPr>
            </w:pPr>
            <w:r w:rsidRPr="00934830">
              <w:rPr>
                <w:rFonts w:ascii="Arial" w:hAnsi="Arial" w:cs="Arial"/>
                <w:bCs/>
                <w:sz w:val="20"/>
                <w:szCs w:val="18"/>
              </w:rPr>
              <w:t xml:space="preserve">The perspective of primary care on the BSP is limited to the participants from ten general practices from </w:t>
            </w:r>
            <w:proofErr w:type="spellStart"/>
            <w:r w:rsidR="006A2C8B">
              <w:rPr>
                <w:rFonts w:ascii="Arial" w:hAnsi="Arial" w:cs="Arial"/>
                <w:bCs/>
                <w:sz w:val="20"/>
                <w:szCs w:val="18"/>
              </w:rPr>
              <w:t>Waitematā</w:t>
            </w:r>
            <w:proofErr w:type="spellEnd"/>
            <w:r w:rsidRPr="00934830">
              <w:rPr>
                <w:rFonts w:ascii="Arial" w:hAnsi="Arial" w:cs="Arial"/>
                <w:bCs/>
                <w:sz w:val="20"/>
                <w:szCs w:val="18"/>
              </w:rPr>
              <w:t xml:space="preserve"> Primary Health Organisation (PHO) and </w:t>
            </w:r>
            <w:proofErr w:type="spellStart"/>
            <w:r w:rsidRPr="00934830">
              <w:rPr>
                <w:rFonts w:ascii="Arial" w:hAnsi="Arial" w:cs="Arial"/>
                <w:bCs/>
                <w:sz w:val="20"/>
                <w:szCs w:val="18"/>
              </w:rPr>
              <w:t>Procare</w:t>
            </w:r>
            <w:proofErr w:type="spellEnd"/>
            <w:r w:rsidRPr="00934830">
              <w:rPr>
                <w:rFonts w:ascii="Arial" w:hAnsi="Arial" w:cs="Arial"/>
                <w:bCs/>
                <w:sz w:val="20"/>
                <w:szCs w:val="18"/>
              </w:rPr>
              <w:t xml:space="preserve">. </w:t>
            </w:r>
          </w:p>
          <w:p w14:paraId="3E042821" w14:textId="3D73ED93" w:rsidR="00934830" w:rsidRDefault="00934830">
            <w:pPr>
              <w:pStyle w:val="ListParagraph"/>
              <w:numPr>
                <w:ilvl w:val="0"/>
                <w:numId w:val="16"/>
              </w:numPr>
              <w:spacing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bCs/>
                <w:sz w:val="20"/>
                <w:szCs w:val="18"/>
              </w:rPr>
            </w:pPr>
            <w:r w:rsidRPr="00934830">
              <w:rPr>
                <w:rFonts w:ascii="Arial" w:hAnsi="Arial" w:cs="Arial"/>
                <w:bCs/>
                <w:sz w:val="20"/>
                <w:szCs w:val="18"/>
              </w:rPr>
              <w:t xml:space="preserve">Variations in processes and opinion on general practice were noted across the </w:t>
            </w:r>
            <w:r w:rsidR="000D7E64">
              <w:rPr>
                <w:rFonts w:ascii="Arial" w:hAnsi="Arial" w:cs="Arial"/>
                <w:bCs/>
                <w:sz w:val="20"/>
                <w:szCs w:val="18"/>
              </w:rPr>
              <w:t xml:space="preserve">ten </w:t>
            </w:r>
            <w:r w:rsidRPr="00934830">
              <w:rPr>
                <w:rFonts w:ascii="Arial" w:hAnsi="Arial" w:cs="Arial"/>
                <w:bCs/>
                <w:sz w:val="20"/>
                <w:szCs w:val="18"/>
              </w:rPr>
              <w:t>practices.</w:t>
            </w:r>
          </w:p>
        </w:tc>
      </w:tr>
      <w:tr w:rsidR="000A0D15" w14:paraId="43231D89" w14:textId="77777777" w:rsidTr="00DE42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DA533CE" w14:textId="77777777" w:rsidR="000A0D15" w:rsidRDefault="000A0D15">
            <w:pPr>
              <w:spacing w:before="0"/>
              <w:ind w:left="0"/>
              <w:rPr>
                <w:rFonts w:cs="Arial"/>
                <w:b w:val="0"/>
                <w:bCs w:val="0"/>
                <w:sz w:val="20"/>
                <w:szCs w:val="18"/>
              </w:rPr>
            </w:pPr>
            <w:r>
              <w:rPr>
                <w:rFonts w:cs="Arial"/>
                <w:b w:val="0"/>
                <w:bCs w:val="0"/>
                <w:sz w:val="20"/>
                <w:szCs w:val="18"/>
              </w:rPr>
              <w:lastRenderedPageBreak/>
              <w:t xml:space="preserve">Qualitative interviews with BSP participants </w:t>
            </w:r>
          </w:p>
        </w:tc>
        <w:tc>
          <w:tcPr>
            <w:tcW w:w="1100" w:type="dxa"/>
            <w:hideMark/>
          </w:tcPr>
          <w:p w14:paraId="35C12706" w14:textId="77777777" w:rsidR="000A0D15" w:rsidRDefault="000A0D15">
            <w:pPr>
              <w:spacing w:before="0"/>
              <w:ind w:left="0"/>
              <w:cnfStyle w:val="000000010000" w:firstRow="0" w:lastRow="0" w:firstColumn="0" w:lastColumn="0" w:oddVBand="0" w:evenVBand="0" w:oddHBand="0" w:evenHBand="1" w:firstRowFirstColumn="0" w:firstRowLastColumn="0" w:lastRowFirstColumn="0" w:lastRowLastColumn="0"/>
              <w:rPr>
                <w:rFonts w:cs="Arial"/>
                <w:bCs/>
                <w:sz w:val="20"/>
                <w:szCs w:val="18"/>
              </w:rPr>
            </w:pPr>
            <w:r>
              <w:rPr>
                <w:rFonts w:cs="Arial"/>
                <w:bCs/>
                <w:sz w:val="20"/>
                <w:szCs w:val="18"/>
              </w:rPr>
              <w:t>Medium</w:t>
            </w:r>
          </w:p>
        </w:tc>
        <w:tc>
          <w:tcPr>
            <w:tcW w:w="5987" w:type="dxa"/>
            <w:hideMark/>
          </w:tcPr>
          <w:p w14:paraId="4E02EC11" w14:textId="77777777" w:rsidR="00934830" w:rsidRPr="00934830" w:rsidRDefault="00934830" w:rsidP="00CC5733">
            <w:pPr>
              <w:pStyle w:val="ListParagraph"/>
              <w:numPr>
                <w:ilvl w:val="0"/>
                <w:numId w:val="16"/>
              </w:numPr>
              <w:spacing w:line="240" w:lineRule="auto"/>
              <w:ind w:left="357" w:hanging="357"/>
              <w:cnfStyle w:val="000000010000" w:firstRow="0" w:lastRow="0" w:firstColumn="0" w:lastColumn="0" w:oddVBand="0" w:evenVBand="0" w:oddHBand="0" w:evenHBand="1" w:firstRowFirstColumn="0" w:firstRowLastColumn="0" w:lastRowFirstColumn="0" w:lastRowLastColumn="0"/>
              <w:rPr>
                <w:rFonts w:ascii="Arial" w:hAnsi="Arial" w:cs="Arial"/>
                <w:bCs/>
                <w:sz w:val="20"/>
                <w:szCs w:val="18"/>
              </w:rPr>
            </w:pPr>
            <w:r w:rsidRPr="00934830">
              <w:rPr>
                <w:rFonts w:ascii="Arial" w:hAnsi="Arial" w:cs="Arial"/>
                <w:bCs/>
                <w:sz w:val="20"/>
                <w:szCs w:val="18"/>
              </w:rPr>
              <w:t xml:space="preserve">Findings are dependent on participants’ recall of the order of events and experiences on the BSP screening pathway.  </w:t>
            </w:r>
          </w:p>
          <w:p w14:paraId="61272EAD" w14:textId="236E003D" w:rsidR="00934830" w:rsidRPr="00934830" w:rsidRDefault="00934830" w:rsidP="00CC5733">
            <w:pPr>
              <w:pStyle w:val="ListParagraph"/>
              <w:numPr>
                <w:ilvl w:val="0"/>
                <w:numId w:val="16"/>
              </w:numPr>
              <w:spacing w:line="240" w:lineRule="auto"/>
              <w:ind w:left="357" w:hanging="357"/>
              <w:cnfStyle w:val="000000010000" w:firstRow="0" w:lastRow="0" w:firstColumn="0" w:lastColumn="0" w:oddVBand="0" w:evenVBand="0" w:oddHBand="0" w:evenHBand="1" w:firstRowFirstColumn="0" w:firstRowLastColumn="0" w:lastRowFirstColumn="0" w:lastRowLastColumn="0"/>
              <w:rPr>
                <w:rFonts w:ascii="Arial" w:hAnsi="Arial" w:cs="Arial"/>
                <w:bCs/>
                <w:sz w:val="20"/>
                <w:szCs w:val="18"/>
              </w:rPr>
            </w:pPr>
            <w:r w:rsidRPr="00934830">
              <w:rPr>
                <w:rFonts w:ascii="Arial" w:hAnsi="Arial" w:cs="Arial"/>
                <w:bCs/>
                <w:sz w:val="20"/>
                <w:szCs w:val="18"/>
              </w:rPr>
              <w:t xml:space="preserve">Undertaking </w:t>
            </w:r>
            <w:r w:rsidR="000D7E64">
              <w:rPr>
                <w:rFonts w:ascii="Arial" w:hAnsi="Arial" w:cs="Arial"/>
                <w:bCs/>
                <w:sz w:val="20"/>
                <w:szCs w:val="18"/>
              </w:rPr>
              <w:t xml:space="preserve">ten </w:t>
            </w:r>
            <w:r w:rsidRPr="00934830">
              <w:rPr>
                <w:rFonts w:ascii="Arial" w:hAnsi="Arial" w:cs="Arial"/>
                <w:bCs/>
                <w:sz w:val="20"/>
                <w:szCs w:val="18"/>
              </w:rPr>
              <w:t xml:space="preserve">qualitative interviews means the diversity of Māori and Pacific BSP participants may not be covered, and Asian people and European were not included therefore not all experiences of those participating in the BSP have been explored.  </w:t>
            </w:r>
          </w:p>
          <w:p w14:paraId="37368F45" w14:textId="77777777" w:rsidR="000A0D15" w:rsidRDefault="00934830" w:rsidP="00CC5733">
            <w:pPr>
              <w:pStyle w:val="ListParagraph"/>
              <w:numPr>
                <w:ilvl w:val="0"/>
                <w:numId w:val="16"/>
              </w:numPr>
              <w:spacing w:line="240" w:lineRule="auto"/>
              <w:ind w:left="357" w:hanging="357"/>
              <w:cnfStyle w:val="000000010000" w:firstRow="0" w:lastRow="0" w:firstColumn="0" w:lastColumn="0" w:oddVBand="0" w:evenVBand="0" w:oddHBand="0" w:evenHBand="1" w:firstRowFirstColumn="0" w:firstRowLastColumn="0" w:lastRowFirstColumn="0" w:lastRowLastColumn="0"/>
              <w:rPr>
                <w:rFonts w:ascii="Arial" w:hAnsi="Arial" w:cs="Arial"/>
                <w:bCs/>
                <w:sz w:val="20"/>
                <w:szCs w:val="18"/>
              </w:rPr>
            </w:pPr>
            <w:r>
              <w:rPr>
                <w:rFonts w:ascii="Arial" w:hAnsi="Arial" w:cs="Arial"/>
                <w:bCs/>
                <w:sz w:val="20"/>
                <w:szCs w:val="18"/>
              </w:rPr>
              <w:t>T</w:t>
            </w:r>
            <w:r w:rsidR="00B43A01">
              <w:rPr>
                <w:rFonts w:ascii="Arial" w:hAnsi="Arial" w:cs="Arial"/>
                <w:bCs/>
                <w:sz w:val="20"/>
                <w:szCs w:val="18"/>
              </w:rPr>
              <w:t>wo</w:t>
            </w:r>
            <w:r w:rsidRPr="00934830">
              <w:rPr>
                <w:rFonts w:ascii="Arial" w:hAnsi="Arial" w:cs="Arial"/>
                <w:bCs/>
                <w:sz w:val="20"/>
                <w:szCs w:val="18"/>
              </w:rPr>
              <w:t xml:space="preserve"> Māori and </w:t>
            </w:r>
            <w:r w:rsidR="00274716">
              <w:rPr>
                <w:rFonts w:ascii="Arial" w:hAnsi="Arial" w:cs="Arial"/>
                <w:bCs/>
                <w:sz w:val="20"/>
                <w:szCs w:val="18"/>
              </w:rPr>
              <w:t>five</w:t>
            </w:r>
            <w:r w:rsidRPr="00934830">
              <w:rPr>
                <w:rFonts w:ascii="Arial" w:hAnsi="Arial" w:cs="Arial"/>
                <w:bCs/>
                <w:sz w:val="20"/>
                <w:szCs w:val="18"/>
              </w:rPr>
              <w:t xml:space="preserve"> Pacific participants </w:t>
            </w:r>
            <w:r>
              <w:rPr>
                <w:rFonts w:ascii="Arial" w:hAnsi="Arial" w:cs="Arial"/>
                <w:bCs/>
                <w:sz w:val="20"/>
                <w:szCs w:val="18"/>
              </w:rPr>
              <w:t>were</w:t>
            </w:r>
            <w:r w:rsidRPr="00934830">
              <w:rPr>
                <w:rFonts w:ascii="Arial" w:hAnsi="Arial" w:cs="Arial"/>
                <w:bCs/>
                <w:sz w:val="20"/>
                <w:szCs w:val="18"/>
              </w:rPr>
              <w:t xml:space="preserve"> informed about their</w:t>
            </w:r>
            <w:r w:rsidR="00084D12">
              <w:rPr>
                <w:rFonts w:ascii="Arial" w:hAnsi="Arial" w:cs="Arial"/>
                <w:bCs/>
                <w:sz w:val="20"/>
                <w:szCs w:val="18"/>
              </w:rPr>
              <w:t xml:space="preserve"> </w:t>
            </w:r>
            <w:proofErr w:type="spellStart"/>
            <w:r w:rsidR="00084D12">
              <w:rPr>
                <w:rFonts w:ascii="Arial" w:hAnsi="Arial" w:cs="Arial"/>
                <w:bCs/>
                <w:sz w:val="20"/>
                <w:szCs w:val="18"/>
              </w:rPr>
              <w:t>iFOBT</w:t>
            </w:r>
            <w:proofErr w:type="spellEnd"/>
            <w:r w:rsidRPr="00934830">
              <w:rPr>
                <w:rFonts w:ascii="Arial" w:hAnsi="Arial" w:cs="Arial"/>
                <w:bCs/>
                <w:sz w:val="20"/>
                <w:szCs w:val="18"/>
              </w:rPr>
              <w:t xml:space="preserve"> results from the</w:t>
            </w:r>
            <w:r w:rsidR="00274716">
              <w:rPr>
                <w:rFonts w:ascii="Arial" w:hAnsi="Arial" w:cs="Arial"/>
                <w:bCs/>
                <w:sz w:val="20"/>
                <w:szCs w:val="18"/>
              </w:rPr>
              <w:t xml:space="preserve"> </w:t>
            </w:r>
            <w:r w:rsidR="009E3E09">
              <w:rPr>
                <w:rFonts w:ascii="Arial" w:hAnsi="Arial" w:cs="Arial"/>
                <w:bCs/>
                <w:sz w:val="20"/>
                <w:szCs w:val="18"/>
              </w:rPr>
              <w:t>Endoscopy Unit</w:t>
            </w:r>
            <w:r w:rsidRPr="00934830">
              <w:rPr>
                <w:rFonts w:ascii="Arial" w:hAnsi="Arial" w:cs="Arial"/>
                <w:bCs/>
                <w:sz w:val="20"/>
                <w:szCs w:val="18"/>
              </w:rPr>
              <w:t xml:space="preserve">.  Participants were not screened as it was assumed that most would have received their positive </w:t>
            </w:r>
            <w:proofErr w:type="spellStart"/>
            <w:r w:rsidRPr="00934830">
              <w:rPr>
                <w:rFonts w:ascii="Arial" w:hAnsi="Arial" w:cs="Arial"/>
                <w:bCs/>
                <w:sz w:val="20"/>
                <w:szCs w:val="18"/>
              </w:rPr>
              <w:t>iFOBT</w:t>
            </w:r>
            <w:proofErr w:type="spellEnd"/>
            <w:r w:rsidRPr="00934830">
              <w:rPr>
                <w:rFonts w:ascii="Arial" w:hAnsi="Arial" w:cs="Arial"/>
                <w:bCs/>
                <w:sz w:val="20"/>
                <w:szCs w:val="18"/>
              </w:rPr>
              <w:t xml:space="preserve"> result via their general practice.  </w:t>
            </w:r>
            <w:r w:rsidR="00084D12">
              <w:rPr>
                <w:rFonts w:ascii="Arial" w:hAnsi="Arial" w:cs="Arial"/>
                <w:bCs/>
                <w:sz w:val="20"/>
                <w:szCs w:val="18"/>
              </w:rPr>
              <w:t>Further</w:t>
            </w:r>
            <w:r w:rsidR="00EE3C0F">
              <w:rPr>
                <w:rFonts w:ascii="Arial" w:hAnsi="Arial" w:cs="Arial"/>
                <w:bCs/>
                <w:sz w:val="20"/>
                <w:szCs w:val="18"/>
              </w:rPr>
              <w:t>,</w:t>
            </w:r>
            <w:r w:rsidR="00084D12">
              <w:rPr>
                <w:rFonts w:ascii="Arial" w:hAnsi="Arial" w:cs="Arial"/>
                <w:bCs/>
                <w:sz w:val="20"/>
                <w:szCs w:val="18"/>
              </w:rPr>
              <w:t xml:space="preserve"> t</w:t>
            </w:r>
            <w:r w:rsidR="00BA530D">
              <w:rPr>
                <w:rFonts w:ascii="Arial" w:hAnsi="Arial" w:cs="Arial"/>
                <w:bCs/>
                <w:sz w:val="20"/>
                <w:szCs w:val="18"/>
              </w:rPr>
              <w:t>he</w:t>
            </w:r>
            <w:r w:rsidRPr="00934830">
              <w:rPr>
                <w:rFonts w:ascii="Arial" w:hAnsi="Arial" w:cs="Arial"/>
                <w:bCs/>
                <w:sz w:val="20"/>
                <w:szCs w:val="18"/>
              </w:rPr>
              <w:t xml:space="preserve"> pool from which to draw the purposive sample was relatively small to be screening out participants.  </w:t>
            </w:r>
            <w:r>
              <w:rPr>
                <w:rFonts w:ascii="Arial" w:hAnsi="Arial" w:cs="Arial"/>
                <w:bCs/>
                <w:sz w:val="20"/>
                <w:szCs w:val="18"/>
              </w:rPr>
              <w:t>T</w:t>
            </w:r>
            <w:r w:rsidRPr="00934830">
              <w:rPr>
                <w:rFonts w:ascii="Arial" w:hAnsi="Arial" w:cs="Arial"/>
                <w:bCs/>
                <w:sz w:val="20"/>
                <w:szCs w:val="18"/>
              </w:rPr>
              <w:t xml:space="preserve">he sample achieved enabled the exploration of participants’ experience of hearing about their results via the </w:t>
            </w:r>
            <w:r w:rsidR="009E3E09">
              <w:rPr>
                <w:rFonts w:ascii="Arial" w:hAnsi="Arial" w:cs="Arial"/>
                <w:bCs/>
                <w:sz w:val="20"/>
                <w:szCs w:val="18"/>
              </w:rPr>
              <w:t>Endoscopy Unit</w:t>
            </w:r>
            <w:r w:rsidRPr="00934830">
              <w:rPr>
                <w:rFonts w:ascii="Arial" w:hAnsi="Arial" w:cs="Arial"/>
                <w:bCs/>
                <w:sz w:val="20"/>
                <w:szCs w:val="18"/>
              </w:rPr>
              <w:t xml:space="preserve"> and whether they would have preferred to have received their results from their general practice. </w:t>
            </w:r>
          </w:p>
        </w:tc>
      </w:tr>
    </w:tbl>
    <w:p w14:paraId="3530F7F2" w14:textId="77777777" w:rsidR="000A0D15" w:rsidRDefault="000A0D15" w:rsidP="002D6CA5">
      <w:pPr>
        <w:tabs>
          <w:tab w:val="num" w:pos="1276"/>
        </w:tabs>
      </w:pPr>
    </w:p>
    <w:bookmarkEnd w:id="45"/>
    <w:bookmarkEnd w:id="46"/>
    <w:p w14:paraId="32A4DD53" w14:textId="77777777" w:rsidR="00192DD8" w:rsidRDefault="00192DD8" w:rsidP="00CC5733">
      <w:pPr>
        <w:pStyle w:val="Bullet"/>
        <w:numPr>
          <w:ilvl w:val="0"/>
          <w:numId w:val="8"/>
        </w:numPr>
      </w:pPr>
      <w:r>
        <w:br w:type="page"/>
      </w:r>
    </w:p>
    <w:p w14:paraId="79CB8DE5" w14:textId="77777777" w:rsidR="00C64168" w:rsidRPr="004B7F3E" w:rsidRDefault="00436F9D" w:rsidP="00436F9D">
      <w:pPr>
        <w:pStyle w:val="Heading1"/>
        <w:rPr>
          <w:lang w:val="en-US"/>
        </w:rPr>
      </w:pPr>
      <w:bookmarkStart w:id="54" w:name="_Toc380424707"/>
      <w:r>
        <w:rPr>
          <w:lang w:val="en-US"/>
        </w:rPr>
        <w:lastRenderedPageBreak/>
        <w:t>4.</w:t>
      </w:r>
      <w:r>
        <w:rPr>
          <w:lang w:val="en-US"/>
        </w:rPr>
        <w:tab/>
      </w:r>
      <w:r w:rsidR="00084D12" w:rsidRPr="004B7F3E">
        <w:rPr>
          <w:lang w:val="en-US"/>
        </w:rPr>
        <w:t>Overview of General Practices’ R</w:t>
      </w:r>
      <w:r w:rsidR="00C64168" w:rsidRPr="004B7F3E">
        <w:rPr>
          <w:lang w:val="en-US"/>
        </w:rPr>
        <w:t>ole</w:t>
      </w:r>
      <w:bookmarkEnd w:id="54"/>
    </w:p>
    <w:p w14:paraId="110F74BE" w14:textId="77777777" w:rsidR="001F712C" w:rsidRDefault="006B1E4D" w:rsidP="006B1E4D">
      <w:r>
        <w:t xml:space="preserve">This section describes the role of general practice in </w:t>
      </w:r>
      <w:r w:rsidR="00EB47FD">
        <w:t xml:space="preserve">the BSP in particular </w:t>
      </w:r>
      <w:r>
        <w:t xml:space="preserve">informing participants of positive </w:t>
      </w:r>
      <w:proofErr w:type="spellStart"/>
      <w:r>
        <w:t>iFOBT</w:t>
      </w:r>
      <w:proofErr w:type="spellEnd"/>
      <w:r>
        <w:t xml:space="preserve"> results</w:t>
      </w:r>
      <w:r w:rsidR="001F712C">
        <w:t xml:space="preserve"> and surveillance recall</w:t>
      </w:r>
      <w:r>
        <w:t xml:space="preserve">. </w:t>
      </w:r>
    </w:p>
    <w:p w14:paraId="18FE5BE4" w14:textId="77777777" w:rsidR="00CF2B7F" w:rsidRPr="003939A4" w:rsidRDefault="00CF2B7F" w:rsidP="00CF2B7F">
      <w:pPr>
        <w:rPr>
          <w:lang w:eastAsia="ar-SA"/>
        </w:rPr>
      </w:pPr>
      <w:r>
        <w:t xml:space="preserve">Most of the information about the BSP process is drawn from the BSP resource for health providers </w:t>
      </w:r>
      <w:r w:rsidRPr="003939A4">
        <w:rPr>
          <w:lang w:eastAsia="ar-SA"/>
        </w:rPr>
        <w:t>(WDHB 2012).</w:t>
      </w:r>
    </w:p>
    <w:p w14:paraId="7117FC83" w14:textId="77777777" w:rsidR="00831A25" w:rsidRDefault="00831A25" w:rsidP="00831A25">
      <w:pPr>
        <w:pStyle w:val="Heading3"/>
      </w:pPr>
      <w:r w:rsidRPr="00831A25">
        <w:t>Responsibility</w:t>
      </w:r>
    </w:p>
    <w:p w14:paraId="403F20C1" w14:textId="77777777" w:rsidR="00831A25" w:rsidRDefault="000A490A" w:rsidP="00831A25">
      <w:r>
        <w:t xml:space="preserve">Primary care are responsible for informing BSP participants of a positive </w:t>
      </w:r>
      <w:proofErr w:type="spellStart"/>
      <w:r w:rsidRPr="009B5662">
        <w:rPr>
          <w:lang w:eastAsia="ar-SA"/>
        </w:rPr>
        <w:t>iFOBT</w:t>
      </w:r>
      <w:proofErr w:type="spellEnd"/>
      <w:r>
        <w:rPr>
          <w:lang w:eastAsia="ar-SA"/>
        </w:rPr>
        <w:t xml:space="preserve">.  The BSP Coordination Centre is responsible for all other aspects of </w:t>
      </w:r>
      <w:r w:rsidR="00831A25" w:rsidRPr="009B5662">
        <w:t>participants’ care, while they are on the</w:t>
      </w:r>
      <w:r w:rsidR="00831A25">
        <w:t xml:space="preserve"> bowel screening pathway.  </w:t>
      </w:r>
    </w:p>
    <w:p w14:paraId="50D86CFF" w14:textId="77777777" w:rsidR="00831A25" w:rsidRDefault="00831A25" w:rsidP="00831A25">
      <w:pPr>
        <w:pStyle w:val="Heading3"/>
      </w:pPr>
      <w:r w:rsidRPr="00831A25">
        <w:t>Participant invitation</w:t>
      </w:r>
    </w:p>
    <w:p w14:paraId="19DA4729" w14:textId="77777777" w:rsidR="00831A25" w:rsidRDefault="00831A25" w:rsidP="00831A25">
      <w:pPr>
        <w:rPr>
          <w:i/>
        </w:rPr>
      </w:pPr>
      <w:r>
        <w:rPr>
          <w:lang w:eastAsia="ar-SA"/>
        </w:rPr>
        <w:t>Originally, it was intended that GPs would be kept informed about which of their patients were going to be invited to take part in the BSP.  This step was not been implemented.  Consequently</w:t>
      </w:r>
      <w:r w:rsidR="00994BF1">
        <w:rPr>
          <w:lang w:eastAsia="ar-SA"/>
        </w:rPr>
        <w:t>,</w:t>
      </w:r>
      <w:r w:rsidR="00BA530D">
        <w:rPr>
          <w:lang w:eastAsia="ar-SA"/>
        </w:rPr>
        <w:t xml:space="preserve"> </w:t>
      </w:r>
      <w:r>
        <w:rPr>
          <w:lang w:eastAsia="ar-SA"/>
        </w:rPr>
        <w:t xml:space="preserve">GPs are not aware which of their patients have received their </w:t>
      </w:r>
      <w:proofErr w:type="spellStart"/>
      <w:r w:rsidR="00B92529">
        <w:rPr>
          <w:lang w:eastAsia="ar-SA"/>
        </w:rPr>
        <w:t>iFOBT</w:t>
      </w:r>
      <w:proofErr w:type="spellEnd"/>
      <w:r>
        <w:rPr>
          <w:lang w:eastAsia="ar-SA"/>
        </w:rPr>
        <w:t xml:space="preserve"> kit and not returned it. </w:t>
      </w:r>
    </w:p>
    <w:p w14:paraId="65E89F2C" w14:textId="77777777" w:rsidR="001F712C" w:rsidRDefault="001F712C" w:rsidP="00831A25">
      <w:pPr>
        <w:pStyle w:val="Heading3"/>
      </w:pPr>
      <w:proofErr w:type="spellStart"/>
      <w:r>
        <w:t>iFOBT</w:t>
      </w:r>
      <w:proofErr w:type="spellEnd"/>
      <w:r w:rsidR="00831A25">
        <w:t xml:space="preserve"> test</w:t>
      </w:r>
      <w:r>
        <w:t xml:space="preserve"> results</w:t>
      </w:r>
    </w:p>
    <w:p w14:paraId="282F4C6D" w14:textId="77777777" w:rsidR="00247575" w:rsidRDefault="006B1E4D" w:rsidP="00247575">
      <w:pPr>
        <w:rPr>
          <w:lang w:eastAsia="ar-SA"/>
        </w:rPr>
      </w:pPr>
      <w:proofErr w:type="spellStart"/>
      <w:r w:rsidRPr="009B5662">
        <w:rPr>
          <w:lang w:eastAsia="ar-SA"/>
        </w:rPr>
        <w:t>LabPLUS</w:t>
      </w:r>
      <w:proofErr w:type="spellEnd"/>
      <w:r w:rsidRPr="009B5662">
        <w:rPr>
          <w:lang w:eastAsia="ar-SA"/>
        </w:rPr>
        <w:t xml:space="preserve"> tests </w:t>
      </w:r>
      <w:proofErr w:type="spellStart"/>
      <w:r w:rsidRPr="009B5662">
        <w:rPr>
          <w:lang w:eastAsia="ar-SA"/>
        </w:rPr>
        <w:t>iFOBT</w:t>
      </w:r>
      <w:proofErr w:type="spellEnd"/>
      <w:r w:rsidRPr="009B5662">
        <w:rPr>
          <w:lang w:eastAsia="ar-SA"/>
        </w:rPr>
        <w:t xml:space="preserve"> samples and sends all results (positive, negative or spoilt) to the BSP Register and participants’ GPs within three working days of sample receipt.</w:t>
      </w:r>
      <w:r>
        <w:rPr>
          <w:lang w:eastAsia="ar-SA"/>
        </w:rPr>
        <w:t xml:space="preserve">  </w:t>
      </w:r>
      <w:r w:rsidR="001F712C">
        <w:rPr>
          <w:lang w:eastAsia="ar-SA"/>
        </w:rPr>
        <w:t xml:space="preserve">GPs receive </w:t>
      </w:r>
      <w:proofErr w:type="spellStart"/>
      <w:r w:rsidR="001F712C">
        <w:rPr>
          <w:lang w:eastAsia="ar-SA"/>
        </w:rPr>
        <w:t>iFOBT</w:t>
      </w:r>
      <w:proofErr w:type="spellEnd"/>
      <w:r w:rsidR="001F712C">
        <w:rPr>
          <w:lang w:eastAsia="ar-SA"/>
        </w:rPr>
        <w:t xml:space="preserve"> results via the business-as-usual lab results process (HL7 messages through </w:t>
      </w:r>
      <w:proofErr w:type="spellStart"/>
      <w:r w:rsidR="001F712C">
        <w:rPr>
          <w:lang w:eastAsia="ar-SA"/>
        </w:rPr>
        <w:t>Health</w:t>
      </w:r>
      <w:r w:rsidR="00375A28">
        <w:rPr>
          <w:lang w:eastAsia="ar-SA"/>
        </w:rPr>
        <w:t>L</w:t>
      </w:r>
      <w:r w:rsidR="001F712C">
        <w:rPr>
          <w:lang w:eastAsia="ar-SA"/>
        </w:rPr>
        <w:t>ink</w:t>
      </w:r>
      <w:proofErr w:type="spellEnd"/>
      <w:r w:rsidR="001F712C">
        <w:rPr>
          <w:lang w:eastAsia="ar-SA"/>
        </w:rPr>
        <w:t xml:space="preserve">).  </w:t>
      </w:r>
      <w:r w:rsidR="00247575">
        <w:rPr>
          <w:lang w:eastAsia="ar-SA"/>
        </w:rPr>
        <w:t xml:space="preserve">The results document includes specific instructions regarding what a GP has to do: </w:t>
      </w:r>
    </w:p>
    <w:p w14:paraId="3993CB96" w14:textId="4E0BE3D9" w:rsidR="00247575" w:rsidRPr="00375A28" w:rsidRDefault="00375A28" w:rsidP="00247575">
      <w:pPr>
        <w:pStyle w:val="Bullet"/>
        <w:numPr>
          <w:ilvl w:val="0"/>
          <w:numId w:val="8"/>
        </w:numPr>
        <w:tabs>
          <w:tab w:val="num" w:pos="2126"/>
          <w:tab w:val="num" w:pos="6663"/>
        </w:tabs>
        <w:rPr>
          <w:lang w:eastAsia="ar-SA"/>
        </w:rPr>
      </w:pPr>
      <w:r w:rsidRPr="00375A28">
        <w:rPr>
          <w:lang w:eastAsia="ar-SA"/>
        </w:rPr>
        <w:t>F</w:t>
      </w:r>
      <w:r w:rsidR="00247575" w:rsidRPr="00375A28">
        <w:rPr>
          <w:lang w:eastAsia="ar-SA"/>
        </w:rPr>
        <w:t xml:space="preserve">or positive result </w:t>
      </w:r>
      <w:r w:rsidRPr="00375A28">
        <w:rPr>
          <w:lang w:eastAsia="ar-SA"/>
        </w:rPr>
        <w:t xml:space="preserve">the GP has </w:t>
      </w:r>
      <w:r w:rsidR="00247575" w:rsidRPr="00375A28">
        <w:rPr>
          <w:lang w:eastAsia="ar-SA"/>
        </w:rPr>
        <w:t xml:space="preserve">to discuss the result with the patient and refer for colonoscopy to </w:t>
      </w:r>
      <w:r w:rsidR="000A490A">
        <w:rPr>
          <w:lang w:eastAsia="ar-SA"/>
        </w:rPr>
        <w:t>BSP</w:t>
      </w:r>
      <w:r w:rsidR="00247575" w:rsidRPr="00375A28">
        <w:rPr>
          <w:lang w:eastAsia="ar-SA"/>
        </w:rPr>
        <w:t xml:space="preserve"> via Booking and Scheduling </w:t>
      </w:r>
      <w:proofErr w:type="spellStart"/>
      <w:r w:rsidR="00247575" w:rsidRPr="00375A28">
        <w:rPr>
          <w:lang w:eastAsia="ar-SA"/>
        </w:rPr>
        <w:t>Waitemat</w:t>
      </w:r>
      <w:r w:rsidR="00247575" w:rsidRPr="00375A28">
        <w:rPr>
          <w:rFonts w:cs="Arial"/>
          <w:lang w:eastAsia="ar-SA"/>
        </w:rPr>
        <w:t>ā</w:t>
      </w:r>
      <w:proofErr w:type="spellEnd"/>
      <w:r w:rsidR="00247575" w:rsidRPr="00375A28">
        <w:rPr>
          <w:lang w:eastAsia="ar-SA"/>
        </w:rPr>
        <w:t xml:space="preserve"> DHB within </w:t>
      </w:r>
      <w:r w:rsidR="000D7E64">
        <w:rPr>
          <w:lang w:eastAsia="ar-SA"/>
        </w:rPr>
        <w:t xml:space="preserve">ten </w:t>
      </w:r>
      <w:r w:rsidR="00247575" w:rsidRPr="00375A28">
        <w:rPr>
          <w:lang w:eastAsia="ar-SA"/>
        </w:rPr>
        <w:t xml:space="preserve">days.  </w:t>
      </w:r>
    </w:p>
    <w:p w14:paraId="75F61919" w14:textId="77777777" w:rsidR="00375A28" w:rsidRDefault="00247575" w:rsidP="00375A28">
      <w:pPr>
        <w:pStyle w:val="Bullet"/>
        <w:numPr>
          <w:ilvl w:val="0"/>
          <w:numId w:val="8"/>
        </w:numPr>
        <w:tabs>
          <w:tab w:val="num" w:pos="2126"/>
          <w:tab w:val="num" w:pos="6663"/>
        </w:tabs>
      </w:pPr>
      <w:r w:rsidRPr="00375A28">
        <w:rPr>
          <w:lang w:eastAsia="ar-SA"/>
        </w:rPr>
        <w:t xml:space="preserve">For a negative result </w:t>
      </w:r>
      <w:r w:rsidR="00375A28" w:rsidRPr="00375A28">
        <w:rPr>
          <w:lang w:eastAsia="ar-SA"/>
        </w:rPr>
        <w:t xml:space="preserve">the GP </w:t>
      </w:r>
      <w:r w:rsidR="00375A28">
        <w:rPr>
          <w:lang w:eastAsia="ar-SA"/>
        </w:rPr>
        <w:t xml:space="preserve">is informed it is a negative result from </w:t>
      </w:r>
      <w:r w:rsidR="000A490A">
        <w:rPr>
          <w:lang w:eastAsia="ar-SA"/>
        </w:rPr>
        <w:t>BSP</w:t>
      </w:r>
      <w:r w:rsidR="00375A28">
        <w:t>, and the patient, if still eligible, will be recalled by the screening programme in two years.</w:t>
      </w:r>
    </w:p>
    <w:p w14:paraId="7D2DCB97" w14:textId="77777777" w:rsidR="006B1E4D" w:rsidRDefault="006B1E4D" w:rsidP="006B1E4D">
      <w:pPr>
        <w:rPr>
          <w:lang w:eastAsia="ar-SA"/>
        </w:rPr>
      </w:pPr>
      <w:r>
        <w:rPr>
          <w:lang w:eastAsia="ar-SA"/>
        </w:rPr>
        <w:t xml:space="preserve">Results are not sent to GPs if </w:t>
      </w:r>
      <w:r w:rsidR="00994BF1">
        <w:rPr>
          <w:lang w:eastAsia="ar-SA"/>
        </w:rPr>
        <w:t>BSP participants</w:t>
      </w:r>
      <w:r>
        <w:rPr>
          <w:lang w:eastAsia="ar-SA"/>
        </w:rPr>
        <w:t xml:space="preserve"> have indicated this option on their consent form</w:t>
      </w:r>
      <w:r w:rsidR="00566D91">
        <w:rPr>
          <w:lang w:eastAsia="ar-SA"/>
        </w:rPr>
        <w:t xml:space="preserve"> (i</w:t>
      </w:r>
      <w:r w:rsidR="00EE3C0F">
        <w:rPr>
          <w:lang w:eastAsia="ar-SA"/>
        </w:rPr>
        <w:t>.</w:t>
      </w:r>
      <w:r w:rsidR="00566D91">
        <w:rPr>
          <w:lang w:eastAsia="ar-SA"/>
        </w:rPr>
        <w:t>e</w:t>
      </w:r>
      <w:r w:rsidR="00EE3C0F">
        <w:rPr>
          <w:lang w:eastAsia="ar-SA"/>
        </w:rPr>
        <w:t>.</w:t>
      </w:r>
      <w:r w:rsidR="00566D91">
        <w:rPr>
          <w:lang w:eastAsia="ar-SA"/>
        </w:rPr>
        <w:t xml:space="preserve"> ticked the box which states they do not want their GP informed</w:t>
      </w:r>
      <w:r w:rsidR="00566D91">
        <w:rPr>
          <w:rStyle w:val="FootnoteReference"/>
          <w:lang w:eastAsia="ar-SA"/>
        </w:rPr>
        <w:footnoteReference w:id="6"/>
      </w:r>
      <w:r w:rsidR="00566D91">
        <w:rPr>
          <w:lang w:eastAsia="ar-SA"/>
        </w:rPr>
        <w:t>)</w:t>
      </w:r>
      <w:r>
        <w:rPr>
          <w:lang w:eastAsia="ar-SA"/>
        </w:rPr>
        <w:t xml:space="preserve">, or where the participant does not have an identified GP. </w:t>
      </w:r>
      <w:proofErr w:type="spellStart"/>
      <w:r>
        <w:rPr>
          <w:lang w:eastAsia="ar-SA"/>
        </w:rPr>
        <w:t>LabPLUS</w:t>
      </w:r>
      <w:proofErr w:type="spellEnd"/>
      <w:r>
        <w:rPr>
          <w:lang w:eastAsia="ar-SA"/>
        </w:rPr>
        <w:t xml:space="preserve"> reports to the IT system at the end of each day on which participant results have been sent out to GPs.</w:t>
      </w:r>
    </w:p>
    <w:p w14:paraId="60E85544" w14:textId="77777777" w:rsidR="006B1E4D" w:rsidRPr="009B5662" w:rsidRDefault="006B1E4D" w:rsidP="006B1E4D">
      <w:pPr>
        <w:rPr>
          <w:lang w:eastAsia="ar-SA"/>
        </w:rPr>
      </w:pPr>
      <w:r w:rsidRPr="009B5662">
        <w:rPr>
          <w:lang w:eastAsia="ar-SA"/>
        </w:rPr>
        <w:t xml:space="preserve">For a positive </w:t>
      </w:r>
      <w:proofErr w:type="spellStart"/>
      <w:r w:rsidRPr="009B5662">
        <w:rPr>
          <w:lang w:eastAsia="ar-SA"/>
        </w:rPr>
        <w:t>iFOBT</w:t>
      </w:r>
      <w:proofErr w:type="spellEnd"/>
      <w:r w:rsidR="00375A28">
        <w:rPr>
          <w:lang w:eastAsia="ar-SA"/>
        </w:rPr>
        <w:t xml:space="preserve"> result, general practice must on </w:t>
      </w:r>
      <w:r w:rsidRPr="009B5662">
        <w:rPr>
          <w:lang w:eastAsia="ar-SA"/>
        </w:rPr>
        <w:t>receiving</w:t>
      </w:r>
      <w:r w:rsidR="00375A28">
        <w:rPr>
          <w:lang w:eastAsia="ar-SA"/>
        </w:rPr>
        <w:t xml:space="preserve"> a positive result from </w:t>
      </w:r>
      <w:proofErr w:type="spellStart"/>
      <w:r w:rsidR="00375A28">
        <w:rPr>
          <w:lang w:eastAsia="ar-SA"/>
        </w:rPr>
        <w:t>LabPLUS</w:t>
      </w:r>
      <w:proofErr w:type="spellEnd"/>
      <w:r w:rsidRPr="009B5662">
        <w:rPr>
          <w:lang w:eastAsia="ar-SA"/>
        </w:rPr>
        <w:t>:</w:t>
      </w:r>
    </w:p>
    <w:p w14:paraId="4C1C03D2" w14:textId="77777777" w:rsidR="006B1E4D" w:rsidRDefault="006B1E4D" w:rsidP="00CC5733">
      <w:pPr>
        <w:pStyle w:val="Bullet"/>
        <w:numPr>
          <w:ilvl w:val="0"/>
          <w:numId w:val="14"/>
        </w:numPr>
        <w:tabs>
          <w:tab w:val="num" w:pos="2126"/>
          <w:tab w:val="num" w:pos="6663"/>
        </w:tabs>
        <w:rPr>
          <w:lang w:eastAsia="ar-SA"/>
        </w:rPr>
      </w:pPr>
      <w:r>
        <w:rPr>
          <w:lang w:eastAsia="ar-SA"/>
        </w:rPr>
        <w:t>inform their participant of the result</w:t>
      </w:r>
    </w:p>
    <w:p w14:paraId="69CB5B44" w14:textId="77777777" w:rsidR="006B1E4D" w:rsidRDefault="006B1E4D" w:rsidP="00CC5733">
      <w:pPr>
        <w:pStyle w:val="Bullet"/>
        <w:numPr>
          <w:ilvl w:val="0"/>
          <w:numId w:val="14"/>
        </w:numPr>
        <w:tabs>
          <w:tab w:val="num" w:pos="2126"/>
          <w:tab w:val="num" w:pos="6663"/>
        </w:tabs>
        <w:rPr>
          <w:lang w:eastAsia="ar-SA"/>
        </w:rPr>
      </w:pPr>
      <w:r>
        <w:rPr>
          <w:lang w:eastAsia="ar-SA"/>
        </w:rPr>
        <w:t>discuss the implications of the result</w:t>
      </w:r>
    </w:p>
    <w:p w14:paraId="39792096" w14:textId="77777777" w:rsidR="006B1E4D" w:rsidRDefault="006B1E4D" w:rsidP="00CC5733">
      <w:pPr>
        <w:pStyle w:val="Bullet"/>
        <w:numPr>
          <w:ilvl w:val="0"/>
          <w:numId w:val="14"/>
        </w:numPr>
        <w:tabs>
          <w:tab w:val="num" w:pos="2126"/>
          <w:tab w:val="num" w:pos="6663"/>
        </w:tabs>
        <w:rPr>
          <w:lang w:eastAsia="ar-SA"/>
        </w:rPr>
      </w:pPr>
      <w:r>
        <w:rPr>
          <w:lang w:eastAsia="ar-SA"/>
        </w:rPr>
        <w:t>provide counselling and advice</w:t>
      </w:r>
    </w:p>
    <w:p w14:paraId="76E3EF02" w14:textId="3930E4CF" w:rsidR="001F712C" w:rsidRDefault="004B3FF3" w:rsidP="00CC5733">
      <w:pPr>
        <w:pStyle w:val="Bullet"/>
        <w:numPr>
          <w:ilvl w:val="0"/>
          <w:numId w:val="14"/>
        </w:numPr>
        <w:tabs>
          <w:tab w:val="num" w:pos="2126"/>
          <w:tab w:val="num" w:pos="6663"/>
        </w:tabs>
        <w:rPr>
          <w:lang w:eastAsia="ar-SA"/>
        </w:rPr>
      </w:pPr>
      <w:proofErr w:type="gramStart"/>
      <w:r>
        <w:rPr>
          <w:lang w:eastAsia="ar-SA"/>
        </w:rPr>
        <w:lastRenderedPageBreak/>
        <w:t>refer</w:t>
      </w:r>
      <w:proofErr w:type="gramEnd"/>
      <w:r>
        <w:rPr>
          <w:lang w:eastAsia="ar-SA"/>
        </w:rPr>
        <w:t xml:space="preserve"> their participant to the Endoscopy Unit </w:t>
      </w:r>
      <w:r w:rsidR="00375A28">
        <w:rPr>
          <w:lang w:eastAsia="ar-SA"/>
        </w:rPr>
        <w:t xml:space="preserve">within </w:t>
      </w:r>
      <w:r w:rsidR="000D7E64">
        <w:rPr>
          <w:lang w:eastAsia="ar-SA"/>
        </w:rPr>
        <w:t xml:space="preserve">ten </w:t>
      </w:r>
      <w:r w:rsidR="00375A28">
        <w:rPr>
          <w:lang w:eastAsia="ar-SA"/>
        </w:rPr>
        <w:t xml:space="preserve">working days of receiving the result </w:t>
      </w:r>
      <w:r>
        <w:rPr>
          <w:lang w:eastAsia="ar-SA"/>
        </w:rPr>
        <w:t xml:space="preserve">for a screening colonoscopy through the standard referral systems </w:t>
      </w:r>
      <w:r w:rsidR="001F712C">
        <w:rPr>
          <w:lang w:eastAsia="ar-SA"/>
        </w:rPr>
        <w:t xml:space="preserve">– referrals are faxed to the North Shore Hospital central referral office, marked ‘Bowel Screening </w:t>
      </w:r>
      <w:proofErr w:type="spellStart"/>
      <w:r w:rsidR="006A2C8B">
        <w:rPr>
          <w:lang w:eastAsia="ar-SA"/>
        </w:rPr>
        <w:t>Waitematā</w:t>
      </w:r>
      <w:proofErr w:type="spellEnd"/>
      <w:r w:rsidR="00235DF0">
        <w:rPr>
          <w:lang w:eastAsia="ar-SA"/>
        </w:rPr>
        <w:t>’</w:t>
      </w:r>
      <w:r w:rsidR="001F712C">
        <w:rPr>
          <w:lang w:eastAsia="ar-SA"/>
        </w:rPr>
        <w:t xml:space="preserve">.  </w:t>
      </w:r>
      <w:r>
        <w:rPr>
          <w:lang w:eastAsia="ar-SA"/>
        </w:rPr>
        <w:t>Faxed r</w:t>
      </w:r>
      <w:r w:rsidR="001F712C">
        <w:rPr>
          <w:lang w:eastAsia="ar-SA"/>
        </w:rPr>
        <w:t xml:space="preserve">eferrals </w:t>
      </w:r>
      <w:r w:rsidR="00235DF0">
        <w:rPr>
          <w:lang w:eastAsia="ar-SA"/>
        </w:rPr>
        <w:t xml:space="preserve">to the BSP </w:t>
      </w:r>
      <w:r w:rsidR="001F712C">
        <w:rPr>
          <w:lang w:eastAsia="ar-SA"/>
        </w:rPr>
        <w:t xml:space="preserve">are the same as any other referral – that is they include a letter, patient medical history, medications and allergies.  </w:t>
      </w:r>
      <w:r>
        <w:rPr>
          <w:lang w:eastAsia="ar-SA"/>
        </w:rPr>
        <w:t xml:space="preserve">Increasingly GPs in WDHB are using the e-referral system which incorporates a standard form for BSP colonoscopy referrals. </w:t>
      </w:r>
      <w:r w:rsidR="001F712C">
        <w:rPr>
          <w:lang w:eastAsia="ar-SA"/>
        </w:rPr>
        <w:t xml:space="preserve"> </w:t>
      </w:r>
    </w:p>
    <w:p w14:paraId="21551BBC" w14:textId="77777777" w:rsidR="000A490A" w:rsidRDefault="000A490A" w:rsidP="006B1E4D">
      <w:pPr>
        <w:rPr>
          <w:lang w:eastAsia="ar-SA"/>
        </w:rPr>
      </w:pPr>
      <w:r>
        <w:rPr>
          <w:lang w:eastAsia="ar-SA"/>
        </w:rPr>
        <w:t xml:space="preserve">Participants do not have to pay to have an appointment with their GP to discuss a positive </w:t>
      </w:r>
      <w:proofErr w:type="spellStart"/>
      <w:r>
        <w:rPr>
          <w:lang w:eastAsia="ar-SA"/>
        </w:rPr>
        <w:t>iFOBT</w:t>
      </w:r>
      <w:proofErr w:type="spellEnd"/>
      <w:r>
        <w:rPr>
          <w:lang w:eastAsia="ar-SA"/>
        </w:rPr>
        <w:t xml:space="preserve"> result. </w:t>
      </w:r>
    </w:p>
    <w:p w14:paraId="5915C673" w14:textId="77777777" w:rsidR="006B1E4D" w:rsidRDefault="006B1E4D" w:rsidP="006B1E4D">
      <w:pPr>
        <w:rPr>
          <w:lang w:val="en-AU" w:eastAsia="ar-SA"/>
        </w:rPr>
      </w:pPr>
      <w:r w:rsidRPr="009B5662">
        <w:rPr>
          <w:lang w:eastAsia="ar-SA"/>
        </w:rPr>
        <w:t>Participants with a positive result who do not have an identified GP</w:t>
      </w:r>
      <w:r w:rsidR="00566D91" w:rsidRPr="009B5662">
        <w:rPr>
          <w:lang w:eastAsia="ar-SA"/>
        </w:rPr>
        <w:t>, don’t want their GP informed</w:t>
      </w:r>
      <w:r w:rsidRPr="009B5662">
        <w:rPr>
          <w:lang w:eastAsia="ar-SA"/>
        </w:rPr>
        <w:t xml:space="preserve"> or who have not been </w:t>
      </w:r>
      <w:r w:rsidR="004E13E2">
        <w:rPr>
          <w:lang w:eastAsia="ar-SA"/>
        </w:rPr>
        <w:t>referred</w:t>
      </w:r>
      <w:r w:rsidRPr="009B5662">
        <w:rPr>
          <w:lang w:eastAsia="ar-SA"/>
        </w:rPr>
        <w:t xml:space="preserve"> by their general practice within ten day</w:t>
      </w:r>
      <w:r w:rsidR="004E13E2">
        <w:rPr>
          <w:lang w:eastAsia="ar-SA"/>
        </w:rPr>
        <w:t>s</w:t>
      </w:r>
      <w:r w:rsidRPr="009B5662">
        <w:rPr>
          <w:lang w:eastAsia="ar-SA"/>
        </w:rPr>
        <w:t>, are contacted by the BSP Endoscopy Clinical Nurse Specialist (CNS) within 15 working days of a positive result.  Extensive efforts are made by the CNS</w:t>
      </w:r>
      <w:r w:rsidR="009E3E09">
        <w:rPr>
          <w:lang w:eastAsia="ar-SA"/>
        </w:rPr>
        <w:t>s</w:t>
      </w:r>
      <w:r w:rsidRPr="009B5662">
        <w:rPr>
          <w:lang w:eastAsia="ar-SA"/>
        </w:rPr>
        <w:t xml:space="preserve"> to</w:t>
      </w:r>
      <w:r>
        <w:rPr>
          <w:lang w:eastAsia="ar-SA"/>
        </w:rPr>
        <w:t xml:space="preserve"> contact the participant using a range of strategies including:</w:t>
      </w:r>
    </w:p>
    <w:p w14:paraId="336B0ABC" w14:textId="77777777" w:rsidR="006B1E4D" w:rsidRDefault="006B1E4D" w:rsidP="00CC5733">
      <w:pPr>
        <w:pStyle w:val="Bullet"/>
        <w:numPr>
          <w:ilvl w:val="0"/>
          <w:numId w:val="14"/>
        </w:numPr>
        <w:tabs>
          <w:tab w:val="num" w:pos="2126"/>
          <w:tab w:val="num" w:pos="6663"/>
        </w:tabs>
        <w:rPr>
          <w:lang w:eastAsia="ar-SA"/>
        </w:rPr>
      </w:pPr>
      <w:r>
        <w:rPr>
          <w:lang w:eastAsia="ar-SA"/>
        </w:rPr>
        <w:t>phoning at different times of the day and week</w:t>
      </w:r>
    </w:p>
    <w:p w14:paraId="2C87A9C9" w14:textId="77777777" w:rsidR="006B1E4D" w:rsidRDefault="006B1E4D" w:rsidP="00CC5733">
      <w:pPr>
        <w:pStyle w:val="Bullet"/>
        <w:numPr>
          <w:ilvl w:val="0"/>
          <w:numId w:val="14"/>
        </w:numPr>
        <w:tabs>
          <w:tab w:val="num" w:pos="2126"/>
          <w:tab w:val="num" w:pos="6663"/>
        </w:tabs>
        <w:rPr>
          <w:lang w:eastAsia="ar-SA"/>
        </w:rPr>
      </w:pPr>
      <w:r>
        <w:rPr>
          <w:lang w:eastAsia="ar-SA"/>
        </w:rPr>
        <w:t>finding other contact numbers such as work number or mobile</w:t>
      </w:r>
    </w:p>
    <w:p w14:paraId="6B89558A" w14:textId="77777777" w:rsidR="006B1E4D" w:rsidRDefault="006B1E4D" w:rsidP="00CC5733">
      <w:pPr>
        <w:pStyle w:val="Bullet"/>
        <w:numPr>
          <w:ilvl w:val="0"/>
          <w:numId w:val="14"/>
        </w:numPr>
        <w:tabs>
          <w:tab w:val="num" w:pos="2126"/>
          <w:tab w:val="num" w:pos="6663"/>
        </w:tabs>
        <w:rPr>
          <w:lang w:eastAsia="ar-SA"/>
        </w:rPr>
      </w:pPr>
      <w:r>
        <w:rPr>
          <w:lang w:eastAsia="ar-SA"/>
        </w:rPr>
        <w:t>phoning their general practice for up-to-date contact details</w:t>
      </w:r>
    </w:p>
    <w:p w14:paraId="0EA380F4" w14:textId="77777777" w:rsidR="006B1E4D" w:rsidRDefault="006B1E4D" w:rsidP="00CC5733">
      <w:pPr>
        <w:pStyle w:val="Bullet"/>
        <w:numPr>
          <w:ilvl w:val="0"/>
          <w:numId w:val="14"/>
        </w:numPr>
        <w:tabs>
          <w:tab w:val="num" w:pos="2126"/>
          <w:tab w:val="num" w:pos="6663"/>
        </w:tabs>
        <w:rPr>
          <w:lang w:eastAsia="ar-SA"/>
        </w:rPr>
      </w:pPr>
      <w:r>
        <w:rPr>
          <w:lang w:eastAsia="ar-SA"/>
        </w:rPr>
        <w:t xml:space="preserve">using community support workers or interpreters, if appropriate. </w:t>
      </w:r>
    </w:p>
    <w:p w14:paraId="3196C0D2" w14:textId="77777777" w:rsidR="004E13E2" w:rsidRDefault="004E13E2" w:rsidP="004E13E2">
      <w:pPr>
        <w:rPr>
          <w:lang w:eastAsia="ar-SA"/>
        </w:rPr>
      </w:pPr>
      <w:r>
        <w:rPr>
          <w:lang w:eastAsia="ar-SA"/>
        </w:rPr>
        <w:t xml:space="preserve">If the Endoscopy Unit is unable to contact a participant with a positive </w:t>
      </w:r>
      <w:proofErr w:type="spellStart"/>
      <w:r>
        <w:rPr>
          <w:lang w:eastAsia="ar-SA"/>
        </w:rPr>
        <w:t>iFOBT</w:t>
      </w:r>
      <w:proofErr w:type="spellEnd"/>
      <w:r>
        <w:rPr>
          <w:lang w:eastAsia="ar-SA"/>
        </w:rPr>
        <w:t xml:space="preserve">, the CNS sends the participant a letter, outlining the positive result and encouraging the participant to contact their general practice or the Endoscopy Unit.  If no contact is made, the participant is placed on the </w:t>
      </w:r>
      <w:proofErr w:type="spellStart"/>
      <w:r>
        <w:rPr>
          <w:lang w:eastAsia="ar-SA"/>
        </w:rPr>
        <w:t>iFOBT</w:t>
      </w:r>
      <w:proofErr w:type="spellEnd"/>
      <w:r>
        <w:rPr>
          <w:lang w:eastAsia="ar-SA"/>
        </w:rPr>
        <w:t xml:space="preserve"> recall system and remains on the BSP Register.  If the participant contacts their GP or the Endoscopy Unit at any date before their recall day a colonoscopy appointment will be arranged.</w:t>
      </w:r>
    </w:p>
    <w:p w14:paraId="7F700A42" w14:textId="77777777" w:rsidR="006B1E4D" w:rsidRPr="009B5662" w:rsidRDefault="006B1E4D" w:rsidP="006B1E4D">
      <w:pPr>
        <w:rPr>
          <w:lang w:eastAsia="ar-SA"/>
        </w:rPr>
      </w:pPr>
      <w:r w:rsidRPr="009B5662">
        <w:rPr>
          <w:lang w:eastAsia="ar-SA"/>
        </w:rPr>
        <w:t xml:space="preserve">For a negative </w:t>
      </w:r>
      <w:proofErr w:type="spellStart"/>
      <w:r w:rsidRPr="009B5662">
        <w:rPr>
          <w:lang w:eastAsia="ar-SA"/>
        </w:rPr>
        <w:t>iFOBT</w:t>
      </w:r>
      <w:proofErr w:type="spellEnd"/>
      <w:r w:rsidRPr="009B5662">
        <w:rPr>
          <w:lang w:eastAsia="ar-SA"/>
        </w:rPr>
        <w:t xml:space="preserve"> result, participants are notified in writing by the Coordination Centre within 15 working days of the result being received on the BSP Register.  They are advised they will be recalled to screening in two years, if still eligible.  GPs are sent negative results but are not required to do anything.</w:t>
      </w:r>
    </w:p>
    <w:p w14:paraId="08467B3E" w14:textId="77777777" w:rsidR="006B1E4D" w:rsidRDefault="006B1E4D" w:rsidP="006B1E4D">
      <w:pPr>
        <w:rPr>
          <w:lang w:eastAsia="ar-SA"/>
        </w:rPr>
      </w:pPr>
      <w:r w:rsidRPr="009B5662">
        <w:rPr>
          <w:lang w:eastAsia="ar-SA"/>
        </w:rPr>
        <w:t xml:space="preserve">For a spoilt kit, participants are sent a replacement kit.  </w:t>
      </w:r>
    </w:p>
    <w:p w14:paraId="12F2B758" w14:textId="77777777" w:rsidR="004E13E2" w:rsidRDefault="004E13E2" w:rsidP="004E13E2">
      <w:pPr>
        <w:pStyle w:val="Heading3"/>
      </w:pPr>
      <w:r>
        <w:t>Post colonoscopy</w:t>
      </w:r>
    </w:p>
    <w:p w14:paraId="047058D4" w14:textId="77777777" w:rsidR="004E13E2" w:rsidRDefault="004E13E2" w:rsidP="004E13E2">
      <w:pPr>
        <w:rPr>
          <w:lang w:eastAsia="ar-SA"/>
        </w:rPr>
      </w:pPr>
      <w:r>
        <w:rPr>
          <w:lang w:eastAsia="ar-SA"/>
        </w:rPr>
        <w:t>Post colonoscopy</w:t>
      </w:r>
      <w:r w:rsidR="00EE3C0F">
        <w:rPr>
          <w:lang w:eastAsia="ar-SA"/>
        </w:rPr>
        <w:t>,</w:t>
      </w:r>
      <w:r>
        <w:rPr>
          <w:lang w:eastAsia="ar-SA"/>
        </w:rPr>
        <w:t xml:space="preserve"> the recovery nurse gives the BSP participant a copy of the </w:t>
      </w:r>
      <w:r w:rsidR="00761A03">
        <w:rPr>
          <w:lang w:eastAsia="ar-SA"/>
        </w:rPr>
        <w:t xml:space="preserve">Endoscopy </w:t>
      </w:r>
      <w:r>
        <w:rPr>
          <w:lang w:eastAsia="ar-SA"/>
        </w:rPr>
        <w:t>Report (i.e. the colonoscopy report) and also puts a copy in the mail to their GP.</w:t>
      </w:r>
    </w:p>
    <w:p w14:paraId="650C76C9" w14:textId="77777777" w:rsidR="004E13E2" w:rsidRPr="009B5662" w:rsidRDefault="004E13E2" w:rsidP="004E13E2">
      <w:pPr>
        <w:rPr>
          <w:lang w:eastAsia="ar-SA"/>
        </w:rPr>
      </w:pPr>
      <w:r>
        <w:rPr>
          <w:lang w:eastAsia="ar-SA"/>
        </w:rPr>
        <w:t>When a cancer is identified at colonoscopy</w:t>
      </w:r>
      <w:r w:rsidR="00EE3C0F">
        <w:rPr>
          <w:lang w:eastAsia="ar-SA"/>
        </w:rPr>
        <w:t>,</w:t>
      </w:r>
      <w:r>
        <w:rPr>
          <w:lang w:eastAsia="ar-SA"/>
        </w:rPr>
        <w:t xml:space="preserve"> the </w:t>
      </w:r>
      <w:proofErr w:type="spellStart"/>
      <w:r>
        <w:rPr>
          <w:lang w:eastAsia="ar-SA"/>
        </w:rPr>
        <w:t>Endoscopist</w:t>
      </w:r>
      <w:proofErr w:type="spellEnd"/>
      <w:r>
        <w:rPr>
          <w:lang w:eastAsia="ar-SA"/>
        </w:rPr>
        <w:t xml:space="preserve"> informs the participant of the finding, discusses next steps, makes arrangements for further tests, refers for a specialist appointment and provides a cancer information pack.  </w:t>
      </w:r>
      <w:r w:rsidRPr="009B5662">
        <w:rPr>
          <w:lang w:eastAsia="ar-SA"/>
        </w:rPr>
        <w:t xml:space="preserve"> </w:t>
      </w:r>
    </w:p>
    <w:p w14:paraId="2A35D895" w14:textId="77777777" w:rsidR="00831A25" w:rsidRPr="00831A25" w:rsidRDefault="00831A25" w:rsidP="0077722F">
      <w:pPr>
        <w:pStyle w:val="Heading3"/>
        <w:keepLines/>
      </w:pPr>
      <w:r>
        <w:lastRenderedPageBreak/>
        <w:t>Histology</w:t>
      </w:r>
    </w:p>
    <w:p w14:paraId="6EC2A49E" w14:textId="77777777" w:rsidR="006B1E4D" w:rsidRDefault="006B1E4D" w:rsidP="0077722F">
      <w:pPr>
        <w:keepNext/>
        <w:keepLines/>
        <w:rPr>
          <w:lang w:val="mi-NZ"/>
        </w:rPr>
      </w:pPr>
      <w:r>
        <w:rPr>
          <w:lang w:val="mi-NZ"/>
        </w:rPr>
        <w:t xml:space="preserve">Histology results from colonoscopy are sent to the </w:t>
      </w:r>
      <w:r w:rsidR="009E3E09">
        <w:rPr>
          <w:lang w:val="mi-NZ"/>
        </w:rPr>
        <w:t>Endoscopy Unit</w:t>
      </w:r>
      <w:r w:rsidR="00375A28">
        <w:rPr>
          <w:lang w:val="mi-NZ"/>
        </w:rPr>
        <w:t xml:space="preserve"> </w:t>
      </w:r>
      <w:r>
        <w:rPr>
          <w:lang w:val="mi-NZ"/>
        </w:rPr>
        <w:t xml:space="preserve">(not to a participant’s GP), and management decisions are made by the BSP Clinical Director and Lead Endoscopist. </w:t>
      </w:r>
      <w:r w:rsidR="004E13E2">
        <w:rPr>
          <w:lang w:val="mi-NZ"/>
        </w:rPr>
        <w:t xml:space="preserve"> </w:t>
      </w:r>
      <w:r w:rsidR="00375A28" w:rsidRPr="00375A28">
        <w:rPr>
          <w:lang w:val="mi-NZ"/>
        </w:rPr>
        <w:t>Participants receive a letter advising them of the histology findings and a management plan and a copy goes to the GP</w:t>
      </w:r>
      <w:r w:rsidRPr="004E13E2">
        <w:rPr>
          <w:lang w:val="mi-NZ"/>
        </w:rPr>
        <w:t>.</w:t>
      </w:r>
      <w:r w:rsidR="009233A8" w:rsidRPr="004E13E2">
        <w:rPr>
          <w:lang w:val="mi-NZ"/>
        </w:rPr>
        <w:t xml:space="preserve"> </w:t>
      </w:r>
      <w:r w:rsidR="004E13E2" w:rsidRPr="004E13E2">
        <w:rPr>
          <w:lang w:val="mi-NZ"/>
        </w:rPr>
        <w:t xml:space="preserve"> </w:t>
      </w:r>
      <w:r w:rsidRPr="004E13E2">
        <w:rPr>
          <w:lang w:val="mi-NZ"/>
        </w:rPr>
        <w:t xml:space="preserve">The </w:t>
      </w:r>
      <w:r w:rsidR="004E13E2">
        <w:rPr>
          <w:lang w:val="mi-NZ"/>
        </w:rPr>
        <w:t xml:space="preserve">BSP Clinical Director </w:t>
      </w:r>
      <w:r w:rsidRPr="004E13E2">
        <w:rPr>
          <w:lang w:val="mi-NZ"/>
        </w:rPr>
        <w:t>calls the patient and</w:t>
      </w:r>
      <w:r>
        <w:rPr>
          <w:lang w:val="mi-NZ"/>
        </w:rPr>
        <w:t xml:space="preserve"> advises the GP by phone if a cancerous polyp has been found.  GPs are not expected to do anything at this point, although, some participants will want to come in and talk with their GP.</w:t>
      </w:r>
    </w:p>
    <w:p w14:paraId="3C322F18" w14:textId="77777777" w:rsidR="001F712C" w:rsidRDefault="00831A25" w:rsidP="00831A25">
      <w:pPr>
        <w:pStyle w:val="Heading3"/>
      </w:pPr>
      <w:bookmarkStart w:id="55" w:name="_Toc356566351"/>
      <w:r>
        <w:t>S</w:t>
      </w:r>
      <w:r w:rsidR="001F712C">
        <w:t>urveillance</w:t>
      </w:r>
      <w:bookmarkEnd w:id="55"/>
    </w:p>
    <w:p w14:paraId="6C45828F" w14:textId="77777777" w:rsidR="00E36437" w:rsidRDefault="001F712C" w:rsidP="00E36437">
      <w:pPr>
        <w:rPr>
          <w:lang w:eastAsia="ar-SA"/>
        </w:rPr>
      </w:pPr>
      <w:r w:rsidRPr="009B5662">
        <w:rPr>
          <w:lang w:eastAsia="ar-SA"/>
        </w:rPr>
        <w:t>Participants requiring ongoing surveillance are exited from the BSP, referred to a surveillance programme, and not reca</w:t>
      </w:r>
      <w:r w:rsidR="00E36437">
        <w:rPr>
          <w:lang w:eastAsia="ar-SA"/>
        </w:rPr>
        <w:t>lled for subsequent screening.  The initial BSP process for managing p</w:t>
      </w:r>
      <w:r w:rsidR="00E36437" w:rsidRPr="009B5662">
        <w:rPr>
          <w:lang w:eastAsia="ar-SA"/>
        </w:rPr>
        <w:t>articipants</w:t>
      </w:r>
      <w:r w:rsidR="00E36437">
        <w:rPr>
          <w:lang w:eastAsia="ar-SA"/>
        </w:rPr>
        <w:t xml:space="preserve"> requiring surveillance colonoscopies was as follows:</w:t>
      </w:r>
    </w:p>
    <w:p w14:paraId="41AE95CB" w14:textId="77777777" w:rsidR="00E36437" w:rsidRDefault="00E36437" w:rsidP="00E36437">
      <w:pPr>
        <w:pStyle w:val="Bullet"/>
        <w:numPr>
          <w:ilvl w:val="0"/>
          <w:numId w:val="14"/>
        </w:numPr>
        <w:tabs>
          <w:tab w:val="num" w:pos="2126"/>
          <w:tab w:val="num" w:pos="6663"/>
        </w:tabs>
        <w:rPr>
          <w:lang w:eastAsia="ar-SA"/>
        </w:rPr>
      </w:pPr>
      <w:r>
        <w:rPr>
          <w:lang w:eastAsia="ar-SA"/>
        </w:rPr>
        <w:t>P</w:t>
      </w:r>
      <w:r w:rsidRPr="009B5662">
        <w:rPr>
          <w:lang w:eastAsia="ar-SA"/>
        </w:rPr>
        <w:t>articipants</w:t>
      </w:r>
      <w:r>
        <w:rPr>
          <w:lang w:eastAsia="ar-SA"/>
        </w:rPr>
        <w:t xml:space="preserve"> requiring surveillance colonoscopies within one year </w:t>
      </w:r>
      <w:r w:rsidR="00AA28B5">
        <w:rPr>
          <w:lang w:eastAsia="ar-SA"/>
        </w:rPr>
        <w:t>we</w:t>
      </w:r>
      <w:r>
        <w:rPr>
          <w:lang w:eastAsia="ar-SA"/>
        </w:rPr>
        <w:t xml:space="preserve">re placed on the WDHB Endoscopy Service wait-list (this is a symptomatic list).  </w:t>
      </w:r>
    </w:p>
    <w:p w14:paraId="61B571AC" w14:textId="77777777" w:rsidR="00E36437" w:rsidRDefault="00E36437" w:rsidP="00E36437">
      <w:pPr>
        <w:pStyle w:val="Bullet"/>
        <w:numPr>
          <w:ilvl w:val="0"/>
          <w:numId w:val="14"/>
        </w:numPr>
        <w:tabs>
          <w:tab w:val="num" w:pos="2126"/>
          <w:tab w:val="num" w:pos="6663"/>
        </w:tabs>
        <w:rPr>
          <w:lang w:eastAsia="ar-SA"/>
        </w:rPr>
      </w:pPr>
      <w:r>
        <w:rPr>
          <w:lang w:eastAsia="ar-SA"/>
        </w:rPr>
        <w:t>Those requiring surveillance colo</w:t>
      </w:r>
      <w:r w:rsidR="00AA28B5">
        <w:rPr>
          <w:lang w:eastAsia="ar-SA"/>
        </w:rPr>
        <w:t>noscopy over longer timeframes we</w:t>
      </w:r>
      <w:r>
        <w:rPr>
          <w:lang w:eastAsia="ar-SA"/>
        </w:rPr>
        <w:t>re discharged to their GP with a request to refer to the WDHB Endoscopy Service at the appropriate time.</w:t>
      </w:r>
    </w:p>
    <w:p w14:paraId="08D6C707" w14:textId="77777777" w:rsidR="004E13E2" w:rsidRDefault="00E36437" w:rsidP="001F712C">
      <w:pPr>
        <w:rPr>
          <w:lang w:eastAsia="ar-SA"/>
        </w:rPr>
      </w:pPr>
      <w:r>
        <w:rPr>
          <w:lang w:eastAsia="ar-SA"/>
        </w:rPr>
        <w:t>This referral process has been revised due to the increasing number of participants requiring surveillance colonoscopies.  Since late 2013, p</w:t>
      </w:r>
      <w:r w:rsidR="001F712C" w:rsidRPr="009B5662">
        <w:rPr>
          <w:lang w:eastAsia="ar-SA"/>
        </w:rPr>
        <w:t>articipants</w:t>
      </w:r>
      <w:r w:rsidR="001F712C">
        <w:rPr>
          <w:lang w:eastAsia="ar-SA"/>
        </w:rPr>
        <w:t xml:space="preserve"> requiring surveillance colonoscopy </w:t>
      </w:r>
      <w:r w:rsidR="004E13E2">
        <w:rPr>
          <w:lang w:eastAsia="ar-SA"/>
        </w:rPr>
        <w:t>are referred to the symptomatic service who send colonoscopy appointment</w:t>
      </w:r>
      <w:r w:rsidR="006F7119">
        <w:rPr>
          <w:lang w:eastAsia="ar-SA"/>
        </w:rPr>
        <w:t>s</w:t>
      </w:r>
      <w:r w:rsidR="004E13E2">
        <w:rPr>
          <w:lang w:eastAsia="ar-SA"/>
        </w:rPr>
        <w:t xml:space="preserve"> at the recommended surveillance interval.</w:t>
      </w:r>
    </w:p>
    <w:p w14:paraId="329E0E77" w14:textId="77777777" w:rsidR="001F712C" w:rsidRDefault="001F712C" w:rsidP="001F712C">
      <w:pPr>
        <w:rPr>
          <w:lang w:eastAsia="ar-SA"/>
        </w:rPr>
      </w:pPr>
      <w:r w:rsidRPr="009B5662">
        <w:rPr>
          <w:lang w:eastAsia="ar-SA"/>
        </w:rPr>
        <w:t xml:space="preserve">The BSP </w:t>
      </w:r>
      <w:r w:rsidR="009E3E09">
        <w:rPr>
          <w:lang w:eastAsia="ar-SA"/>
        </w:rPr>
        <w:t xml:space="preserve">Endoscopy </w:t>
      </w:r>
      <w:r w:rsidR="00B92529">
        <w:rPr>
          <w:lang w:eastAsia="ar-SA"/>
        </w:rPr>
        <w:t>Unit</w:t>
      </w:r>
      <w:r w:rsidR="00B92529" w:rsidRPr="009B5662">
        <w:rPr>
          <w:lang w:eastAsia="ar-SA"/>
        </w:rPr>
        <w:t xml:space="preserve"> is</w:t>
      </w:r>
      <w:r w:rsidRPr="009B5662">
        <w:rPr>
          <w:lang w:eastAsia="ar-SA"/>
        </w:rPr>
        <w:t xml:space="preserve"> responsible for advising participants they have been referred for surveillance and notifying participants’ GPs.</w:t>
      </w:r>
      <w:r w:rsidR="00994BF1" w:rsidRPr="009B5662">
        <w:rPr>
          <w:lang w:eastAsia="ar-SA"/>
        </w:rPr>
        <w:t xml:space="preserve">  </w:t>
      </w:r>
      <w:r w:rsidRPr="009B5662">
        <w:rPr>
          <w:lang w:eastAsia="ar-SA"/>
        </w:rPr>
        <w:t>The Unit records surveillance management requirements on the BSP Register and removes the participant from the screening pathway. WDHB Endoscopy</w:t>
      </w:r>
      <w:r w:rsidRPr="00AB3997">
        <w:rPr>
          <w:lang w:eastAsia="ar-SA"/>
        </w:rPr>
        <w:t xml:space="preserve"> Service is responsible for ensuring participants</w:t>
      </w:r>
      <w:r w:rsidR="00994BF1">
        <w:rPr>
          <w:lang w:eastAsia="ar-SA"/>
        </w:rPr>
        <w:t xml:space="preserve"> </w:t>
      </w:r>
      <w:r w:rsidRPr="00AB3997">
        <w:rPr>
          <w:lang w:eastAsia="ar-SA"/>
        </w:rPr>
        <w:t>receive their surveillance colonoscopy within the recommended timeframe</w:t>
      </w:r>
      <w:r>
        <w:rPr>
          <w:lang w:eastAsia="ar-SA"/>
        </w:rPr>
        <w:t xml:space="preserve"> (according to guidelines for </w:t>
      </w:r>
      <w:r w:rsidRPr="00AB3997">
        <w:rPr>
          <w:i/>
          <w:lang w:eastAsia="ar-SA"/>
        </w:rPr>
        <w:t>Surveillance and Management of Groups at In</w:t>
      </w:r>
      <w:r>
        <w:rPr>
          <w:i/>
          <w:lang w:eastAsia="ar-SA"/>
        </w:rPr>
        <w:t xml:space="preserve">creased </w:t>
      </w:r>
      <w:r w:rsidRPr="00AB3997">
        <w:rPr>
          <w:i/>
          <w:lang w:eastAsia="ar-SA"/>
        </w:rPr>
        <w:t>Risk of Colorectal Cancer</w:t>
      </w:r>
      <w:r>
        <w:rPr>
          <w:i/>
          <w:lang w:eastAsia="ar-SA"/>
        </w:rPr>
        <w:t>, Ministry of Health 2004</w:t>
      </w:r>
      <w:r>
        <w:rPr>
          <w:lang w:eastAsia="ar-SA"/>
        </w:rPr>
        <w:t>).</w:t>
      </w:r>
    </w:p>
    <w:p w14:paraId="749DCA89" w14:textId="77777777" w:rsidR="00C64168" w:rsidRDefault="00C64168">
      <w:pPr>
        <w:spacing w:before="0"/>
        <w:ind w:left="0"/>
        <w:rPr>
          <w:b/>
          <w:sz w:val="36"/>
          <w:szCs w:val="36"/>
          <w:lang w:val="en-US"/>
        </w:rPr>
      </w:pPr>
      <w:r>
        <w:rPr>
          <w:lang w:val="en-US"/>
        </w:rPr>
        <w:br w:type="page"/>
      </w:r>
    </w:p>
    <w:p w14:paraId="646FEBC5" w14:textId="77777777" w:rsidR="001140DD" w:rsidRDefault="00C64168" w:rsidP="001140DD">
      <w:pPr>
        <w:pStyle w:val="Heading1"/>
        <w:rPr>
          <w:lang w:val="en-US"/>
        </w:rPr>
      </w:pPr>
      <w:bookmarkStart w:id="56" w:name="_Toc380424708"/>
      <w:r>
        <w:rPr>
          <w:lang w:val="en-US"/>
        </w:rPr>
        <w:lastRenderedPageBreak/>
        <w:t>5.</w:t>
      </w:r>
      <w:r>
        <w:rPr>
          <w:lang w:val="en-US"/>
        </w:rPr>
        <w:tab/>
        <w:t>BSP Participant Experience and Preference</w:t>
      </w:r>
      <w:bookmarkEnd w:id="56"/>
    </w:p>
    <w:p w14:paraId="34B4C41A" w14:textId="77777777" w:rsidR="00C64168" w:rsidRDefault="0071588B" w:rsidP="00C64168">
      <w:pPr>
        <w:rPr>
          <w:lang w:val="en-US"/>
        </w:rPr>
      </w:pPr>
      <w:r>
        <w:rPr>
          <w:lang w:val="en-US"/>
        </w:rPr>
        <w:t xml:space="preserve">This section </w:t>
      </w:r>
      <w:r w:rsidR="00760962">
        <w:rPr>
          <w:lang w:val="en-US"/>
        </w:rPr>
        <w:t>details BSP</w:t>
      </w:r>
      <w:r w:rsidR="00770146">
        <w:rPr>
          <w:lang w:val="en-US"/>
        </w:rPr>
        <w:t xml:space="preserve"> </w:t>
      </w:r>
      <w:r w:rsidR="00CF497E">
        <w:rPr>
          <w:lang w:val="en-US"/>
        </w:rPr>
        <w:t>participants’</w:t>
      </w:r>
      <w:r w:rsidR="00760962">
        <w:rPr>
          <w:lang w:val="en-US"/>
        </w:rPr>
        <w:t xml:space="preserve"> experience of how they received their positive </w:t>
      </w:r>
      <w:proofErr w:type="spellStart"/>
      <w:r w:rsidR="00760962">
        <w:rPr>
          <w:lang w:val="en-US"/>
        </w:rPr>
        <w:t>iFOBT</w:t>
      </w:r>
      <w:proofErr w:type="spellEnd"/>
      <w:r w:rsidR="00760962">
        <w:rPr>
          <w:lang w:val="en-US"/>
        </w:rPr>
        <w:t xml:space="preserve"> result and their perceptions of the pros and cons of differing delivery process</w:t>
      </w:r>
      <w:r w:rsidR="005B1253">
        <w:rPr>
          <w:lang w:val="en-US"/>
        </w:rPr>
        <w:t>es</w:t>
      </w:r>
      <w:r w:rsidR="00760962">
        <w:rPr>
          <w:lang w:val="en-US"/>
        </w:rPr>
        <w:t xml:space="preserve">.  An overview </w:t>
      </w:r>
      <w:r w:rsidR="00682B35">
        <w:rPr>
          <w:lang w:val="en-US"/>
        </w:rPr>
        <w:t>is</w:t>
      </w:r>
      <w:r w:rsidR="00760962">
        <w:rPr>
          <w:lang w:val="en-US"/>
        </w:rPr>
        <w:t xml:space="preserve"> also provided of their screening experience</w:t>
      </w:r>
      <w:r w:rsidR="00682B35">
        <w:rPr>
          <w:lang w:val="en-US"/>
        </w:rPr>
        <w:t xml:space="preserve"> to identify if there are any new issues arising</w:t>
      </w:r>
      <w:r w:rsidR="00BF0793">
        <w:rPr>
          <w:lang w:val="en-US"/>
        </w:rPr>
        <w:t xml:space="preserve"> compared to BSP participant feedback in 2012 (Litmus</w:t>
      </w:r>
      <w:r w:rsidR="00687D7D">
        <w:rPr>
          <w:lang w:val="en-US"/>
        </w:rPr>
        <w:t xml:space="preserve"> 2013a)</w:t>
      </w:r>
      <w:r w:rsidR="00760962">
        <w:rPr>
          <w:lang w:val="en-US"/>
        </w:rPr>
        <w:t xml:space="preserve">. </w:t>
      </w:r>
    </w:p>
    <w:p w14:paraId="15D3E3A1" w14:textId="77777777" w:rsidR="00C30331" w:rsidRDefault="00C30331" w:rsidP="00C30331">
      <w:pPr>
        <w:pStyle w:val="Heading2"/>
        <w:rPr>
          <w:lang w:val="en-US"/>
        </w:rPr>
      </w:pPr>
      <w:bookmarkStart w:id="57" w:name="_Toc380424709"/>
      <w:r>
        <w:rPr>
          <w:lang w:val="en-US"/>
        </w:rPr>
        <w:t>5.1</w:t>
      </w:r>
      <w:r>
        <w:rPr>
          <w:lang w:val="en-US"/>
        </w:rPr>
        <w:tab/>
        <w:t xml:space="preserve">Process to receive a positive </w:t>
      </w:r>
      <w:proofErr w:type="spellStart"/>
      <w:r>
        <w:rPr>
          <w:lang w:val="en-US"/>
        </w:rPr>
        <w:t>iFOBT</w:t>
      </w:r>
      <w:proofErr w:type="spellEnd"/>
      <w:r>
        <w:rPr>
          <w:lang w:val="en-US"/>
        </w:rPr>
        <w:t xml:space="preserve"> result</w:t>
      </w:r>
      <w:bookmarkEnd w:id="57"/>
    </w:p>
    <w:p w14:paraId="7CD04438" w14:textId="77777777" w:rsidR="005B1253" w:rsidRDefault="00687D7D" w:rsidP="001E44D4">
      <w:pPr>
        <w:rPr>
          <w:lang w:val="en-US"/>
        </w:rPr>
      </w:pPr>
      <w:r>
        <w:rPr>
          <w:lang w:val="en-US"/>
        </w:rPr>
        <w:t xml:space="preserve">As indicated within the BSP screening pathway there are a number of ways in which participants may be informed about a positive </w:t>
      </w:r>
      <w:proofErr w:type="spellStart"/>
      <w:r>
        <w:rPr>
          <w:lang w:val="en-US"/>
        </w:rPr>
        <w:t>iFOBT</w:t>
      </w:r>
      <w:proofErr w:type="spellEnd"/>
      <w:r>
        <w:rPr>
          <w:lang w:val="en-US"/>
        </w:rPr>
        <w:t xml:space="preserve"> result</w:t>
      </w:r>
      <w:r w:rsidR="001E44D4">
        <w:rPr>
          <w:lang w:val="en-US"/>
        </w:rPr>
        <w:t xml:space="preserve"> (i</w:t>
      </w:r>
      <w:r w:rsidR="00EE3C0F">
        <w:rPr>
          <w:lang w:val="en-US"/>
        </w:rPr>
        <w:t>.</w:t>
      </w:r>
      <w:r w:rsidR="001E44D4">
        <w:rPr>
          <w:lang w:val="en-US"/>
        </w:rPr>
        <w:t>e</w:t>
      </w:r>
      <w:r w:rsidR="00EE3C0F">
        <w:rPr>
          <w:lang w:val="en-US"/>
        </w:rPr>
        <w:t>.</w:t>
      </w:r>
      <w:r w:rsidR="001E44D4">
        <w:rPr>
          <w:lang w:val="en-US"/>
        </w:rPr>
        <w:t xml:space="preserve"> call from GP or CNS from the </w:t>
      </w:r>
      <w:r w:rsidR="009E3E09">
        <w:rPr>
          <w:lang w:val="en-US"/>
        </w:rPr>
        <w:t>Endoscopy Unit</w:t>
      </w:r>
      <w:r w:rsidR="001E44D4">
        <w:rPr>
          <w:lang w:val="en-US"/>
        </w:rPr>
        <w:t xml:space="preserve"> or </w:t>
      </w:r>
      <w:r w:rsidR="00930327">
        <w:rPr>
          <w:lang w:val="en-US"/>
        </w:rPr>
        <w:t>less frequently</w:t>
      </w:r>
      <w:r w:rsidR="00641855">
        <w:rPr>
          <w:lang w:val="en-US"/>
        </w:rPr>
        <w:t>, a</w:t>
      </w:r>
      <w:r w:rsidR="00930327">
        <w:rPr>
          <w:lang w:val="en-US"/>
        </w:rPr>
        <w:t xml:space="preserve"> </w:t>
      </w:r>
      <w:r w:rsidR="001E44D4">
        <w:rPr>
          <w:lang w:val="en-US"/>
        </w:rPr>
        <w:t xml:space="preserve">letter from GP or </w:t>
      </w:r>
      <w:r w:rsidR="009E3E09">
        <w:rPr>
          <w:lang w:val="en-US"/>
        </w:rPr>
        <w:t>Endoscopy Unit</w:t>
      </w:r>
      <w:r w:rsidR="001E44D4">
        <w:rPr>
          <w:lang w:val="en-US"/>
        </w:rPr>
        <w:t>).</w:t>
      </w:r>
      <w:r>
        <w:rPr>
          <w:lang w:val="en-US"/>
        </w:rPr>
        <w:t xml:space="preserve">  </w:t>
      </w:r>
    </w:p>
    <w:p w14:paraId="5CD6030A" w14:textId="15CFDAD6" w:rsidR="00AF1B7E" w:rsidRDefault="001E44D4" w:rsidP="001E44D4">
      <w:pPr>
        <w:rPr>
          <w:lang w:val="en-US"/>
        </w:rPr>
      </w:pPr>
      <w:r w:rsidRPr="009B5662">
        <w:rPr>
          <w:lang w:val="en-US"/>
        </w:rPr>
        <w:t>For the first 18 months of the Pilot,</w:t>
      </w:r>
      <w:r w:rsidR="00FD3B42" w:rsidRPr="009B5662">
        <w:rPr>
          <w:lang w:val="en-US"/>
        </w:rPr>
        <w:t xml:space="preserve"> </w:t>
      </w:r>
      <w:r w:rsidRPr="009B5662">
        <w:rPr>
          <w:lang w:val="en-US"/>
        </w:rPr>
        <w:t xml:space="preserve">74% of BSP participants at pre-assessment have been informed of their positive </w:t>
      </w:r>
      <w:proofErr w:type="spellStart"/>
      <w:r w:rsidR="00B92529">
        <w:rPr>
          <w:lang w:val="en-US"/>
        </w:rPr>
        <w:t>iF</w:t>
      </w:r>
      <w:r w:rsidR="00B92529" w:rsidRPr="009B5662">
        <w:rPr>
          <w:lang w:val="en-US"/>
        </w:rPr>
        <w:t>O</w:t>
      </w:r>
      <w:r w:rsidR="00B92529">
        <w:rPr>
          <w:lang w:val="en-US"/>
        </w:rPr>
        <w:t>B</w:t>
      </w:r>
      <w:r w:rsidR="00B92529" w:rsidRPr="009B5662">
        <w:rPr>
          <w:lang w:val="en-US"/>
        </w:rPr>
        <w:t>T</w:t>
      </w:r>
      <w:proofErr w:type="spellEnd"/>
      <w:r w:rsidRPr="009B5662">
        <w:rPr>
          <w:lang w:val="en-US"/>
        </w:rPr>
        <w:t xml:space="preserve"> result by their GP (Ministry of Health Register dated 29 January 214).  The remaining 26% were informed via the </w:t>
      </w:r>
      <w:r w:rsidR="009E3E09">
        <w:rPr>
          <w:lang w:val="en-US"/>
        </w:rPr>
        <w:t>Endoscopy Unit</w:t>
      </w:r>
      <w:r w:rsidRPr="009B5662">
        <w:rPr>
          <w:lang w:val="en-US"/>
        </w:rPr>
        <w:t>’s CNS.</w:t>
      </w:r>
      <w:r>
        <w:rPr>
          <w:lang w:val="en-US"/>
        </w:rPr>
        <w:t xml:space="preserve">  The method by which BSP participants are informed of their positive </w:t>
      </w:r>
      <w:proofErr w:type="spellStart"/>
      <w:r>
        <w:rPr>
          <w:lang w:val="en-US"/>
        </w:rPr>
        <w:t>iFOBT</w:t>
      </w:r>
      <w:proofErr w:type="spellEnd"/>
      <w:r>
        <w:rPr>
          <w:lang w:val="en-US"/>
        </w:rPr>
        <w:t xml:space="preserve"> result can reflect their personal choice and circumstances</w:t>
      </w:r>
      <w:r w:rsidR="00AF1B7E">
        <w:rPr>
          <w:lang w:val="en-US"/>
        </w:rPr>
        <w:t xml:space="preserve">, for </w:t>
      </w:r>
      <w:r>
        <w:rPr>
          <w:lang w:val="en-US"/>
        </w:rPr>
        <w:t>example</w:t>
      </w:r>
      <w:r w:rsidR="00AF1B7E">
        <w:rPr>
          <w:lang w:val="en-US"/>
        </w:rPr>
        <w:t xml:space="preserve">: </w:t>
      </w:r>
    </w:p>
    <w:p w14:paraId="193F89A7" w14:textId="77777777" w:rsidR="00AF1B7E" w:rsidRDefault="00B70650" w:rsidP="00AF1B7E">
      <w:pPr>
        <w:pStyle w:val="Bullet"/>
        <w:numPr>
          <w:ilvl w:val="0"/>
          <w:numId w:val="8"/>
        </w:numPr>
        <w:tabs>
          <w:tab w:val="num" w:pos="2126"/>
          <w:tab w:val="num" w:pos="6663"/>
        </w:tabs>
        <w:rPr>
          <w:lang w:val="en-US"/>
        </w:rPr>
      </w:pPr>
      <w:r w:rsidRPr="00AF1B7E">
        <w:rPr>
          <w:lang w:val="en-US"/>
        </w:rPr>
        <w:t>participant</w:t>
      </w:r>
      <w:r w:rsidR="001E44D4" w:rsidRPr="00AF1B7E">
        <w:rPr>
          <w:lang w:val="en-US"/>
        </w:rPr>
        <w:t>s</w:t>
      </w:r>
      <w:r w:rsidRPr="00AF1B7E">
        <w:rPr>
          <w:lang w:val="en-US"/>
        </w:rPr>
        <w:t xml:space="preserve"> </w:t>
      </w:r>
      <w:r w:rsidR="00F15F61" w:rsidRPr="00AF1B7E">
        <w:rPr>
          <w:lang w:val="en-US"/>
        </w:rPr>
        <w:t>not wanting their GP informed</w:t>
      </w:r>
      <w:r w:rsidR="00527AC5">
        <w:rPr>
          <w:lang w:val="en-US"/>
        </w:rPr>
        <w:t xml:space="preserve"> indicated by</w:t>
      </w:r>
      <w:r w:rsidR="001E44D4" w:rsidRPr="00AF1B7E">
        <w:rPr>
          <w:lang w:val="en-US"/>
        </w:rPr>
        <w:t xml:space="preserve"> ticking this preference on their consent form</w:t>
      </w:r>
    </w:p>
    <w:p w14:paraId="3590782D" w14:textId="77777777" w:rsidR="00AF1B7E" w:rsidRDefault="001E44D4" w:rsidP="00AF1B7E">
      <w:pPr>
        <w:pStyle w:val="Bullet"/>
        <w:numPr>
          <w:ilvl w:val="0"/>
          <w:numId w:val="8"/>
        </w:numPr>
        <w:tabs>
          <w:tab w:val="num" w:pos="2126"/>
          <w:tab w:val="num" w:pos="6663"/>
        </w:tabs>
        <w:rPr>
          <w:lang w:val="en-US"/>
        </w:rPr>
      </w:pPr>
      <w:r w:rsidRPr="00AF1B7E">
        <w:rPr>
          <w:lang w:val="en-US"/>
        </w:rPr>
        <w:t xml:space="preserve">incorrect completion of the consent form </w:t>
      </w:r>
      <w:r w:rsidR="00AF1B7E">
        <w:rPr>
          <w:lang w:val="en-US"/>
        </w:rPr>
        <w:t>where</w:t>
      </w:r>
      <w:r w:rsidRPr="00AF1B7E">
        <w:rPr>
          <w:lang w:val="en-US"/>
        </w:rPr>
        <w:t xml:space="preserve"> </w:t>
      </w:r>
      <w:r w:rsidR="00AF1B7E">
        <w:rPr>
          <w:lang w:val="en-US"/>
        </w:rPr>
        <w:t>participants want</w:t>
      </w:r>
      <w:r w:rsidRPr="00AF1B7E">
        <w:rPr>
          <w:lang w:val="en-US"/>
        </w:rPr>
        <w:t xml:space="preserve"> </w:t>
      </w:r>
      <w:r w:rsidR="00AF1B7E">
        <w:rPr>
          <w:lang w:val="en-US"/>
        </w:rPr>
        <w:t>their GP informed but misread the consent and tick</w:t>
      </w:r>
      <w:r w:rsidRPr="00AF1B7E">
        <w:rPr>
          <w:lang w:val="en-US"/>
        </w:rPr>
        <w:t xml:space="preserve"> the</w:t>
      </w:r>
      <w:r w:rsidR="00AF1B7E">
        <w:rPr>
          <w:lang w:val="en-US"/>
        </w:rPr>
        <w:t xml:space="preserve"> box not to inform their GP</w:t>
      </w:r>
    </w:p>
    <w:p w14:paraId="025F2C25" w14:textId="620B10EB" w:rsidR="00AF1B7E" w:rsidRDefault="00F15F61" w:rsidP="00AF1B7E">
      <w:pPr>
        <w:pStyle w:val="Bullet"/>
        <w:numPr>
          <w:ilvl w:val="0"/>
          <w:numId w:val="8"/>
        </w:numPr>
        <w:tabs>
          <w:tab w:val="num" w:pos="2126"/>
          <w:tab w:val="num" w:pos="6663"/>
        </w:tabs>
        <w:rPr>
          <w:lang w:val="en-US"/>
        </w:rPr>
      </w:pPr>
      <w:proofErr w:type="gramStart"/>
      <w:r w:rsidRPr="00AF1B7E">
        <w:rPr>
          <w:lang w:val="en-US"/>
        </w:rPr>
        <w:t>participants</w:t>
      </w:r>
      <w:proofErr w:type="gramEnd"/>
      <w:r w:rsidRPr="00AF1B7E">
        <w:rPr>
          <w:lang w:val="en-US"/>
        </w:rPr>
        <w:t xml:space="preserve"> not having a nominated GP at their general practice</w:t>
      </w:r>
      <w:r w:rsidR="00AF1B7E">
        <w:rPr>
          <w:lang w:val="en-US"/>
        </w:rPr>
        <w:t xml:space="preserve">.  </w:t>
      </w:r>
      <w:r w:rsidR="00AF1B7E" w:rsidRPr="00F15F61">
        <w:t xml:space="preserve">The lab does not send results to a </w:t>
      </w:r>
      <w:r w:rsidR="00AF1B7E">
        <w:t>general practice</w:t>
      </w:r>
      <w:r w:rsidR="00AF1B7E" w:rsidRPr="00F15F61">
        <w:t xml:space="preserve">, only a nominated GP, so </w:t>
      </w:r>
      <w:r w:rsidR="00AF1B7E">
        <w:t xml:space="preserve">positive </w:t>
      </w:r>
      <w:proofErr w:type="spellStart"/>
      <w:r w:rsidR="00AF1B7E">
        <w:t>iFOBT</w:t>
      </w:r>
      <w:proofErr w:type="spellEnd"/>
      <w:r w:rsidR="00AF1B7E">
        <w:t xml:space="preserve"> results of BSP participants with no named GP are sent to the </w:t>
      </w:r>
      <w:r w:rsidR="009E3E09">
        <w:t>Endoscopy Unit</w:t>
      </w:r>
      <w:r w:rsidR="005B1253">
        <w:t xml:space="preserve"> for the CNS to contact</w:t>
      </w:r>
    </w:p>
    <w:p w14:paraId="182D3A18" w14:textId="5D94E4A8" w:rsidR="005B1253" w:rsidRDefault="005B1253" w:rsidP="00AF1B7E">
      <w:pPr>
        <w:pStyle w:val="Bullet"/>
        <w:numPr>
          <w:ilvl w:val="0"/>
          <w:numId w:val="8"/>
        </w:numPr>
        <w:tabs>
          <w:tab w:val="num" w:pos="2126"/>
          <w:tab w:val="num" w:pos="6663"/>
        </w:tabs>
        <w:rPr>
          <w:lang w:val="en-US"/>
        </w:rPr>
      </w:pPr>
      <w:proofErr w:type="gramStart"/>
      <w:r>
        <w:rPr>
          <w:lang w:val="en-US"/>
        </w:rPr>
        <w:t>participants</w:t>
      </w:r>
      <w:proofErr w:type="gramEnd"/>
      <w:r>
        <w:rPr>
          <w:lang w:val="en-US"/>
        </w:rPr>
        <w:t xml:space="preserve"> </w:t>
      </w:r>
      <w:r w:rsidR="00881638">
        <w:rPr>
          <w:lang w:val="en-US"/>
        </w:rPr>
        <w:t xml:space="preserve">who </w:t>
      </w:r>
      <w:r>
        <w:rPr>
          <w:lang w:val="en-US"/>
        </w:rPr>
        <w:t xml:space="preserve">due to change of address or phone number may not be contactable within the </w:t>
      </w:r>
      <w:r w:rsidR="000D7E64">
        <w:rPr>
          <w:lang w:val="en-US"/>
        </w:rPr>
        <w:t xml:space="preserve">ten </w:t>
      </w:r>
      <w:r>
        <w:rPr>
          <w:lang w:val="en-US"/>
        </w:rPr>
        <w:t xml:space="preserve">day period by general practice. </w:t>
      </w:r>
    </w:p>
    <w:p w14:paraId="1A1A7C78" w14:textId="77777777" w:rsidR="00120C5D" w:rsidRDefault="00CF497E" w:rsidP="00C64168">
      <w:pPr>
        <w:rPr>
          <w:lang w:val="en-US"/>
        </w:rPr>
      </w:pPr>
      <w:r>
        <w:rPr>
          <w:lang w:val="en-US"/>
        </w:rPr>
        <w:t xml:space="preserve">In </w:t>
      </w:r>
      <w:r w:rsidR="00FD3B42">
        <w:rPr>
          <w:lang w:val="en-US"/>
        </w:rPr>
        <w:t xml:space="preserve">2013 </w:t>
      </w:r>
      <w:r>
        <w:rPr>
          <w:lang w:val="en-US"/>
        </w:rPr>
        <w:t xml:space="preserve">the WDHB eligible population </w:t>
      </w:r>
      <w:r w:rsidRPr="00687D7D">
        <w:rPr>
          <w:lang w:val="en-US"/>
        </w:rPr>
        <w:t>survey</w:t>
      </w:r>
      <w:r w:rsidR="00A57F11" w:rsidRPr="00687D7D">
        <w:rPr>
          <w:lang w:val="en-US"/>
        </w:rPr>
        <w:t xml:space="preserve"> </w:t>
      </w:r>
      <w:r w:rsidR="00682B35" w:rsidRPr="00687D7D">
        <w:rPr>
          <w:lang w:val="en-US"/>
        </w:rPr>
        <w:t>(Litmus 2014</w:t>
      </w:r>
      <w:r w:rsidR="00687D7D" w:rsidRPr="00687D7D">
        <w:rPr>
          <w:lang w:val="en-US"/>
        </w:rPr>
        <w:t>a</w:t>
      </w:r>
      <w:r w:rsidR="00682B35" w:rsidRPr="00687D7D">
        <w:rPr>
          <w:lang w:val="en-US"/>
        </w:rPr>
        <w:t>)</w:t>
      </w:r>
      <w:r w:rsidR="00FD3B42">
        <w:rPr>
          <w:lang w:val="en-US"/>
        </w:rPr>
        <w:t xml:space="preserve"> found that</w:t>
      </w:r>
      <w:r w:rsidR="00AF1B7E">
        <w:rPr>
          <w:rStyle w:val="FootnoteReference"/>
          <w:lang w:val="en-US"/>
        </w:rPr>
        <w:footnoteReference w:id="7"/>
      </w:r>
      <w:r w:rsidR="00120C5D" w:rsidRPr="00687D7D">
        <w:rPr>
          <w:lang w:val="en-US"/>
        </w:rPr>
        <w:t>:</w:t>
      </w:r>
    </w:p>
    <w:p w14:paraId="0525D898" w14:textId="77777777" w:rsidR="00AF1B7E" w:rsidRDefault="00AF1B7E" w:rsidP="00AF1B7E">
      <w:pPr>
        <w:pStyle w:val="Bullet"/>
        <w:numPr>
          <w:ilvl w:val="0"/>
          <w:numId w:val="19"/>
        </w:numPr>
        <w:tabs>
          <w:tab w:val="clear" w:pos="1276"/>
          <w:tab w:val="left" w:pos="720"/>
        </w:tabs>
      </w:pPr>
      <w:r w:rsidRPr="00AF1B7E">
        <w:rPr>
          <w:lang w:val="en-US"/>
        </w:rPr>
        <w:t xml:space="preserve">23 people (out of the 324 people who had received a BSP kit) had a positive </w:t>
      </w:r>
      <w:proofErr w:type="spellStart"/>
      <w:r w:rsidRPr="00AF1B7E">
        <w:rPr>
          <w:lang w:val="en-US"/>
        </w:rPr>
        <w:t>iFOBT</w:t>
      </w:r>
      <w:proofErr w:type="spellEnd"/>
      <w:r w:rsidRPr="00AF1B7E">
        <w:rPr>
          <w:lang w:val="en-US"/>
        </w:rPr>
        <w:t xml:space="preserve"> result.  Based on the people who had received a BSP kit, this equates to 7% who completed the kit having a positive </w:t>
      </w:r>
      <w:proofErr w:type="spellStart"/>
      <w:r w:rsidRPr="00AF1B7E">
        <w:rPr>
          <w:lang w:val="en-US"/>
        </w:rPr>
        <w:t>iFOBT</w:t>
      </w:r>
      <w:proofErr w:type="spellEnd"/>
      <w:r w:rsidRPr="00AF1B7E">
        <w:rPr>
          <w:lang w:val="en-US"/>
        </w:rPr>
        <w:t xml:space="preserve"> – which is comparable to the Register results</w:t>
      </w:r>
      <w:r w:rsidR="001A1549">
        <w:rPr>
          <w:lang w:val="en-US"/>
        </w:rPr>
        <w:t>.</w:t>
      </w:r>
      <w:r w:rsidRPr="00AF1B7E">
        <w:rPr>
          <w:lang w:val="en-US"/>
        </w:rPr>
        <w:t xml:space="preserve"> </w:t>
      </w:r>
    </w:p>
    <w:p w14:paraId="17F30042" w14:textId="3414E057" w:rsidR="00AF1B7E" w:rsidRDefault="00AF1B7E" w:rsidP="00AF1B7E">
      <w:pPr>
        <w:pStyle w:val="Bullet"/>
        <w:numPr>
          <w:ilvl w:val="0"/>
          <w:numId w:val="19"/>
        </w:numPr>
        <w:tabs>
          <w:tab w:val="clear" w:pos="1276"/>
          <w:tab w:val="left" w:pos="720"/>
        </w:tabs>
      </w:pPr>
      <w:r>
        <w:rPr>
          <w:lang w:val="en-US"/>
        </w:rPr>
        <w:t xml:space="preserve">Of the 23 people with a positive </w:t>
      </w:r>
      <w:proofErr w:type="spellStart"/>
      <w:r>
        <w:rPr>
          <w:lang w:val="en-US"/>
        </w:rPr>
        <w:t>iFOBT</w:t>
      </w:r>
      <w:proofErr w:type="spellEnd"/>
      <w:r>
        <w:rPr>
          <w:lang w:val="en-US"/>
        </w:rPr>
        <w:t xml:space="preserve">, 16 received the news of their results from general practice (70% similar to the Register data), three </w:t>
      </w:r>
      <w:r w:rsidR="00930327">
        <w:rPr>
          <w:lang w:val="en-US"/>
        </w:rPr>
        <w:t>stated they were</w:t>
      </w:r>
      <w:r>
        <w:rPr>
          <w:lang w:val="en-US"/>
        </w:rPr>
        <w:t xml:space="preserve"> called by someone from the </w:t>
      </w:r>
      <w:r w:rsidR="00930327">
        <w:rPr>
          <w:lang w:val="en-US"/>
        </w:rPr>
        <w:t>Endoscopy Unit</w:t>
      </w:r>
      <w:r>
        <w:rPr>
          <w:lang w:val="en-US"/>
        </w:rPr>
        <w:t xml:space="preserve">, </w:t>
      </w:r>
      <w:r w:rsidR="00641855">
        <w:rPr>
          <w:lang w:val="en-US"/>
        </w:rPr>
        <w:t xml:space="preserve">one </w:t>
      </w:r>
      <w:r>
        <w:rPr>
          <w:lang w:val="en-US"/>
        </w:rPr>
        <w:t xml:space="preserve">received a letter from the </w:t>
      </w:r>
      <w:r w:rsidR="009E3E09">
        <w:rPr>
          <w:lang w:val="en-US"/>
        </w:rPr>
        <w:t>Endoscopy Unit</w:t>
      </w:r>
      <w:r>
        <w:rPr>
          <w:lang w:val="en-US"/>
        </w:rPr>
        <w:t xml:space="preserve"> and three did not know</w:t>
      </w:r>
      <w:r w:rsidR="005B1253">
        <w:rPr>
          <w:rStyle w:val="FootnoteReference"/>
          <w:lang w:val="en-US"/>
        </w:rPr>
        <w:footnoteReference w:id="8"/>
      </w:r>
      <w:r>
        <w:rPr>
          <w:lang w:val="en-US"/>
        </w:rPr>
        <w:t xml:space="preserve">).  </w:t>
      </w:r>
    </w:p>
    <w:p w14:paraId="605DB0ED" w14:textId="1FEF453F" w:rsidR="00C30331" w:rsidRDefault="00120C5D" w:rsidP="0077722F">
      <w:pPr>
        <w:keepNext/>
        <w:keepLines/>
        <w:rPr>
          <w:lang w:val="en-US"/>
        </w:rPr>
      </w:pPr>
      <w:r>
        <w:rPr>
          <w:lang w:val="en-US"/>
        </w:rPr>
        <w:lastRenderedPageBreak/>
        <w:t xml:space="preserve">The </w:t>
      </w:r>
      <w:r w:rsidR="000D7E64">
        <w:rPr>
          <w:lang w:val="en-US"/>
        </w:rPr>
        <w:t xml:space="preserve">ten </w:t>
      </w:r>
      <w:r w:rsidR="00C30331">
        <w:rPr>
          <w:lang w:val="en-US"/>
        </w:rPr>
        <w:t>M</w:t>
      </w:r>
      <w:r w:rsidR="00682B35">
        <w:rPr>
          <w:rFonts w:cs="Arial"/>
          <w:lang w:val="en-US"/>
        </w:rPr>
        <w:t>ā</w:t>
      </w:r>
      <w:r w:rsidR="00C30331">
        <w:rPr>
          <w:lang w:val="en-US"/>
        </w:rPr>
        <w:t>ori and Pa</w:t>
      </w:r>
      <w:r>
        <w:rPr>
          <w:lang w:val="en-US"/>
        </w:rPr>
        <w:t xml:space="preserve">cific </w:t>
      </w:r>
      <w:r w:rsidR="00E5487E">
        <w:rPr>
          <w:lang w:val="en-US"/>
        </w:rPr>
        <w:t xml:space="preserve">BSP </w:t>
      </w:r>
      <w:r>
        <w:rPr>
          <w:lang w:val="en-US"/>
        </w:rPr>
        <w:t>partic</w:t>
      </w:r>
      <w:r w:rsidR="00811E64">
        <w:rPr>
          <w:lang w:val="en-US"/>
        </w:rPr>
        <w:t>i</w:t>
      </w:r>
      <w:r w:rsidR="00F15F61">
        <w:rPr>
          <w:lang w:val="en-US"/>
        </w:rPr>
        <w:t xml:space="preserve">pants </w:t>
      </w:r>
      <w:r>
        <w:rPr>
          <w:lang w:val="en-US"/>
        </w:rPr>
        <w:t xml:space="preserve">interviewed received the news of their positive </w:t>
      </w:r>
      <w:proofErr w:type="spellStart"/>
      <w:r w:rsidR="00682B35">
        <w:rPr>
          <w:lang w:val="en-US"/>
        </w:rPr>
        <w:t>i</w:t>
      </w:r>
      <w:r>
        <w:rPr>
          <w:lang w:val="en-US"/>
        </w:rPr>
        <w:t>FOBT</w:t>
      </w:r>
      <w:proofErr w:type="spellEnd"/>
      <w:r>
        <w:rPr>
          <w:lang w:val="en-US"/>
        </w:rPr>
        <w:t xml:space="preserve"> via the following processes:</w:t>
      </w:r>
    </w:p>
    <w:p w14:paraId="055962D8" w14:textId="77777777" w:rsidR="00120C5D" w:rsidRDefault="00274716" w:rsidP="0077722F">
      <w:pPr>
        <w:pStyle w:val="Bullet"/>
        <w:keepNext/>
        <w:keepLines/>
        <w:numPr>
          <w:ilvl w:val="0"/>
          <w:numId w:val="8"/>
        </w:numPr>
        <w:tabs>
          <w:tab w:val="num" w:pos="2126"/>
          <w:tab w:val="num" w:pos="6663"/>
        </w:tabs>
        <w:rPr>
          <w:lang w:val="en-US"/>
        </w:rPr>
      </w:pPr>
      <w:r w:rsidRPr="009B5662">
        <w:rPr>
          <w:lang w:val="en-US"/>
        </w:rPr>
        <w:t>One</w:t>
      </w:r>
      <w:r w:rsidR="00120C5D" w:rsidRPr="009B5662">
        <w:rPr>
          <w:lang w:val="en-US"/>
        </w:rPr>
        <w:t xml:space="preserve"> M</w:t>
      </w:r>
      <w:r w:rsidR="00682B35" w:rsidRPr="009B5662">
        <w:rPr>
          <w:rFonts w:cs="Arial"/>
          <w:lang w:val="en-US"/>
        </w:rPr>
        <w:t>ā</w:t>
      </w:r>
      <w:r w:rsidR="00120C5D" w:rsidRPr="009B5662">
        <w:rPr>
          <w:lang w:val="en-US"/>
        </w:rPr>
        <w:t xml:space="preserve">ori </w:t>
      </w:r>
      <w:r w:rsidR="00E5487E" w:rsidRPr="009B5662">
        <w:rPr>
          <w:lang w:val="en-US"/>
        </w:rPr>
        <w:t xml:space="preserve">BSP participant </w:t>
      </w:r>
      <w:r w:rsidR="00BA530D" w:rsidRPr="009B5662">
        <w:rPr>
          <w:lang w:val="en-US"/>
        </w:rPr>
        <w:t>received a call from the practice nurse of the</w:t>
      </w:r>
      <w:r w:rsidRPr="009B5662">
        <w:rPr>
          <w:lang w:val="en-US"/>
        </w:rPr>
        <w:t xml:space="preserve">ir </w:t>
      </w:r>
      <w:r w:rsidR="009233A8" w:rsidRPr="009B5662">
        <w:rPr>
          <w:lang w:val="en-US"/>
        </w:rPr>
        <w:t>g</w:t>
      </w:r>
      <w:r w:rsidRPr="009B5662">
        <w:rPr>
          <w:lang w:val="en-US"/>
        </w:rPr>
        <w:t>eneral</w:t>
      </w:r>
      <w:r>
        <w:rPr>
          <w:lang w:val="en-US"/>
        </w:rPr>
        <w:t xml:space="preserve"> </w:t>
      </w:r>
      <w:r w:rsidR="009233A8">
        <w:rPr>
          <w:lang w:val="en-US"/>
        </w:rPr>
        <w:t>p</w:t>
      </w:r>
      <w:r w:rsidR="00120C5D">
        <w:rPr>
          <w:lang w:val="en-US"/>
        </w:rPr>
        <w:t xml:space="preserve">ractice </w:t>
      </w:r>
      <w:r>
        <w:rPr>
          <w:lang w:val="en-US"/>
        </w:rPr>
        <w:t xml:space="preserve">to say the test came </w:t>
      </w:r>
      <w:r w:rsidR="00B43A01">
        <w:rPr>
          <w:lang w:val="en-US"/>
        </w:rPr>
        <w:t xml:space="preserve">back positive and had a face-to-face consultation with their GP. </w:t>
      </w:r>
    </w:p>
    <w:p w14:paraId="5131BDC7" w14:textId="77777777" w:rsidR="00B43A01" w:rsidRPr="0097062E" w:rsidRDefault="00B43A01" w:rsidP="009233A8">
      <w:pPr>
        <w:pStyle w:val="Quote"/>
        <w:ind w:left="1418"/>
      </w:pPr>
      <w:r w:rsidRPr="0097062E">
        <w:t>I got a phone call from my doctor</w:t>
      </w:r>
      <w:r>
        <w:t>’</w:t>
      </w:r>
      <w:r w:rsidRPr="0097062E">
        <w:t>s nurse to say that it was positive and that I would have to have a colonoscopy and that she would have to make an ap</w:t>
      </w:r>
      <w:r>
        <w:t xml:space="preserve">pointment for me to see the GP…. </w:t>
      </w:r>
      <w:r w:rsidRPr="0097062E">
        <w:t>It was only three days after I sent the sample so it was really quick. I was so surprised that it was that quick. So yeah</w:t>
      </w:r>
      <w:r w:rsidR="00641855">
        <w:t>,</w:t>
      </w:r>
      <w:r w:rsidRPr="0097062E">
        <w:t xml:space="preserve"> we had the appointment and talked to my doctor </w:t>
      </w:r>
      <w:r w:rsidR="00F15F61">
        <w:t xml:space="preserve">who </w:t>
      </w:r>
      <w:r w:rsidRPr="0097062E">
        <w:t>explain</w:t>
      </w:r>
      <w:r w:rsidR="00F15F61">
        <w:t>ed</w:t>
      </w:r>
      <w:r w:rsidRPr="0097062E">
        <w:t xml:space="preserve"> that it was positive and that I had to have a colonoscopy and that the bowel screening people would o</w:t>
      </w:r>
      <w:r>
        <w:t>rganise the appointment for me.</w:t>
      </w:r>
    </w:p>
    <w:p w14:paraId="7C4A55CE" w14:textId="77777777" w:rsidR="00274716" w:rsidRPr="009B5662" w:rsidRDefault="00274716" w:rsidP="00CC5733">
      <w:pPr>
        <w:pStyle w:val="Bullet"/>
        <w:numPr>
          <w:ilvl w:val="0"/>
          <w:numId w:val="8"/>
        </w:numPr>
        <w:tabs>
          <w:tab w:val="num" w:pos="2126"/>
          <w:tab w:val="num" w:pos="6663"/>
        </w:tabs>
        <w:rPr>
          <w:lang w:val="en-US"/>
        </w:rPr>
      </w:pPr>
      <w:r w:rsidRPr="009B5662">
        <w:rPr>
          <w:lang w:val="en-US"/>
        </w:rPr>
        <w:t>One M</w:t>
      </w:r>
      <w:r w:rsidR="00B43A01" w:rsidRPr="009B5662">
        <w:rPr>
          <w:rFonts w:cs="Arial"/>
          <w:lang w:val="en-US"/>
        </w:rPr>
        <w:t>ā</w:t>
      </w:r>
      <w:r w:rsidRPr="009B5662">
        <w:rPr>
          <w:lang w:val="en-US"/>
        </w:rPr>
        <w:t xml:space="preserve">ori BSP participant received a letter from their GP informing that the test was positive and they had been referred to the </w:t>
      </w:r>
      <w:r w:rsidR="009E3E09">
        <w:rPr>
          <w:lang w:val="en-US"/>
        </w:rPr>
        <w:t>Endoscopy Unit</w:t>
      </w:r>
      <w:r w:rsidRPr="009B5662">
        <w:rPr>
          <w:lang w:val="en-US"/>
        </w:rPr>
        <w:t xml:space="preserve"> for a colonoscopy</w:t>
      </w:r>
      <w:r w:rsidR="00791AE9" w:rsidRPr="009B5662">
        <w:rPr>
          <w:lang w:val="en-US"/>
        </w:rPr>
        <w:t>.</w:t>
      </w:r>
    </w:p>
    <w:p w14:paraId="4ACAA9DC" w14:textId="77777777" w:rsidR="00B43A01" w:rsidRPr="009B5662" w:rsidRDefault="00B43A01" w:rsidP="009233A8">
      <w:pPr>
        <w:pStyle w:val="Quote"/>
        <w:ind w:left="1418"/>
      </w:pPr>
      <w:r w:rsidRPr="009B5662">
        <w:t>My GP wrote me a letter and said that it has come back positive and he has taken the procedures of</w:t>
      </w:r>
      <w:r w:rsidR="00641855">
        <w:t>,</w:t>
      </w:r>
      <w:r w:rsidRPr="009B5662">
        <w:t xml:space="preserve"> you know</w:t>
      </w:r>
      <w:r w:rsidR="00641855">
        <w:t>,</w:t>
      </w:r>
      <w:r w:rsidRPr="009B5662">
        <w:t xml:space="preserve"> the next step.</w:t>
      </w:r>
    </w:p>
    <w:p w14:paraId="5BE337A9" w14:textId="77777777" w:rsidR="005B1253" w:rsidRPr="009B5662" w:rsidRDefault="00B70650" w:rsidP="00CC5733">
      <w:pPr>
        <w:pStyle w:val="Bullet"/>
        <w:numPr>
          <w:ilvl w:val="0"/>
          <w:numId w:val="8"/>
        </w:numPr>
        <w:tabs>
          <w:tab w:val="num" w:pos="2126"/>
          <w:tab w:val="num" w:pos="6663"/>
        </w:tabs>
        <w:rPr>
          <w:lang w:val="en-US"/>
        </w:rPr>
      </w:pPr>
      <w:r w:rsidRPr="009B5662">
        <w:rPr>
          <w:lang w:val="en-US"/>
        </w:rPr>
        <w:t>One</w:t>
      </w:r>
      <w:r w:rsidR="00120C5D" w:rsidRPr="009B5662">
        <w:rPr>
          <w:lang w:val="en-US"/>
        </w:rPr>
        <w:t xml:space="preserve"> M</w:t>
      </w:r>
      <w:r w:rsidR="00682B35" w:rsidRPr="009B5662">
        <w:rPr>
          <w:rFonts w:cs="Arial"/>
          <w:lang w:val="en-US"/>
        </w:rPr>
        <w:t>ā</w:t>
      </w:r>
      <w:r w:rsidR="00120C5D" w:rsidRPr="009B5662">
        <w:rPr>
          <w:lang w:val="en-US"/>
        </w:rPr>
        <w:t xml:space="preserve">ori </w:t>
      </w:r>
      <w:r w:rsidR="00E5487E" w:rsidRPr="009B5662">
        <w:rPr>
          <w:lang w:val="en-US"/>
        </w:rPr>
        <w:t xml:space="preserve">BSP participant </w:t>
      </w:r>
      <w:r w:rsidR="00120C5D" w:rsidRPr="009B5662">
        <w:rPr>
          <w:lang w:val="en-US"/>
        </w:rPr>
        <w:t xml:space="preserve">thinks they heard from their general practice, although they were not certain.  </w:t>
      </w:r>
    </w:p>
    <w:p w14:paraId="36DB26F6" w14:textId="77777777" w:rsidR="00B43A01" w:rsidRPr="009B5662" w:rsidRDefault="00B43A01" w:rsidP="00CC5733">
      <w:pPr>
        <w:pStyle w:val="Bullet"/>
        <w:numPr>
          <w:ilvl w:val="0"/>
          <w:numId w:val="8"/>
        </w:numPr>
        <w:tabs>
          <w:tab w:val="num" w:pos="2126"/>
          <w:tab w:val="num" w:pos="6663"/>
        </w:tabs>
        <w:rPr>
          <w:lang w:val="en-US"/>
        </w:rPr>
      </w:pPr>
      <w:r w:rsidRPr="009B5662">
        <w:rPr>
          <w:lang w:val="en-US"/>
        </w:rPr>
        <w:t xml:space="preserve">Two </w:t>
      </w:r>
      <w:r w:rsidR="00120C5D" w:rsidRPr="009B5662">
        <w:rPr>
          <w:lang w:val="en-US"/>
        </w:rPr>
        <w:t>M</w:t>
      </w:r>
      <w:r w:rsidR="00682B35" w:rsidRPr="009B5662">
        <w:rPr>
          <w:rFonts w:cs="Arial"/>
          <w:lang w:val="en-US"/>
        </w:rPr>
        <w:t>ā</w:t>
      </w:r>
      <w:r w:rsidR="00120C5D" w:rsidRPr="009B5662">
        <w:rPr>
          <w:lang w:val="en-US"/>
        </w:rPr>
        <w:t xml:space="preserve">ori </w:t>
      </w:r>
      <w:r w:rsidR="00E5487E" w:rsidRPr="009B5662">
        <w:rPr>
          <w:lang w:val="en-US"/>
        </w:rPr>
        <w:t>BSP participants</w:t>
      </w:r>
      <w:r w:rsidRPr="009B5662">
        <w:rPr>
          <w:lang w:val="en-US"/>
        </w:rPr>
        <w:t xml:space="preserve"> heard from the </w:t>
      </w:r>
      <w:r w:rsidR="009E3E09">
        <w:rPr>
          <w:lang w:val="en-US"/>
        </w:rPr>
        <w:t>Endoscopy Unit</w:t>
      </w:r>
      <w:r w:rsidRPr="009B5662">
        <w:rPr>
          <w:lang w:val="en-US"/>
        </w:rPr>
        <w:t>.</w:t>
      </w:r>
      <w:r w:rsidR="002B7E7E" w:rsidRPr="009B5662">
        <w:rPr>
          <w:lang w:val="en-US"/>
        </w:rPr>
        <w:t xml:space="preserve">  Both discussed the results from their colonoscopy when they were next at their GP about </w:t>
      </w:r>
      <w:r w:rsidR="00375A28">
        <w:rPr>
          <w:lang w:val="en-US"/>
        </w:rPr>
        <w:t>an</w:t>
      </w:r>
      <w:r w:rsidR="002B7E7E" w:rsidRPr="009B5662">
        <w:rPr>
          <w:lang w:val="en-US"/>
        </w:rPr>
        <w:t xml:space="preserve">other </w:t>
      </w:r>
      <w:r w:rsidR="000039C3" w:rsidRPr="009B5662">
        <w:rPr>
          <w:lang w:val="en-US"/>
        </w:rPr>
        <w:t xml:space="preserve">non-related health </w:t>
      </w:r>
      <w:r w:rsidR="00791AE9" w:rsidRPr="009B5662">
        <w:rPr>
          <w:lang w:val="en-US"/>
        </w:rPr>
        <w:t>matter</w:t>
      </w:r>
      <w:r w:rsidR="002B7E7E" w:rsidRPr="009B5662">
        <w:rPr>
          <w:lang w:val="en-US"/>
        </w:rPr>
        <w:t xml:space="preserve">. </w:t>
      </w:r>
    </w:p>
    <w:p w14:paraId="107279AC" w14:textId="77777777" w:rsidR="002B7E7E" w:rsidRPr="009B5662" w:rsidRDefault="002B7E7E" w:rsidP="009233A8">
      <w:pPr>
        <w:pStyle w:val="Quote"/>
        <w:ind w:left="1418"/>
      </w:pPr>
      <w:r w:rsidRPr="009B5662">
        <w:t>The lady</w:t>
      </w:r>
      <w:r w:rsidR="00375A28">
        <w:t xml:space="preserve"> [CNS]</w:t>
      </w:r>
      <w:r w:rsidRPr="009B5662">
        <w:t xml:space="preserve"> I spoke to was really good. </w:t>
      </w:r>
      <w:r w:rsidR="000039C3" w:rsidRPr="009B5662">
        <w:t xml:space="preserve"> </w:t>
      </w:r>
      <w:r w:rsidRPr="009B5662">
        <w:t>She told me not to get worried and it’s not a major but of course my sample showed some signs of blood and I needed to have the colonoscopy. But she made sure that it wasn’t a major issue. You know it’s quite common for that to show up and not mean anything….And then she let me make the booking with her.</w:t>
      </w:r>
    </w:p>
    <w:p w14:paraId="12B267D8" w14:textId="39403AFC" w:rsidR="001A1549" w:rsidRDefault="000039C3" w:rsidP="001A1549">
      <w:pPr>
        <w:ind w:left="1134"/>
        <w:rPr>
          <w:lang w:val="en-US"/>
        </w:rPr>
      </w:pPr>
      <w:r w:rsidRPr="009B5662">
        <w:rPr>
          <w:lang w:val="en-US"/>
        </w:rPr>
        <w:t>All M</w:t>
      </w:r>
      <w:r w:rsidRPr="009B5662">
        <w:rPr>
          <w:rFonts w:cs="Arial"/>
          <w:lang w:val="en-US"/>
        </w:rPr>
        <w:t>ā</w:t>
      </w:r>
      <w:r w:rsidRPr="009B5662">
        <w:rPr>
          <w:lang w:val="en-US"/>
        </w:rPr>
        <w:t>ori BSP participants interviewed had a positive long</w:t>
      </w:r>
      <w:r w:rsidR="00641855">
        <w:rPr>
          <w:lang w:val="en-US"/>
        </w:rPr>
        <w:t>-</w:t>
      </w:r>
      <w:r w:rsidRPr="009B5662">
        <w:rPr>
          <w:lang w:val="en-US"/>
        </w:rPr>
        <w:t>term relationship with their GP.</w:t>
      </w:r>
      <w:r w:rsidR="00AF1B7E" w:rsidRPr="009B5662">
        <w:rPr>
          <w:lang w:val="en-US"/>
        </w:rPr>
        <w:t xml:space="preserve">  </w:t>
      </w:r>
    </w:p>
    <w:p w14:paraId="61469153" w14:textId="77777777" w:rsidR="00120C5D" w:rsidRPr="009B5662" w:rsidRDefault="002B7E7E" w:rsidP="001A1549">
      <w:pPr>
        <w:pStyle w:val="Bullet"/>
        <w:numPr>
          <w:ilvl w:val="0"/>
          <w:numId w:val="8"/>
        </w:numPr>
        <w:tabs>
          <w:tab w:val="num" w:pos="2126"/>
          <w:tab w:val="num" w:pos="6663"/>
        </w:tabs>
        <w:rPr>
          <w:lang w:val="en-US"/>
        </w:rPr>
      </w:pPr>
      <w:r w:rsidRPr="009B5662">
        <w:rPr>
          <w:lang w:val="en-US"/>
        </w:rPr>
        <w:t xml:space="preserve">Five </w:t>
      </w:r>
      <w:r w:rsidR="00120C5D" w:rsidRPr="009B5662">
        <w:rPr>
          <w:lang w:val="en-US"/>
        </w:rPr>
        <w:t>Pacific</w:t>
      </w:r>
      <w:r w:rsidR="00E5487E" w:rsidRPr="009B5662">
        <w:rPr>
          <w:lang w:val="en-US"/>
        </w:rPr>
        <w:t xml:space="preserve"> BSP </w:t>
      </w:r>
      <w:r w:rsidR="00682B35" w:rsidRPr="009B5662">
        <w:rPr>
          <w:lang w:val="en-US"/>
        </w:rPr>
        <w:t>participants</w:t>
      </w:r>
      <w:r w:rsidR="00120C5D" w:rsidRPr="009B5662">
        <w:rPr>
          <w:lang w:val="en-US"/>
        </w:rPr>
        <w:t xml:space="preserve"> heard from the </w:t>
      </w:r>
      <w:r w:rsidR="009E3E09">
        <w:rPr>
          <w:lang w:val="en-US"/>
        </w:rPr>
        <w:t>Endoscopy Unit</w:t>
      </w:r>
      <w:r w:rsidR="005B04A7" w:rsidRPr="009B5662">
        <w:rPr>
          <w:lang w:val="en-US"/>
        </w:rPr>
        <w:t xml:space="preserve"> – </w:t>
      </w:r>
      <w:r w:rsidR="004556C0" w:rsidRPr="009B5662">
        <w:rPr>
          <w:lang w:val="en-US"/>
        </w:rPr>
        <w:t>four</w:t>
      </w:r>
      <w:r w:rsidR="005B04A7" w:rsidRPr="009B5662">
        <w:rPr>
          <w:lang w:val="en-US"/>
        </w:rPr>
        <w:t xml:space="preserve"> received a phone call</w:t>
      </w:r>
      <w:r w:rsidR="004556C0" w:rsidRPr="009B5662">
        <w:rPr>
          <w:lang w:val="en-US"/>
        </w:rPr>
        <w:t xml:space="preserve"> from the endoscopy nurse</w:t>
      </w:r>
      <w:r w:rsidR="005B04A7" w:rsidRPr="009B5662">
        <w:rPr>
          <w:lang w:val="en-US"/>
        </w:rPr>
        <w:t xml:space="preserve"> and </w:t>
      </w:r>
      <w:r w:rsidR="004556C0" w:rsidRPr="009B5662">
        <w:rPr>
          <w:lang w:val="en-US"/>
        </w:rPr>
        <w:t>one</w:t>
      </w:r>
      <w:r w:rsidR="005B04A7" w:rsidRPr="009B5662">
        <w:rPr>
          <w:lang w:val="en-US"/>
        </w:rPr>
        <w:t xml:space="preserve"> a letter</w:t>
      </w:r>
      <w:r w:rsidR="00120C5D" w:rsidRPr="009B5662">
        <w:rPr>
          <w:lang w:val="en-US"/>
        </w:rPr>
        <w:t xml:space="preserve">. </w:t>
      </w:r>
      <w:r w:rsidR="00634964" w:rsidRPr="009B5662">
        <w:rPr>
          <w:lang w:val="en-US"/>
        </w:rPr>
        <w:t xml:space="preserve"> On prompting</w:t>
      </w:r>
      <w:r w:rsidR="00641855">
        <w:rPr>
          <w:lang w:val="en-US"/>
        </w:rPr>
        <w:t>,</w:t>
      </w:r>
      <w:r w:rsidR="00634964" w:rsidRPr="009B5662">
        <w:rPr>
          <w:lang w:val="en-US"/>
        </w:rPr>
        <w:t xml:space="preserve"> </w:t>
      </w:r>
      <w:r w:rsidR="004556C0" w:rsidRPr="009B5662">
        <w:rPr>
          <w:lang w:val="en-US"/>
        </w:rPr>
        <w:t>three</w:t>
      </w:r>
      <w:r w:rsidR="005B04A7" w:rsidRPr="009B5662">
        <w:rPr>
          <w:lang w:val="en-US"/>
        </w:rPr>
        <w:t xml:space="preserve"> commented</w:t>
      </w:r>
      <w:r w:rsidR="00634964" w:rsidRPr="009B5662">
        <w:rPr>
          <w:lang w:val="en-US"/>
        </w:rPr>
        <w:t xml:space="preserve"> that they had ticked the box on the consent form </w:t>
      </w:r>
      <w:r w:rsidR="004556C0" w:rsidRPr="009B5662">
        <w:rPr>
          <w:lang w:val="en-US"/>
        </w:rPr>
        <w:t xml:space="preserve">assuming this meant </w:t>
      </w:r>
      <w:r w:rsidR="00634964" w:rsidRPr="009B5662">
        <w:rPr>
          <w:lang w:val="en-US"/>
        </w:rPr>
        <w:t xml:space="preserve">their GP </w:t>
      </w:r>
      <w:r w:rsidR="00682B35" w:rsidRPr="009B5662">
        <w:rPr>
          <w:lang w:val="en-US"/>
        </w:rPr>
        <w:t>w</w:t>
      </w:r>
      <w:r w:rsidR="004556C0" w:rsidRPr="009B5662">
        <w:rPr>
          <w:lang w:val="en-US"/>
        </w:rPr>
        <w:t xml:space="preserve">ould be </w:t>
      </w:r>
      <w:r w:rsidR="00682B35" w:rsidRPr="009B5662">
        <w:rPr>
          <w:lang w:val="en-US"/>
        </w:rPr>
        <w:t xml:space="preserve">informed about the result. </w:t>
      </w:r>
      <w:r w:rsidR="000039C3" w:rsidRPr="009B5662">
        <w:rPr>
          <w:lang w:val="en-US"/>
        </w:rPr>
        <w:t xml:space="preserve"> </w:t>
      </w:r>
      <w:r w:rsidR="00682B35" w:rsidRPr="009B5662">
        <w:rPr>
          <w:lang w:val="en-US"/>
        </w:rPr>
        <w:t>T</w:t>
      </w:r>
      <w:r w:rsidR="00634964" w:rsidRPr="009B5662">
        <w:rPr>
          <w:lang w:val="en-US"/>
        </w:rPr>
        <w:t xml:space="preserve">icking this box </w:t>
      </w:r>
      <w:r w:rsidR="00682B35" w:rsidRPr="009B5662">
        <w:rPr>
          <w:lang w:val="en-US"/>
        </w:rPr>
        <w:t>i</w:t>
      </w:r>
      <w:r w:rsidR="00634964" w:rsidRPr="009B5662">
        <w:rPr>
          <w:lang w:val="en-US"/>
        </w:rPr>
        <w:t xml:space="preserve">ndicates that </w:t>
      </w:r>
      <w:r w:rsidR="00791AE9" w:rsidRPr="009B5662">
        <w:rPr>
          <w:lang w:val="en-US"/>
        </w:rPr>
        <w:t xml:space="preserve">the </w:t>
      </w:r>
      <w:r w:rsidR="00634964" w:rsidRPr="009B5662">
        <w:rPr>
          <w:lang w:val="en-US"/>
        </w:rPr>
        <w:t>participant do</w:t>
      </w:r>
      <w:r w:rsidR="00791AE9" w:rsidRPr="009B5662">
        <w:rPr>
          <w:lang w:val="en-US"/>
        </w:rPr>
        <w:t>es</w:t>
      </w:r>
      <w:r w:rsidR="00634964" w:rsidRPr="009B5662">
        <w:rPr>
          <w:lang w:val="en-US"/>
        </w:rPr>
        <w:t xml:space="preserve"> not want their G</w:t>
      </w:r>
      <w:r w:rsidR="00682B35" w:rsidRPr="009B5662">
        <w:rPr>
          <w:lang w:val="en-US"/>
        </w:rPr>
        <w:t>P</w:t>
      </w:r>
      <w:r w:rsidR="00634964" w:rsidRPr="009B5662">
        <w:rPr>
          <w:lang w:val="en-US"/>
        </w:rPr>
        <w:t xml:space="preserve"> to be informed</w:t>
      </w:r>
      <w:r w:rsidR="00AA12A9" w:rsidRPr="009B5662">
        <w:rPr>
          <w:rStyle w:val="FootnoteReference"/>
          <w:lang w:val="en-US"/>
        </w:rPr>
        <w:footnoteReference w:id="9"/>
      </w:r>
      <w:r w:rsidR="00634964" w:rsidRPr="009B5662">
        <w:rPr>
          <w:lang w:val="en-US"/>
        </w:rPr>
        <w:t xml:space="preserve">. </w:t>
      </w:r>
      <w:r w:rsidR="00B70650" w:rsidRPr="009B5662">
        <w:rPr>
          <w:lang w:val="en-US"/>
        </w:rPr>
        <w:t xml:space="preserve"> </w:t>
      </w:r>
    </w:p>
    <w:p w14:paraId="6B41FE68" w14:textId="77777777" w:rsidR="005D6B37" w:rsidRPr="009B5662" w:rsidRDefault="005D6B37" w:rsidP="009233A8">
      <w:pPr>
        <w:pStyle w:val="Quote"/>
        <w:ind w:left="1418"/>
      </w:pPr>
      <w:r w:rsidRPr="009B5662">
        <w:t>To me, they did the job to the letter. They found out what was wrong.  They get in touch with me straight away. And ask me whether I want to go through this or not – it’s up to me and they are not going to force me… The woman I was with, she had a nice voice, she talked well, she was polite, there wasn’t sort of a commanding voice…I think she was professional anyway, the way she talked.</w:t>
      </w:r>
    </w:p>
    <w:p w14:paraId="5DC9D324" w14:textId="77777777" w:rsidR="005D6B37" w:rsidRPr="009B5662" w:rsidRDefault="00175336" w:rsidP="0077722F">
      <w:pPr>
        <w:pStyle w:val="Bullet"/>
        <w:keepNext/>
        <w:keepLines/>
        <w:numPr>
          <w:ilvl w:val="0"/>
          <w:numId w:val="0"/>
        </w:numPr>
        <w:ind w:left="1072"/>
        <w:rPr>
          <w:lang w:val="en-US"/>
        </w:rPr>
      </w:pPr>
      <w:r w:rsidRPr="009B5662">
        <w:rPr>
          <w:lang w:val="en-US"/>
        </w:rPr>
        <w:lastRenderedPageBreak/>
        <w:t>Similar to</w:t>
      </w:r>
      <w:r w:rsidR="005B04A7" w:rsidRPr="009B5662">
        <w:rPr>
          <w:lang w:val="en-US"/>
        </w:rPr>
        <w:t xml:space="preserve"> M</w:t>
      </w:r>
      <w:r w:rsidR="005B04A7" w:rsidRPr="009B5662">
        <w:rPr>
          <w:rFonts w:cs="Arial"/>
          <w:lang w:val="en-US"/>
        </w:rPr>
        <w:t>ā</w:t>
      </w:r>
      <w:r w:rsidR="005B04A7" w:rsidRPr="009B5662">
        <w:rPr>
          <w:lang w:val="en-US"/>
        </w:rPr>
        <w:t>ori participants interviewed,</w:t>
      </w:r>
      <w:r w:rsidR="005D6B37" w:rsidRPr="009B5662">
        <w:rPr>
          <w:lang w:val="en-US"/>
        </w:rPr>
        <w:t xml:space="preserve"> three</w:t>
      </w:r>
      <w:r w:rsidR="005B04A7" w:rsidRPr="009B5662">
        <w:rPr>
          <w:lang w:val="en-US"/>
        </w:rPr>
        <w:t xml:space="preserve"> Pacific participants </w:t>
      </w:r>
      <w:r w:rsidR="005D6B37" w:rsidRPr="009B5662">
        <w:rPr>
          <w:lang w:val="en-US"/>
        </w:rPr>
        <w:t>had</w:t>
      </w:r>
      <w:r w:rsidR="005B04A7" w:rsidRPr="009B5662">
        <w:rPr>
          <w:lang w:val="en-US"/>
        </w:rPr>
        <w:t xml:space="preserve"> a long term and very positive relationship with their GP</w:t>
      </w:r>
      <w:r w:rsidR="00791AE9" w:rsidRPr="009B5662">
        <w:rPr>
          <w:lang w:val="en-US"/>
        </w:rPr>
        <w:t>s</w:t>
      </w:r>
      <w:r w:rsidR="005B04A7" w:rsidRPr="009B5662">
        <w:rPr>
          <w:lang w:val="en-US"/>
        </w:rPr>
        <w:t xml:space="preserve">.  </w:t>
      </w:r>
      <w:r w:rsidR="005D6B37" w:rsidRPr="009B5662">
        <w:rPr>
          <w:lang w:val="en-US"/>
        </w:rPr>
        <w:t>Two Pacific participants had a general practice they had attended, although they did not have a regular GP they saw due to the use of locums and limited availability.  Only one Pacific participant discussed the results with their GP.  For some this may have reflected their assumption they wou</w:t>
      </w:r>
      <w:r w:rsidR="00791AE9" w:rsidRPr="009B5662">
        <w:rPr>
          <w:lang w:val="en-US"/>
        </w:rPr>
        <w:t>ld need to pay for the consult.  They were also concerned with</w:t>
      </w:r>
      <w:r w:rsidR="005D6B37" w:rsidRPr="009B5662">
        <w:rPr>
          <w:lang w:val="en-US"/>
        </w:rPr>
        <w:t xml:space="preserve"> time and travel cost</w:t>
      </w:r>
      <w:r w:rsidR="00791AE9" w:rsidRPr="009B5662">
        <w:rPr>
          <w:lang w:val="en-US"/>
        </w:rPr>
        <w:t>s</w:t>
      </w:r>
      <w:r w:rsidR="005D6B37" w:rsidRPr="009B5662">
        <w:rPr>
          <w:lang w:val="en-US"/>
        </w:rPr>
        <w:t xml:space="preserve"> </w:t>
      </w:r>
      <w:r w:rsidRPr="009B5662">
        <w:rPr>
          <w:lang w:val="en-US"/>
        </w:rPr>
        <w:t>involved in getting to the general practice</w:t>
      </w:r>
      <w:r w:rsidR="005D6B37" w:rsidRPr="009B5662">
        <w:rPr>
          <w:lang w:val="en-US"/>
        </w:rPr>
        <w:t xml:space="preserve">. </w:t>
      </w:r>
    </w:p>
    <w:p w14:paraId="22B5F38E" w14:textId="77777777" w:rsidR="005D6B37" w:rsidRPr="009B5662" w:rsidRDefault="005D6B37" w:rsidP="009233A8">
      <w:pPr>
        <w:pStyle w:val="Quote"/>
        <w:ind w:left="1418"/>
      </w:pPr>
      <w:r w:rsidRPr="009B5662">
        <w:t>That’s why a lot of people don’t want to go and see the Doctor, because of the price…</w:t>
      </w:r>
      <w:r w:rsidR="00AA12A9" w:rsidRPr="009B5662">
        <w:t>(Pacific BSP participant)</w:t>
      </w:r>
    </w:p>
    <w:p w14:paraId="394D6282" w14:textId="77777777" w:rsidR="00791AE9" w:rsidRPr="009B5662" w:rsidRDefault="00791AE9" w:rsidP="00791AE9">
      <w:r w:rsidRPr="009B5662">
        <w:t xml:space="preserve">Participants who heard about their positive result from the </w:t>
      </w:r>
      <w:r w:rsidR="009E3E09">
        <w:t>Endoscopy Unit</w:t>
      </w:r>
      <w:r w:rsidRPr="009B5662">
        <w:t xml:space="preserve"> assumed that their GP was informed about this result and would contact them if they deemed it necessary.  </w:t>
      </w:r>
    </w:p>
    <w:p w14:paraId="68C8D97C" w14:textId="77777777" w:rsidR="00791AE9" w:rsidRPr="009B5662" w:rsidRDefault="00791AE9" w:rsidP="009233A8">
      <w:pPr>
        <w:pStyle w:val="Quote"/>
        <w:ind w:left="1418"/>
      </w:pPr>
      <w:r w:rsidRPr="009B5662">
        <w:t>Yes I made sure of that.  Because since I had my high blood pressure I always let my Doctor know what is going on.  I have a three monthly visit with her and she will bring it up on the system and it tells her what has been done in the past and that tells her about the blood scanning, heart scanning and cancer. (M</w:t>
      </w:r>
      <w:r w:rsidRPr="009B5662">
        <w:rPr>
          <w:rFonts w:cs="Arial"/>
        </w:rPr>
        <w:t>ā</w:t>
      </w:r>
      <w:r w:rsidRPr="009B5662">
        <w:t>ori BSP participant)</w:t>
      </w:r>
    </w:p>
    <w:p w14:paraId="7C4C5617" w14:textId="77777777" w:rsidR="000447EC" w:rsidRPr="009B5662" w:rsidRDefault="00175336" w:rsidP="00634964">
      <w:r w:rsidRPr="009B5662">
        <w:t>Regardless how BSP participant</w:t>
      </w:r>
      <w:r w:rsidR="00791AE9" w:rsidRPr="009B5662">
        <w:t>s</w:t>
      </w:r>
      <w:r w:rsidRPr="009B5662">
        <w:t xml:space="preserve"> heard about their results</w:t>
      </w:r>
      <w:r w:rsidR="00791AE9" w:rsidRPr="009B5662">
        <w:t>,</w:t>
      </w:r>
      <w:r w:rsidRPr="009B5662">
        <w:t xml:space="preserve"> their experience was a positive one as </w:t>
      </w:r>
      <w:r w:rsidR="00791AE9" w:rsidRPr="009B5662">
        <w:t xml:space="preserve">their </w:t>
      </w:r>
      <w:r w:rsidRPr="009B5662">
        <w:t>key needs were met</w:t>
      </w:r>
      <w:r w:rsidR="00B70650" w:rsidRPr="009B5662">
        <w:t xml:space="preserve">: </w:t>
      </w:r>
    </w:p>
    <w:p w14:paraId="178FADB7" w14:textId="77777777" w:rsidR="00634964" w:rsidRPr="009B5662" w:rsidRDefault="00791AE9" w:rsidP="00CC5733">
      <w:pPr>
        <w:pStyle w:val="Bullet"/>
        <w:numPr>
          <w:ilvl w:val="0"/>
          <w:numId w:val="8"/>
        </w:numPr>
        <w:tabs>
          <w:tab w:val="num" w:pos="2126"/>
          <w:tab w:val="num" w:pos="6663"/>
        </w:tabs>
      </w:pPr>
      <w:r w:rsidRPr="009B5662">
        <w:t>Timely – A</w:t>
      </w:r>
      <w:r w:rsidR="000447EC" w:rsidRPr="009B5662">
        <w:t xml:space="preserve">ll were pleased (and somewhat surprised) about how quickly they received their result </w:t>
      </w:r>
      <w:r w:rsidR="00BA530D" w:rsidRPr="009B5662">
        <w:t>and received a colonoscopy appointment</w:t>
      </w:r>
      <w:r w:rsidR="000039C3" w:rsidRPr="009B5662">
        <w:t>.</w:t>
      </w:r>
      <w:r w:rsidR="00BA530D" w:rsidRPr="009B5662">
        <w:t xml:space="preserve"> </w:t>
      </w:r>
    </w:p>
    <w:p w14:paraId="7E07F49B" w14:textId="77777777" w:rsidR="000447EC" w:rsidRPr="009B5662" w:rsidRDefault="005D6B37" w:rsidP="00CC5733">
      <w:pPr>
        <w:pStyle w:val="Bullet"/>
        <w:numPr>
          <w:ilvl w:val="0"/>
          <w:numId w:val="8"/>
        </w:numPr>
        <w:tabs>
          <w:tab w:val="num" w:pos="2126"/>
          <w:tab w:val="num" w:pos="6663"/>
        </w:tabs>
      </w:pPr>
      <w:r w:rsidRPr="009B5662">
        <w:t xml:space="preserve">Reassuring – Most acknowledged that receiving a positive result is </w:t>
      </w:r>
      <w:r w:rsidR="008773B3" w:rsidRPr="009B5662">
        <w:t xml:space="preserve">stressful </w:t>
      </w:r>
      <w:r w:rsidR="001A1549">
        <w:t>raising</w:t>
      </w:r>
      <w:r w:rsidR="008773B3" w:rsidRPr="009B5662">
        <w:t xml:space="preserve"> fears </w:t>
      </w:r>
      <w:r w:rsidR="001A1549">
        <w:t xml:space="preserve">they may </w:t>
      </w:r>
      <w:r w:rsidR="008773B3" w:rsidRPr="009B5662">
        <w:t xml:space="preserve">have cancer.  Both general practice and the </w:t>
      </w:r>
      <w:r w:rsidR="009E3E09">
        <w:t>Endoscopy Unit</w:t>
      </w:r>
      <w:r w:rsidR="008773B3" w:rsidRPr="009B5662">
        <w:t xml:space="preserve"> offered </w:t>
      </w:r>
      <w:r w:rsidR="000447EC" w:rsidRPr="009B5662">
        <w:t>reassur</w:t>
      </w:r>
      <w:r w:rsidR="008773B3" w:rsidRPr="009B5662">
        <w:t xml:space="preserve">ance by explaining </w:t>
      </w:r>
      <w:r w:rsidR="000447EC" w:rsidRPr="009B5662">
        <w:t xml:space="preserve">it was very </w:t>
      </w:r>
      <w:r w:rsidR="008773B3" w:rsidRPr="009B5662">
        <w:t>un</w:t>
      </w:r>
      <w:r w:rsidR="000447EC" w:rsidRPr="009B5662">
        <w:t>likely that a positive result is cancer</w:t>
      </w:r>
      <w:r w:rsidR="008773B3" w:rsidRPr="009B5662">
        <w:t xml:space="preserve">, although it is important to check this </w:t>
      </w:r>
      <w:r w:rsidR="000447EC" w:rsidRPr="009B5662">
        <w:t>out</w:t>
      </w:r>
      <w:r w:rsidRPr="009B5662">
        <w:t xml:space="preserve">.  </w:t>
      </w:r>
    </w:p>
    <w:p w14:paraId="123FE82E" w14:textId="77777777" w:rsidR="000447EC" w:rsidRDefault="00811E64" w:rsidP="00CC5733">
      <w:pPr>
        <w:pStyle w:val="Bullet"/>
        <w:numPr>
          <w:ilvl w:val="0"/>
          <w:numId w:val="8"/>
        </w:numPr>
        <w:tabs>
          <w:tab w:val="num" w:pos="2126"/>
          <w:tab w:val="num" w:pos="6663"/>
        </w:tabs>
      </w:pPr>
      <w:r w:rsidRPr="009B5662">
        <w:t xml:space="preserve">Clear </w:t>
      </w:r>
      <w:r w:rsidR="00791AE9" w:rsidRPr="009B5662">
        <w:t xml:space="preserve">direction – All had an understanding </w:t>
      </w:r>
      <w:r w:rsidRPr="009B5662">
        <w:t>about what happen</w:t>
      </w:r>
      <w:r w:rsidR="00375A28">
        <w:t>ed</w:t>
      </w:r>
      <w:r w:rsidRPr="009B5662">
        <w:t xml:space="preserve"> next</w:t>
      </w:r>
      <w:r w:rsidR="008773B3" w:rsidRPr="009B5662">
        <w:t xml:space="preserve"> with regard to the colonoscopy</w:t>
      </w:r>
      <w:r w:rsidR="00791AE9" w:rsidRPr="009B5662">
        <w:t>, and when they were likely to get an appointment</w:t>
      </w:r>
      <w:r w:rsidRPr="009B5662">
        <w:t xml:space="preserve">. </w:t>
      </w:r>
    </w:p>
    <w:p w14:paraId="38BAE894" w14:textId="77777777" w:rsidR="00C30331" w:rsidRDefault="00C30331" w:rsidP="00C30331">
      <w:pPr>
        <w:pStyle w:val="Heading2"/>
        <w:rPr>
          <w:lang w:val="en-US"/>
        </w:rPr>
      </w:pPr>
      <w:bookmarkStart w:id="58" w:name="_Toc380424710"/>
      <w:r>
        <w:rPr>
          <w:lang w:val="en-US"/>
        </w:rPr>
        <w:t>5.2</w:t>
      </w:r>
      <w:r>
        <w:rPr>
          <w:lang w:val="en-US"/>
        </w:rPr>
        <w:tab/>
        <w:t xml:space="preserve">Preferred delivery of </w:t>
      </w:r>
      <w:r w:rsidR="00533760">
        <w:rPr>
          <w:lang w:val="en-US"/>
        </w:rPr>
        <w:t xml:space="preserve">positive </w:t>
      </w:r>
      <w:r>
        <w:rPr>
          <w:lang w:val="en-US"/>
        </w:rPr>
        <w:t>results</w:t>
      </w:r>
      <w:bookmarkEnd w:id="58"/>
    </w:p>
    <w:p w14:paraId="7579549F" w14:textId="77777777" w:rsidR="00D97312" w:rsidRPr="009B5662" w:rsidRDefault="006E4451" w:rsidP="006E4451">
      <w:pPr>
        <w:rPr>
          <w:lang w:val="en-US"/>
        </w:rPr>
      </w:pPr>
      <w:r w:rsidRPr="009B5662">
        <w:rPr>
          <w:lang w:val="en-US"/>
        </w:rPr>
        <w:t xml:space="preserve">Overall BSP participants </w:t>
      </w:r>
      <w:r w:rsidR="000039C3" w:rsidRPr="009B5662">
        <w:rPr>
          <w:lang w:val="en-US"/>
        </w:rPr>
        <w:t xml:space="preserve">have differing </w:t>
      </w:r>
      <w:r w:rsidRPr="009B5662">
        <w:rPr>
          <w:lang w:val="en-US"/>
        </w:rPr>
        <w:t>prefer</w:t>
      </w:r>
      <w:r w:rsidR="000039C3" w:rsidRPr="009B5662">
        <w:rPr>
          <w:lang w:val="en-US"/>
        </w:rPr>
        <w:t xml:space="preserve">ences on how they want to </w:t>
      </w:r>
      <w:r w:rsidRPr="009B5662">
        <w:rPr>
          <w:lang w:val="en-US"/>
        </w:rPr>
        <w:t>receiv</w:t>
      </w:r>
      <w:r w:rsidR="000039C3" w:rsidRPr="009B5662">
        <w:rPr>
          <w:lang w:val="en-US"/>
        </w:rPr>
        <w:t>e</w:t>
      </w:r>
      <w:r w:rsidRPr="009B5662">
        <w:rPr>
          <w:lang w:val="en-US"/>
        </w:rPr>
        <w:t xml:space="preserve"> their positive </w:t>
      </w:r>
      <w:proofErr w:type="spellStart"/>
      <w:r w:rsidRPr="009B5662">
        <w:rPr>
          <w:lang w:val="en-US"/>
        </w:rPr>
        <w:t>iFOBT</w:t>
      </w:r>
      <w:proofErr w:type="spellEnd"/>
      <w:r w:rsidRPr="009B5662">
        <w:rPr>
          <w:lang w:val="en-US"/>
        </w:rPr>
        <w:t xml:space="preserve"> result. </w:t>
      </w:r>
      <w:r w:rsidR="00ED6EAF" w:rsidRPr="009B5662">
        <w:rPr>
          <w:lang w:val="en-US"/>
        </w:rPr>
        <w:t xml:space="preserve"> Preference</w:t>
      </w:r>
      <w:r w:rsidR="00641855">
        <w:rPr>
          <w:lang w:val="en-US"/>
        </w:rPr>
        <w:t>,</w:t>
      </w:r>
      <w:r w:rsidR="00ED6EAF" w:rsidRPr="009B5662">
        <w:rPr>
          <w:lang w:val="en-US"/>
        </w:rPr>
        <w:t xml:space="preserve"> </w:t>
      </w:r>
      <w:r w:rsidR="00D97312" w:rsidRPr="009B5662">
        <w:rPr>
          <w:lang w:val="en-US"/>
        </w:rPr>
        <w:t xml:space="preserve">if </w:t>
      </w:r>
      <w:r w:rsidR="00ED6EAF" w:rsidRPr="009B5662">
        <w:rPr>
          <w:lang w:val="en-US"/>
        </w:rPr>
        <w:t>stated</w:t>
      </w:r>
      <w:r w:rsidR="00641855">
        <w:rPr>
          <w:lang w:val="en-US"/>
        </w:rPr>
        <w:t>,</w:t>
      </w:r>
      <w:r w:rsidR="00ED6EAF" w:rsidRPr="009B5662">
        <w:rPr>
          <w:lang w:val="en-US"/>
        </w:rPr>
        <w:t xml:space="preserve"> tended to reflect their experience. </w:t>
      </w:r>
      <w:r w:rsidRPr="009B5662">
        <w:rPr>
          <w:lang w:val="en-US"/>
        </w:rPr>
        <w:t xml:space="preserve"> </w:t>
      </w:r>
      <w:r w:rsidR="00D97312" w:rsidRPr="009B5662">
        <w:rPr>
          <w:lang w:val="en-US"/>
        </w:rPr>
        <w:t>Evident ac</w:t>
      </w:r>
      <w:r w:rsidR="00ED6EAF" w:rsidRPr="009B5662">
        <w:rPr>
          <w:lang w:val="en-US"/>
        </w:rPr>
        <w:t>ross the interviews</w:t>
      </w:r>
      <w:r w:rsidR="00D97312" w:rsidRPr="009B5662">
        <w:rPr>
          <w:lang w:val="en-US"/>
        </w:rPr>
        <w:t xml:space="preserve"> </w:t>
      </w:r>
      <w:r w:rsidR="00175336" w:rsidRPr="009B5662">
        <w:rPr>
          <w:lang w:val="en-US"/>
        </w:rPr>
        <w:t xml:space="preserve">regardless of </w:t>
      </w:r>
      <w:r w:rsidR="0097150B" w:rsidRPr="009B5662">
        <w:rPr>
          <w:lang w:val="en-US"/>
        </w:rPr>
        <w:t xml:space="preserve">whether they were advised of the results from their GP/practice nurse or the </w:t>
      </w:r>
      <w:r w:rsidR="009E3E09">
        <w:rPr>
          <w:lang w:val="en-US"/>
        </w:rPr>
        <w:t>Endoscopy Unit</w:t>
      </w:r>
      <w:r w:rsidR="0097150B" w:rsidRPr="009B5662">
        <w:rPr>
          <w:lang w:val="en-US"/>
        </w:rPr>
        <w:t xml:space="preserve"> </w:t>
      </w:r>
      <w:r w:rsidR="00175336" w:rsidRPr="009B5662">
        <w:rPr>
          <w:lang w:val="en-US"/>
        </w:rPr>
        <w:t xml:space="preserve">were </w:t>
      </w:r>
      <w:r w:rsidR="00D97312" w:rsidRPr="009B5662">
        <w:rPr>
          <w:lang w:val="en-US"/>
        </w:rPr>
        <w:t xml:space="preserve">the elements that enable a positive participant experience: </w:t>
      </w:r>
    </w:p>
    <w:p w14:paraId="4AB05651" w14:textId="77777777" w:rsidR="00D97312" w:rsidRPr="009B5662" w:rsidRDefault="00844D63" w:rsidP="00CC5733">
      <w:pPr>
        <w:pStyle w:val="Bullet"/>
        <w:numPr>
          <w:ilvl w:val="0"/>
          <w:numId w:val="8"/>
        </w:numPr>
        <w:tabs>
          <w:tab w:val="num" w:pos="2126"/>
          <w:tab w:val="num" w:pos="6663"/>
        </w:tabs>
        <w:rPr>
          <w:lang w:val="en-US"/>
        </w:rPr>
      </w:pPr>
      <w:r w:rsidRPr="009B5662">
        <w:rPr>
          <w:lang w:val="en-US"/>
        </w:rPr>
        <w:t>the results are timely</w:t>
      </w:r>
    </w:p>
    <w:p w14:paraId="69EC3352" w14:textId="77777777" w:rsidR="00D97312" w:rsidRPr="009B5662" w:rsidRDefault="00D97312" w:rsidP="00CC5733">
      <w:pPr>
        <w:pStyle w:val="Bullet"/>
        <w:numPr>
          <w:ilvl w:val="0"/>
          <w:numId w:val="8"/>
        </w:numPr>
        <w:tabs>
          <w:tab w:val="num" w:pos="2126"/>
          <w:tab w:val="num" w:pos="6663"/>
        </w:tabs>
        <w:rPr>
          <w:lang w:val="en-US"/>
        </w:rPr>
      </w:pPr>
      <w:r w:rsidRPr="009B5662">
        <w:rPr>
          <w:lang w:val="en-US"/>
        </w:rPr>
        <w:t>reassurance is offered due to the f</w:t>
      </w:r>
      <w:r w:rsidR="009233A8" w:rsidRPr="009B5662">
        <w:rPr>
          <w:lang w:val="en-US"/>
        </w:rPr>
        <w:t>ear raised by a positive result</w:t>
      </w:r>
    </w:p>
    <w:p w14:paraId="2579BF16" w14:textId="77777777" w:rsidR="00D97312" w:rsidRPr="009B5662" w:rsidRDefault="00D97312" w:rsidP="00CC5733">
      <w:pPr>
        <w:pStyle w:val="Bullet"/>
        <w:numPr>
          <w:ilvl w:val="0"/>
          <w:numId w:val="8"/>
        </w:numPr>
        <w:tabs>
          <w:tab w:val="num" w:pos="2126"/>
          <w:tab w:val="num" w:pos="6663"/>
        </w:tabs>
        <w:rPr>
          <w:lang w:val="en-US"/>
        </w:rPr>
      </w:pPr>
      <w:r w:rsidRPr="009B5662">
        <w:rPr>
          <w:lang w:val="en-US"/>
        </w:rPr>
        <w:t>next steps are clear with regard to colonoscopy</w:t>
      </w:r>
      <w:r w:rsidR="009233A8" w:rsidRPr="009B5662">
        <w:rPr>
          <w:lang w:val="en-US"/>
        </w:rPr>
        <w:t>, the</w:t>
      </w:r>
      <w:r w:rsidRPr="009B5662">
        <w:rPr>
          <w:lang w:val="en-US"/>
        </w:rPr>
        <w:t xml:space="preserve"> preparation required, and the appointment is timely</w:t>
      </w:r>
    </w:p>
    <w:p w14:paraId="4AA470DB" w14:textId="77777777" w:rsidR="00175336" w:rsidRPr="009B5662" w:rsidRDefault="00D97312" w:rsidP="00CC5733">
      <w:pPr>
        <w:pStyle w:val="Bullet"/>
        <w:numPr>
          <w:ilvl w:val="0"/>
          <w:numId w:val="8"/>
        </w:numPr>
        <w:tabs>
          <w:tab w:val="num" w:pos="2126"/>
          <w:tab w:val="num" w:pos="6663"/>
        </w:tabs>
        <w:rPr>
          <w:lang w:val="en-US"/>
        </w:rPr>
      </w:pPr>
      <w:r w:rsidRPr="009B5662">
        <w:rPr>
          <w:lang w:val="en-US"/>
        </w:rPr>
        <w:t>the result process is free and convenient</w:t>
      </w:r>
    </w:p>
    <w:p w14:paraId="218A4E70" w14:textId="77777777" w:rsidR="00D97312" w:rsidRPr="009B5662" w:rsidRDefault="00844D63" w:rsidP="00CC5733">
      <w:pPr>
        <w:pStyle w:val="Bullet"/>
        <w:numPr>
          <w:ilvl w:val="0"/>
          <w:numId w:val="8"/>
        </w:numPr>
        <w:tabs>
          <w:tab w:val="num" w:pos="2126"/>
          <w:tab w:val="num" w:pos="6663"/>
        </w:tabs>
        <w:rPr>
          <w:lang w:val="en-US"/>
        </w:rPr>
      </w:pPr>
      <w:r w:rsidRPr="009B5662">
        <w:rPr>
          <w:lang w:val="en-US"/>
        </w:rPr>
        <w:t>GP</w:t>
      </w:r>
      <w:r w:rsidR="00D97312" w:rsidRPr="009B5662">
        <w:rPr>
          <w:lang w:val="en-US"/>
        </w:rPr>
        <w:t xml:space="preserve">s are informed of the </w:t>
      </w:r>
      <w:r w:rsidR="008773B3" w:rsidRPr="009B5662">
        <w:rPr>
          <w:lang w:val="en-US"/>
        </w:rPr>
        <w:t>result</w:t>
      </w:r>
      <w:r w:rsidR="00C15157" w:rsidRPr="009B5662">
        <w:rPr>
          <w:lang w:val="en-US"/>
        </w:rPr>
        <w:t>.</w:t>
      </w:r>
    </w:p>
    <w:p w14:paraId="51EFE019" w14:textId="30EB3827" w:rsidR="00844D63" w:rsidRPr="009B5662" w:rsidRDefault="00844D63" w:rsidP="0077722F">
      <w:pPr>
        <w:keepNext/>
        <w:keepLines/>
      </w:pPr>
      <w:r w:rsidRPr="009B5662">
        <w:rPr>
          <w:lang w:val="en-US"/>
        </w:rPr>
        <w:lastRenderedPageBreak/>
        <w:t>The WDHB eligibl</w:t>
      </w:r>
      <w:r w:rsidR="008773B3" w:rsidRPr="009B5662">
        <w:rPr>
          <w:lang w:val="en-US"/>
        </w:rPr>
        <w:t xml:space="preserve">e population survey </w:t>
      </w:r>
      <w:r w:rsidR="009233A8" w:rsidRPr="009B5662">
        <w:rPr>
          <w:lang w:val="en-US"/>
        </w:rPr>
        <w:t xml:space="preserve">(Litmus 2014a) </w:t>
      </w:r>
      <w:r w:rsidR="008773B3" w:rsidRPr="009B5662">
        <w:rPr>
          <w:lang w:val="en-US"/>
        </w:rPr>
        <w:t xml:space="preserve">found that </w:t>
      </w:r>
      <w:r w:rsidR="00E1554E" w:rsidRPr="009B5662">
        <w:t>respondents</w:t>
      </w:r>
      <w:r w:rsidR="00811E64" w:rsidRPr="009B5662">
        <w:t xml:space="preserve"> find it very reassuring to receive positive </w:t>
      </w:r>
      <w:proofErr w:type="spellStart"/>
      <w:r w:rsidR="009233A8" w:rsidRPr="009B5662">
        <w:t>i</w:t>
      </w:r>
      <w:r w:rsidR="00811E64" w:rsidRPr="009B5662">
        <w:t>FOBT</w:t>
      </w:r>
      <w:proofErr w:type="spellEnd"/>
      <w:r w:rsidR="00811E64" w:rsidRPr="009B5662">
        <w:t xml:space="preserve"> results from their general practice, although they are also happy to receive positive results directly from the screening </w:t>
      </w:r>
      <w:r w:rsidR="00AA12A9" w:rsidRPr="009B5662">
        <w:t>unit</w:t>
      </w:r>
      <w:r w:rsidR="00AA12A9" w:rsidRPr="009B5662">
        <w:rPr>
          <w:rStyle w:val="FootnoteReference"/>
        </w:rPr>
        <w:footnoteReference w:id="10"/>
      </w:r>
      <w:r w:rsidR="00811E64" w:rsidRPr="009B5662">
        <w:t>.</w:t>
      </w:r>
      <w:r w:rsidR="008773B3" w:rsidRPr="009B5662">
        <w:t xml:space="preserve"> </w:t>
      </w:r>
      <w:r w:rsidR="00162E2E" w:rsidRPr="009B5662">
        <w:t xml:space="preserve"> </w:t>
      </w:r>
      <w:r w:rsidR="00811E64" w:rsidRPr="009B5662">
        <w:t>The findings highlight</w:t>
      </w:r>
      <w:r w:rsidR="00D97312" w:rsidRPr="009B5662">
        <w:t>ed</w:t>
      </w:r>
      <w:r w:rsidR="00811E64" w:rsidRPr="009B5662">
        <w:t xml:space="preserve"> that both </w:t>
      </w:r>
      <w:r w:rsidR="00175336" w:rsidRPr="009B5662">
        <w:t xml:space="preserve">methods </w:t>
      </w:r>
      <w:r w:rsidR="00811E64" w:rsidRPr="009B5662">
        <w:t>are acceptable</w:t>
      </w:r>
      <w:r w:rsidRPr="009B5662">
        <w:t xml:space="preserve"> (refer </w:t>
      </w:r>
      <w:r w:rsidR="00641855">
        <w:t>F</w:t>
      </w:r>
      <w:r w:rsidR="00641855" w:rsidRPr="009B5662">
        <w:t xml:space="preserve">igure </w:t>
      </w:r>
      <w:r w:rsidR="009233A8" w:rsidRPr="009B5662">
        <w:t>1 and 2</w:t>
      </w:r>
      <w:r w:rsidRPr="009B5662">
        <w:t xml:space="preserve"> in Appendix 3)</w:t>
      </w:r>
      <w:r w:rsidR="00811E64" w:rsidRPr="009B5662">
        <w:t xml:space="preserve">.  </w:t>
      </w:r>
    </w:p>
    <w:p w14:paraId="7A750EDF" w14:textId="77777777" w:rsidR="00844D63" w:rsidRPr="009B5662" w:rsidRDefault="00811E64" w:rsidP="00CC5733">
      <w:pPr>
        <w:pStyle w:val="Bullet"/>
        <w:numPr>
          <w:ilvl w:val="0"/>
          <w:numId w:val="8"/>
        </w:numPr>
        <w:tabs>
          <w:tab w:val="num" w:pos="2126"/>
          <w:tab w:val="num" w:pos="6663"/>
        </w:tabs>
      </w:pPr>
      <w:r w:rsidRPr="009B5662">
        <w:t>Eight in ten</w:t>
      </w:r>
      <w:r w:rsidR="009B5662" w:rsidRPr="009B5662">
        <w:t xml:space="preserve"> respondents</w:t>
      </w:r>
      <w:r w:rsidRPr="009B5662">
        <w:t xml:space="preserve"> (80%) agree it is very reassuring for their GP or practice nurse to tell them if they have a positive </w:t>
      </w:r>
      <w:proofErr w:type="spellStart"/>
      <w:r w:rsidR="00162E2E" w:rsidRPr="009B5662">
        <w:t>i</w:t>
      </w:r>
      <w:r w:rsidRPr="009B5662">
        <w:t>FOBT</w:t>
      </w:r>
      <w:proofErr w:type="spellEnd"/>
      <w:r w:rsidRPr="009B5662">
        <w:t xml:space="preserve"> test result.  </w:t>
      </w:r>
    </w:p>
    <w:p w14:paraId="77C88183" w14:textId="77777777" w:rsidR="00811E64" w:rsidRPr="009B5662" w:rsidRDefault="00811E64" w:rsidP="00CC5733">
      <w:pPr>
        <w:pStyle w:val="Bullet"/>
        <w:numPr>
          <w:ilvl w:val="0"/>
          <w:numId w:val="8"/>
        </w:numPr>
        <w:tabs>
          <w:tab w:val="num" w:pos="2126"/>
          <w:tab w:val="num" w:pos="6663"/>
        </w:tabs>
      </w:pPr>
      <w:r w:rsidRPr="009B5662">
        <w:t xml:space="preserve">76% </w:t>
      </w:r>
      <w:r w:rsidR="009B5662" w:rsidRPr="009B5662">
        <w:t xml:space="preserve">of respondents </w:t>
      </w:r>
      <w:r w:rsidRPr="009B5662">
        <w:t xml:space="preserve">are happy to be contacted by someone from the BSP to tell them about a positive </w:t>
      </w:r>
      <w:proofErr w:type="spellStart"/>
      <w:r w:rsidR="00162E2E" w:rsidRPr="009B5662">
        <w:t>i</w:t>
      </w:r>
      <w:r w:rsidRPr="009B5662">
        <w:t>FOBT</w:t>
      </w:r>
      <w:proofErr w:type="spellEnd"/>
      <w:r w:rsidRPr="009B5662">
        <w:t xml:space="preserve"> result.  M</w:t>
      </w:r>
      <w:r w:rsidRPr="009B5662">
        <w:rPr>
          <w:rFonts w:cs="Arial"/>
        </w:rPr>
        <w:t>ā</w:t>
      </w:r>
      <w:r w:rsidRPr="009B5662">
        <w:t xml:space="preserve">ori (87%) are more likely to agree than the Other ethnic group (75%) that they are happy for the screening unit to contact them. </w:t>
      </w:r>
    </w:p>
    <w:p w14:paraId="621D6C35" w14:textId="77777777" w:rsidR="005E03DC" w:rsidRPr="009B5662" w:rsidRDefault="00844D63" w:rsidP="00844D63">
      <w:pPr>
        <w:rPr>
          <w:lang w:val="en-US"/>
        </w:rPr>
      </w:pPr>
      <w:r w:rsidRPr="009B5662">
        <w:rPr>
          <w:lang w:val="en-US"/>
        </w:rPr>
        <w:t>After M</w:t>
      </w:r>
      <w:r w:rsidR="00E1554E" w:rsidRPr="009B5662">
        <w:rPr>
          <w:rFonts w:cs="Arial"/>
          <w:lang w:val="en-US"/>
        </w:rPr>
        <w:t>ā</w:t>
      </w:r>
      <w:r w:rsidRPr="009B5662">
        <w:rPr>
          <w:lang w:val="en-US"/>
        </w:rPr>
        <w:t xml:space="preserve">ori and Pacific </w:t>
      </w:r>
      <w:r w:rsidR="00D97312" w:rsidRPr="009B5662">
        <w:rPr>
          <w:lang w:val="en-US"/>
        </w:rPr>
        <w:t xml:space="preserve">BSP </w:t>
      </w:r>
      <w:r w:rsidRPr="009B5662">
        <w:rPr>
          <w:lang w:val="en-US"/>
        </w:rPr>
        <w:t xml:space="preserve">participants </w:t>
      </w:r>
      <w:r w:rsidR="00E1554E" w:rsidRPr="009B5662">
        <w:rPr>
          <w:lang w:val="en-US"/>
        </w:rPr>
        <w:t>had described their</w:t>
      </w:r>
      <w:r w:rsidRPr="009B5662">
        <w:rPr>
          <w:lang w:val="en-US"/>
        </w:rPr>
        <w:t xml:space="preserve"> experience of receiving their results they discussed the pros and cons of rece</w:t>
      </w:r>
      <w:r w:rsidR="008773B3" w:rsidRPr="009B5662">
        <w:rPr>
          <w:lang w:val="en-US"/>
        </w:rPr>
        <w:t xml:space="preserve">iving results </w:t>
      </w:r>
      <w:r w:rsidR="00175336" w:rsidRPr="009B5662">
        <w:rPr>
          <w:lang w:val="en-US"/>
        </w:rPr>
        <w:t>vi</w:t>
      </w:r>
      <w:r w:rsidR="008773B3" w:rsidRPr="009B5662">
        <w:rPr>
          <w:lang w:val="en-US"/>
        </w:rPr>
        <w:t>a their general p</w:t>
      </w:r>
      <w:r w:rsidRPr="009B5662">
        <w:rPr>
          <w:lang w:val="en-US"/>
        </w:rPr>
        <w:t xml:space="preserve">ractice or </w:t>
      </w:r>
      <w:r w:rsidR="009E3E09">
        <w:rPr>
          <w:lang w:val="en-US"/>
        </w:rPr>
        <w:t>Endoscopy Unit</w:t>
      </w:r>
      <w:r w:rsidRPr="009B5662">
        <w:rPr>
          <w:lang w:val="en-US"/>
        </w:rPr>
        <w:t xml:space="preserve">.  </w:t>
      </w:r>
      <w:r w:rsidR="00D97312" w:rsidRPr="009B5662">
        <w:rPr>
          <w:lang w:val="en-US"/>
        </w:rPr>
        <w:t>Across the ten interviews:</w:t>
      </w:r>
    </w:p>
    <w:p w14:paraId="1DCD2391" w14:textId="0FD4E5B4" w:rsidR="00D97312" w:rsidRPr="009B5662" w:rsidRDefault="00D97312" w:rsidP="00175336">
      <w:pPr>
        <w:pStyle w:val="Bullet"/>
        <w:numPr>
          <w:ilvl w:val="0"/>
          <w:numId w:val="8"/>
        </w:numPr>
        <w:tabs>
          <w:tab w:val="num" w:pos="2126"/>
          <w:tab w:val="num" w:pos="6663"/>
        </w:tabs>
        <w:rPr>
          <w:lang w:val="en-US"/>
        </w:rPr>
      </w:pPr>
      <w:r w:rsidRPr="009B5662">
        <w:t>One</w:t>
      </w:r>
      <w:r w:rsidRPr="009B5662">
        <w:rPr>
          <w:lang w:val="en-US"/>
        </w:rPr>
        <w:t xml:space="preserve"> M</w:t>
      </w:r>
      <w:r w:rsidRPr="009B5662">
        <w:rPr>
          <w:rFonts w:cs="Arial"/>
          <w:lang w:val="en-US"/>
        </w:rPr>
        <w:t>ā</w:t>
      </w:r>
      <w:r w:rsidRPr="009B5662">
        <w:rPr>
          <w:lang w:val="en-US"/>
        </w:rPr>
        <w:t xml:space="preserve">ori and five Pacific participants noted a preference for the </w:t>
      </w:r>
      <w:r w:rsidR="009E3E09">
        <w:rPr>
          <w:lang w:val="en-US"/>
        </w:rPr>
        <w:t>Endoscopy Unit</w:t>
      </w:r>
      <w:r w:rsidRPr="009B5662">
        <w:rPr>
          <w:lang w:val="en-US"/>
        </w:rPr>
        <w:t xml:space="preserve"> to inform them of their positive result.  </w:t>
      </w:r>
      <w:r w:rsidR="00844D63" w:rsidRPr="009B5662">
        <w:rPr>
          <w:lang w:val="en-US"/>
        </w:rPr>
        <w:t xml:space="preserve">No one who had heard about their results </w:t>
      </w:r>
      <w:r w:rsidR="005E03DC" w:rsidRPr="009B5662">
        <w:rPr>
          <w:lang w:val="en-US"/>
        </w:rPr>
        <w:t xml:space="preserve">via the </w:t>
      </w:r>
      <w:r w:rsidR="009E3E09">
        <w:rPr>
          <w:lang w:val="en-US"/>
        </w:rPr>
        <w:t>Endoscopy Unit</w:t>
      </w:r>
      <w:r w:rsidR="005E03DC" w:rsidRPr="009B5662">
        <w:rPr>
          <w:lang w:val="en-US"/>
        </w:rPr>
        <w:t xml:space="preserve"> stated they would have preferred to receive their results via their </w:t>
      </w:r>
      <w:r w:rsidR="00175336" w:rsidRPr="009B5662">
        <w:rPr>
          <w:lang w:val="en-US"/>
        </w:rPr>
        <w:t xml:space="preserve">GP </w:t>
      </w:r>
      <w:r w:rsidR="005E03DC" w:rsidRPr="009B5662">
        <w:rPr>
          <w:lang w:val="en-US"/>
        </w:rPr>
        <w:t xml:space="preserve">even though </w:t>
      </w:r>
      <w:r w:rsidR="00ED6EAF" w:rsidRPr="009B5662">
        <w:rPr>
          <w:lang w:val="en-US"/>
        </w:rPr>
        <w:t>many</w:t>
      </w:r>
      <w:r w:rsidR="005E03DC" w:rsidRPr="009B5662">
        <w:rPr>
          <w:lang w:val="en-US"/>
        </w:rPr>
        <w:t xml:space="preserve"> had long</w:t>
      </w:r>
      <w:r w:rsidR="00641855">
        <w:rPr>
          <w:lang w:val="en-US"/>
        </w:rPr>
        <w:t>-</w:t>
      </w:r>
      <w:r w:rsidR="005E03DC" w:rsidRPr="009B5662">
        <w:rPr>
          <w:lang w:val="en-US"/>
        </w:rPr>
        <w:t>term positive relationships</w:t>
      </w:r>
      <w:r w:rsidR="00641855">
        <w:rPr>
          <w:lang w:val="en-US"/>
        </w:rPr>
        <w:t xml:space="preserve"> with their GP.</w:t>
      </w:r>
    </w:p>
    <w:p w14:paraId="61DA443F" w14:textId="77777777" w:rsidR="005E03DC" w:rsidRPr="009B5662" w:rsidRDefault="00E1554E" w:rsidP="00D97312">
      <w:pPr>
        <w:pStyle w:val="Bullet"/>
        <w:numPr>
          <w:ilvl w:val="0"/>
          <w:numId w:val="0"/>
        </w:numPr>
        <w:tabs>
          <w:tab w:val="num" w:pos="2126"/>
          <w:tab w:val="num" w:pos="6663"/>
        </w:tabs>
        <w:ind w:left="1069"/>
        <w:rPr>
          <w:lang w:val="en-US"/>
        </w:rPr>
      </w:pPr>
      <w:r w:rsidRPr="009B5662">
        <w:rPr>
          <w:lang w:val="en-US"/>
        </w:rPr>
        <w:t>Based on their experience, t</w:t>
      </w:r>
      <w:r w:rsidR="005E03DC" w:rsidRPr="009B5662">
        <w:rPr>
          <w:lang w:val="en-US"/>
        </w:rPr>
        <w:t>h</w:t>
      </w:r>
      <w:r w:rsidRPr="009B5662">
        <w:rPr>
          <w:lang w:val="en-US"/>
        </w:rPr>
        <w:t xml:space="preserve">ey believed that receiving </w:t>
      </w:r>
      <w:r w:rsidR="005E03DC" w:rsidRPr="009B5662">
        <w:rPr>
          <w:lang w:val="en-US"/>
        </w:rPr>
        <w:t xml:space="preserve">results </w:t>
      </w:r>
      <w:r w:rsidR="00C55E31" w:rsidRPr="009B5662">
        <w:rPr>
          <w:lang w:val="en-US"/>
        </w:rPr>
        <w:t xml:space="preserve">via the phone </w:t>
      </w:r>
      <w:r w:rsidR="005E03DC" w:rsidRPr="009B5662">
        <w:rPr>
          <w:lang w:val="en-US"/>
        </w:rPr>
        <w:t xml:space="preserve">from the </w:t>
      </w:r>
      <w:r w:rsidR="009E3E09">
        <w:rPr>
          <w:lang w:val="en-US"/>
        </w:rPr>
        <w:t>Endoscopy Unit</w:t>
      </w:r>
      <w:r w:rsidR="00C55E31" w:rsidRPr="009B5662">
        <w:rPr>
          <w:lang w:val="en-US"/>
        </w:rPr>
        <w:t>’s CNS</w:t>
      </w:r>
      <w:r w:rsidR="005E03DC" w:rsidRPr="009B5662">
        <w:rPr>
          <w:lang w:val="en-US"/>
        </w:rPr>
        <w:t xml:space="preserve"> was </w:t>
      </w:r>
      <w:r w:rsidRPr="009B5662">
        <w:rPr>
          <w:lang w:val="en-US"/>
        </w:rPr>
        <w:t xml:space="preserve">more </w:t>
      </w:r>
      <w:r w:rsidR="005E03DC" w:rsidRPr="009B5662">
        <w:rPr>
          <w:lang w:val="en-US"/>
        </w:rPr>
        <w:t xml:space="preserve">streamlined </w:t>
      </w:r>
      <w:r w:rsidRPr="009B5662">
        <w:rPr>
          <w:lang w:val="en-US"/>
        </w:rPr>
        <w:t xml:space="preserve">as it </w:t>
      </w:r>
      <w:r w:rsidR="005E03DC" w:rsidRPr="009B5662">
        <w:rPr>
          <w:lang w:val="en-US"/>
        </w:rPr>
        <w:t>aligned with the next step in the screening pathway (i</w:t>
      </w:r>
      <w:r w:rsidR="00641855">
        <w:rPr>
          <w:lang w:val="en-US"/>
        </w:rPr>
        <w:t>.</w:t>
      </w:r>
      <w:r w:rsidR="005E03DC" w:rsidRPr="009B5662">
        <w:rPr>
          <w:lang w:val="en-US"/>
        </w:rPr>
        <w:t>e</w:t>
      </w:r>
      <w:r w:rsidR="00641855">
        <w:rPr>
          <w:lang w:val="en-US"/>
        </w:rPr>
        <w:t>.</w:t>
      </w:r>
      <w:r w:rsidR="005E03DC" w:rsidRPr="009B5662">
        <w:rPr>
          <w:lang w:val="en-US"/>
        </w:rPr>
        <w:t xml:space="preserve"> colonoscopy</w:t>
      </w:r>
      <w:r w:rsidRPr="009B5662">
        <w:rPr>
          <w:lang w:val="en-US"/>
        </w:rPr>
        <w:t>)</w:t>
      </w:r>
      <w:r w:rsidR="00C15157" w:rsidRPr="009B5662">
        <w:rPr>
          <w:lang w:val="en-US"/>
        </w:rPr>
        <w:t xml:space="preserve">, </w:t>
      </w:r>
      <w:r w:rsidR="00175336" w:rsidRPr="009B5662">
        <w:rPr>
          <w:lang w:val="en-US"/>
        </w:rPr>
        <w:t>more timely</w:t>
      </w:r>
      <w:r w:rsidR="00C15157" w:rsidRPr="009B5662">
        <w:rPr>
          <w:lang w:val="en-US"/>
        </w:rPr>
        <w:t xml:space="preserve"> and connected them with staff best placed to answer any questions about the result or the next steps</w:t>
      </w:r>
      <w:r w:rsidRPr="009B5662">
        <w:rPr>
          <w:lang w:val="en-US"/>
        </w:rPr>
        <w:t>.  In contrast, they noted that visiting t</w:t>
      </w:r>
      <w:r w:rsidR="00175336" w:rsidRPr="009B5662">
        <w:rPr>
          <w:lang w:val="en-US"/>
        </w:rPr>
        <w:t xml:space="preserve">heir GP would be less convenient if they needed to make an appointment </w:t>
      </w:r>
      <w:r w:rsidR="00C55E31" w:rsidRPr="009B5662">
        <w:rPr>
          <w:lang w:val="en-US"/>
        </w:rPr>
        <w:t xml:space="preserve">and </w:t>
      </w:r>
      <w:r w:rsidR="00752B76" w:rsidRPr="009B5662">
        <w:rPr>
          <w:lang w:val="en-US"/>
        </w:rPr>
        <w:t>may</w:t>
      </w:r>
      <w:r w:rsidR="00D97312" w:rsidRPr="009B5662">
        <w:rPr>
          <w:lang w:val="en-US"/>
        </w:rPr>
        <w:t xml:space="preserve"> therefore</w:t>
      </w:r>
      <w:r w:rsidR="00752B76" w:rsidRPr="009B5662">
        <w:rPr>
          <w:lang w:val="en-US"/>
        </w:rPr>
        <w:t xml:space="preserve"> be slower</w:t>
      </w:r>
      <w:r w:rsidR="00C55E31" w:rsidRPr="009B5662">
        <w:rPr>
          <w:lang w:val="en-US"/>
        </w:rPr>
        <w:t>,</w:t>
      </w:r>
      <w:r w:rsidRPr="009B5662">
        <w:rPr>
          <w:lang w:val="en-US"/>
        </w:rPr>
        <w:t xml:space="preserve"> and concerns were raised about the cost of the visit in terms of GP fees</w:t>
      </w:r>
      <w:r w:rsidR="00C55E31" w:rsidRPr="009B5662">
        <w:rPr>
          <w:lang w:val="en-US"/>
        </w:rPr>
        <w:t>, travel costs and for those working time off work</w:t>
      </w:r>
      <w:r w:rsidRPr="009B5662">
        <w:rPr>
          <w:rStyle w:val="FootnoteReference"/>
          <w:lang w:val="en-US"/>
        </w:rPr>
        <w:footnoteReference w:id="11"/>
      </w:r>
      <w:r w:rsidRPr="009B5662">
        <w:rPr>
          <w:lang w:val="en-US"/>
        </w:rPr>
        <w:t xml:space="preserve">.  </w:t>
      </w:r>
      <w:r w:rsidR="0097150B" w:rsidRPr="009B5662">
        <w:rPr>
          <w:lang w:val="en-US"/>
        </w:rPr>
        <w:t xml:space="preserve">However, </w:t>
      </w:r>
      <w:r w:rsidR="00AA12A9" w:rsidRPr="009B5662">
        <w:rPr>
          <w:lang w:val="en-US"/>
        </w:rPr>
        <w:t>t</w:t>
      </w:r>
      <w:r w:rsidR="00D97312" w:rsidRPr="009B5662">
        <w:rPr>
          <w:lang w:val="en-US"/>
        </w:rPr>
        <w:t>hese</w:t>
      </w:r>
      <w:r w:rsidRPr="009B5662">
        <w:rPr>
          <w:lang w:val="en-US"/>
        </w:rPr>
        <w:t xml:space="preserve"> p</w:t>
      </w:r>
      <w:r w:rsidR="00ED6EAF" w:rsidRPr="009B5662">
        <w:rPr>
          <w:lang w:val="en-US"/>
        </w:rPr>
        <w:t>articipant</w:t>
      </w:r>
      <w:r w:rsidR="00D97312" w:rsidRPr="009B5662">
        <w:rPr>
          <w:lang w:val="en-US"/>
        </w:rPr>
        <w:t xml:space="preserve">s did reiterate the </w:t>
      </w:r>
      <w:r w:rsidRPr="009B5662">
        <w:rPr>
          <w:lang w:val="en-US"/>
        </w:rPr>
        <w:t>importan</w:t>
      </w:r>
      <w:r w:rsidR="00D97312" w:rsidRPr="009B5662">
        <w:rPr>
          <w:lang w:val="en-US"/>
        </w:rPr>
        <w:t>ce</w:t>
      </w:r>
      <w:r w:rsidR="00C55E31" w:rsidRPr="009B5662">
        <w:rPr>
          <w:lang w:val="en-US"/>
        </w:rPr>
        <w:t xml:space="preserve"> of</w:t>
      </w:r>
      <w:r w:rsidRPr="009B5662">
        <w:rPr>
          <w:lang w:val="en-US"/>
        </w:rPr>
        <w:t xml:space="preserve"> their GP </w:t>
      </w:r>
      <w:r w:rsidR="00C55E31" w:rsidRPr="009B5662">
        <w:rPr>
          <w:lang w:val="en-US"/>
        </w:rPr>
        <w:t xml:space="preserve">being </w:t>
      </w:r>
      <w:r w:rsidRPr="009B5662">
        <w:rPr>
          <w:lang w:val="en-US"/>
        </w:rPr>
        <w:t xml:space="preserve">informed about their results to ensure their GP </w:t>
      </w:r>
      <w:r w:rsidR="00D97312" w:rsidRPr="009B5662">
        <w:rPr>
          <w:lang w:val="en-US"/>
        </w:rPr>
        <w:t xml:space="preserve">has </w:t>
      </w:r>
      <w:r w:rsidRPr="009B5662">
        <w:rPr>
          <w:lang w:val="en-US"/>
        </w:rPr>
        <w:t xml:space="preserve">a holistic overview of their health and </w:t>
      </w:r>
      <w:r w:rsidR="005E03DC" w:rsidRPr="009B5662">
        <w:rPr>
          <w:lang w:val="en-US"/>
        </w:rPr>
        <w:t xml:space="preserve">wellbeing.  </w:t>
      </w:r>
    </w:p>
    <w:p w14:paraId="0D79052C" w14:textId="77777777" w:rsidR="00D97312" w:rsidRPr="009B5662" w:rsidRDefault="00162E2E" w:rsidP="006B6987">
      <w:pPr>
        <w:pStyle w:val="Quote"/>
        <w:ind w:left="1418"/>
      </w:pPr>
      <w:r w:rsidRPr="009B5662">
        <w:t>I’d rather have it from the hospital because they were the ones that did that thing, the test</w:t>
      </w:r>
      <w:r w:rsidR="00D97312" w:rsidRPr="009B5662">
        <w:t>. (M</w:t>
      </w:r>
      <w:r w:rsidR="00C55E31" w:rsidRPr="009B5662">
        <w:t>ā</w:t>
      </w:r>
      <w:r w:rsidR="00D97312" w:rsidRPr="009B5662">
        <w:t>ori</w:t>
      </w:r>
      <w:r w:rsidR="00C55E31" w:rsidRPr="009B5662">
        <w:t xml:space="preserve"> participant</w:t>
      </w:r>
      <w:r w:rsidR="00D97312" w:rsidRPr="009B5662">
        <w:t>)</w:t>
      </w:r>
      <w:r w:rsidRPr="009B5662">
        <w:t xml:space="preserve"> </w:t>
      </w:r>
    </w:p>
    <w:p w14:paraId="76C82C1E" w14:textId="77777777" w:rsidR="003E3C3B" w:rsidRPr="009B5662" w:rsidRDefault="003E3C3B" w:rsidP="006B6987">
      <w:pPr>
        <w:pStyle w:val="Quote"/>
        <w:ind w:left="1418"/>
      </w:pPr>
      <w:r w:rsidRPr="009B5662">
        <w:t>The hospital, because you’re hearing it straight away otherwise a visit to the GP costs you money.  Just sort of being open about it as well.</w:t>
      </w:r>
      <w:r w:rsidR="00D97312" w:rsidRPr="009B5662">
        <w:t xml:space="preserve"> </w:t>
      </w:r>
      <w:r w:rsidR="00C55E31" w:rsidRPr="009B5662">
        <w:t>(Pacific participant)</w:t>
      </w:r>
    </w:p>
    <w:p w14:paraId="78517182" w14:textId="77777777" w:rsidR="00B8763C" w:rsidRPr="009B5662" w:rsidRDefault="00B8763C" w:rsidP="006B6987">
      <w:pPr>
        <w:pStyle w:val="Quote"/>
        <w:ind w:left="1418"/>
      </w:pPr>
      <w:r w:rsidRPr="009B5662">
        <w:t>It was good because when I needed to ask any questions I ring the same nurse.  There was a specific nurse designated to answer the phone.  So she knows who I was instead of going through, starting again and again and a</w:t>
      </w:r>
      <w:r w:rsidR="00C15157" w:rsidRPr="009B5662">
        <w:t>gain each time different person.</w:t>
      </w:r>
      <w:r w:rsidR="00C55E31" w:rsidRPr="009B5662">
        <w:t xml:space="preserve"> (Pacific participant)</w:t>
      </w:r>
    </w:p>
    <w:p w14:paraId="677C76BE" w14:textId="77777777" w:rsidR="00C15157" w:rsidRPr="009B5662" w:rsidRDefault="00B92529" w:rsidP="00C15157">
      <w:pPr>
        <w:pStyle w:val="Bullet"/>
        <w:numPr>
          <w:ilvl w:val="0"/>
          <w:numId w:val="0"/>
        </w:numPr>
        <w:tabs>
          <w:tab w:val="num" w:pos="6663"/>
        </w:tabs>
        <w:ind w:left="1069"/>
        <w:rPr>
          <w:lang w:val="en-US"/>
        </w:rPr>
      </w:pPr>
      <w:r w:rsidRPr="009B5662">
        <w:rPr>
          <w:lang w:val="en-US"/>
        </w:rPr>
        <w:t xml:space="preserve">The preference of the </w:t>
      </w:r>
      <w:r>
        <w:rPr>
          <w:lang w:val="en-US"/>
        </w:rPr>
        <w:t>Endoscopy Unit</w:t>
      </w:r>
      <w:r w:rsidRPr="009B5662">
        <w:rPr>
          <w:lang w:val="en-US"/>
        </w:rPr>
        <w:t xml:space="preserve"> reflects participants’ experience of the current high standard of service delivery by CNS when informing patients of positive </w:t>
      </w:r>
      <w:proofErr w:type="spellStart"/>
      <w:r w:rsidRPr="009B5662">
        <w:rPr>
          <w:lang w:val="en-US"/>
        </w:rPr>
        <w:t>iFOBT</w:t>
      </w:r>
      <w:proofErr w:type="spellEnd"/>
      <w:r w:rsidRPr="009B5662">
        <w:rPr>
          <w:lang w:val="en-US"/>
        </w:rPr>
        <w:t xml:space="preserve"> results.  </w:t>
      </w:r>
      <w:r w:rsidR="00C15157" w:rsidRPr="009B5662">
        <w:rPr>
          <w:lang w:val="en-US"/>
        </w:rPr>
        <w:t xml:space="preserve">If a bowel screening </w:t>
      </w:r>
      <w:proofErr w:type="spellStart"/>
      <w:r w:rsidR="00C15157" w:rsidRPr="009B5662">
        <w:rPr>
          <w:lang w:val="en-US"/>
        </w:rPr>
        <w:t>programme</w:t>
      </w:r>
      <w:proofErr w:type="spellEnd"/>
      <w:r w:rsidR="00C15157" w:rsidRPr="009B5662">
        <w:rPr>
          <w:lang w:val="en-US"/>
        </w:rPr>
        <w:t xml:space="preserve"> was to be rolled out nationally</w:t>
      </w:r>
      <w:r w:rsidR="00641855">
        <w:rPr>
          <w:lang w:val="en-US"/>
        </w:rPr>
        <w:t>,</w:t>
      </w:r>
      <w:r w:rsidR="00C15157" w:rsidRPr="009B5662">
        <w:rPr>
          <w:lang w:val="en-US"/>
        </w:rPr>
        <w:t xml:space="preserve"> consideration is needed on whether these standards could be maintained.</w:t>
      </w:r>
    </w:p>
    <w:p w14:paraId="2CE4543B" w14:textId="77777777" w:rsidR="00C15157" w:rsidRPr="009B5662" w:rsidRDefault="00C15157" w:rsidP="00CC5733">
      <w:pPr>
        <w:pStyle w:val="Bullet"/>
        <w:numPr>
          <w:ilvl w:val="0"/>
          <w:numId w:val="8"/>
        </w:numPr>
        <w:tabs>
          <w:tab w:val="num" w:pos="2126"/>
          <w:tab w:val="num" w:pos="6663"/>
        </w:tabs>
        <w:rPr>
          <w:lang w:val="en-US"/>
        </w:rPr>
      </w:pPr>
      <w:r w:rsidRPr="009B5662">
        <w:rPr>
          <w:lang w:val="en-US"/>
        </w:rPr>
        <w:t>Two M</w:t>
      </w:r>
      <w:r w:rsidRPr="009B5662">
        <w:rPr>
          <w:rFonts w:cs="Arial"/>
          <w:lang w:val="en-US"/>
        </w:rPr>
        <w:t>ā</w:t>
      </w:r>
      <w:r w:rsidRPr="009B5662">
        <w:rPr>
          <w:lang w:val="en-US"/>
        </w:rPr>
        <w:t xml:space="preserve">ori participants had no preference providing the underlying delivery elements (noted above) of a positive participant experience are met. </w:t>
      </w:r>
    </w:p>
    <w:p w14:paraId="4E8022EA" w14:textId="77777777" w:rsidR="00C15157" w:rsidRPr="009B5662" w:rsidRDefault="00C15157" w:rsidP="0077722F">
      <w:pPr>
        <w:pStyle w:val="Bullet"/>
        <w:keepNext/>
        <w:keepLines/>
        <w:numPr>
          <w:ilvl w:val="0"/>
          <w:numId w:val="8"/>
        </w:numPr>
        <w:tabs>
          <w:tab w:val="num" w:pos="2126"/>
          <w:tab w:val="num" w:pos="6663"/>
        </w:tabs>
        <w:ind w:left="1066" w:hanging="357"/>
      </w:pPr>
      <w:r w:rsidRPr="009B5662">
        <w:rPr>
          <w:lang w:val="en-US"/>
        </w:rPr>
        <w:lastRenderedPageBreak/>
        <w:t>Two M</w:t>
      </w:r>
      <w:r w:rsidRPr="009B5662">
        <w:rPr>
          <w:rFonts w:cs="Arial"/>
          <w:lang w:val="en-US"/>
        </w:rPr>
        <w:t>ā</w:t>
      </w:r>
      <w:r w:rsidRPr="009B5662">
        <w:rPr>
          <w:lang w:val="en-US"/>
        </w:rPr>
        <w:t xml:space="preserve">ori participants preferred hearing </w:t>
      </w:r>
      <w:r w:rsidR="006B6987" w:rsidRPr="009B5662">
        <w:rPr>
          <w:lang w:val="en-US"/>
        </w:rPr>
        <w:t xml:space="preserve">from their GP </w:t>
      </w:r>
      <w:r w:rsidRPr="009B5662">
        <w:rPr>
          <w:lang w:val="en-US"/>
        </w:rPr>
        <w:t xml:space="preserve">about their positive </w:t>
      </w:r>
      <w:proofErr w:type="spellStart"/>
      <w:r w:rsidRPr="009B5662">
        <w:rPr>
          <w:lang w:val="en-US"/>
        </w:rPr>
        <w:t>iFOBT</w:t>
      </w:r>
      <w:proofErr w:type="spellEnd"/>
      <w:r w:rsidRPr="009B5662">
        <w:rPr>
          <w:lang w:val="en-US"/>
        </w:rPr>
        <w:t xml:space="preserve"> result (as was the case for them).</w:t>
      </w:r>
      <w:r w:rsidR="00A75C23" w:rsidRPr="009B5662">
        <w:rPr>
          <w:lang w:val="en-US"/>
        </w:rPr>
        <w:t xml:space="preserve">  </w:t>
      </w:r>
      <w:r w:rsidRPr="009B5662">
        <w:rPr>
          <w:lang w:val="en-US"/>
        </w:rPr>
        <w:t xml:space="preserve">These </w:t>
      </w:r>
      <w:r w:rsidR="00A75C23" w:rsidRPr="009B5662">
        <w:rPr>
          <w:lang w:val="en-US"/>
        </w:rPr>
        <w:t xml:space="preserve">BSP participants had existing </w:t>
      </w:r>
      <w:r w:rsidR="006B6987" w:rsidRPr="009B5662">
        <w:rPr>
          <w:lang w:val="en-US"/>
        </w:rPr>
        <w:t xml:space="preserve">health </w:t>
      </w:r>
      <w:r w:rsidR="00A75C23" w:rsidRPr="009B5662">
        <w:rPr>
          <w:lang w:val="en-US"/>
        </w:rPr>
        <w:t xml:space="preserve">conditions </w:t>
      </w:r>
      <w:r w:rsidR="00C55E31" w:rsidRPr="009B5662">
        <w:rPr>
          <w:lang w:val="en-US"/>
        </w:rPr>
        <w:t>and</w:t>
      </w:r>
      <w:r w:rsidR="00A75C23" w:rsidRPr="009B5662">
        <w:rPr>
          <w:lang w:val="en-US"/>
        </w:rPr>
        <w:t xml:space="preserve"> </w:t>
      </w:r>
      <w:r w:rsidRPr="009B5662">
        <w:rPr>
          <w:lang w:val="en-US"/>
        </w:rPr>
        <w:t>we</w:t>
      </w:r>
      <w:r w:rsidR="00A75C23" w:rsidRPr="009B5662">
        <w:rPr>
          <w:lang w:val="en-US"/>
        </w:rPr>
        <w:t xml:space="preserve">re anxious about the </w:t>
      </w:r>
      <w:r w:rsidR="006B6987" w:rsidRPr="009B5662">
        <w:rPr>
          <w:lang w:val="en-US"/>
        </w:rPr>
        <w:t>result</w:t>
      </w:r>
      <w:r w:rsidR="00375A28">
        <w:rPr>
          <w:lang w:val="en-US"/>
        </w:rPr>
        <w:t xml:space="preserve"> and/ or the </w:t>
      </w:r>
      <w:r w:rsidR="00A75C23" w:rsidRPr="009B5662">
        <w:rPr>
          <w:lang w:val="en-US"/>
        </w:rPr>
        <w:t xml:space="preserve">colonoscopy </w:t>
      </w:r>
      <w:r w:rsidRPr="009B5662">
        <w:rPr>
          <w:lang w:val="en-US"/>
        </w:rPr>
        <w:t>so appreciated bei</w:t>
      </w:r>
      <w:r w:rsidR="00A75C23" w:rsidRPr="009B5662">
        <w:rPr>
          <w:lang w:val="en-US"/>
        </w:rPr>
        <w:t xml:space="preserve">ng able to discuss their results with their GP.  </w:t>
      </w:r>
      <w:r w:rsidRPr="009B5662">
        <w:rPr>
          <w:lang w:val="en-US"/>
        </w:rPr>
        <w:t>These participants a</w:t>
      </w:r>
      <w:r w:rsidR="00C55E31" w:rsidRPr="009B5662">
        <w:rPr>
          <w:lang w:val="en-US"/>
        </w:rPr>
        <w:t>lso</w:t>
      </w:r>
      <w:r w:rsidRPr="009B5662">
        <w:rPr>
          <w:lang w:val="en-US"/>
        </w:rPr>
        <w:t xml:space="preserve"> commen</w:t>
      </w:r>
      <w:r w:rsidR="00C55E31" w:rsidRPr="009B5662">
        <w:rPr>
          <w:lang w:val="en-US"/>
        </w:rPr>
        <w:t>ted that receiving their result</w:t>
      </w:r>
      <w:r w:rsidRPr="009B5662">
        <w:rPr>
          <w:lang w:val="en-US"/>
        </w:rPr>
        <w:t xml:space="preserve"> from their GP was more personal and ensured that they could seek the GP</w:t>
      </w:r>
      <w:r w:rsidR="00C55E31" w:rsidRPr="009B5662">
        <w:rPr>
          <w:lang w:val="en-US"/>
        </w:rPr>
        <w:t>’</w:t>
      </w:r>
      <w:r w:rsidRPr="009B5662">
        <w:rPr>
          <w:lang w:val="en-US"/>
        </w:rPr>
        <w:t>s assistance if any issues arose from the colonoscopy (e</w:t>
      </w:r>
      <w:r w:rsidR="00641855">
        <w:rPr>
          <w:lang w:val="en-US"/>
        </w:rPr>
        <w:t>.</w:t>
      </w:r>
      <w:r w:rsidRPr="009B5662">
        <w:rPr>
          <w:lang w:val="en-US"/>
        </w:rPr>
        <w:t>g</w:t>
      </w:r>
      <w:r w:rsidR="00641855">
        <w:rPr>
          <w:lang w:val="en-US"/>
        </w:rPr>
        <w:t>.</w:t>
      </w:r>
      <w:r w:rsidRPr="009B5662">
        <w:rPr>
          <w:lang w:val="en-US"/>
        </w:rPr>
        <w:t xml:space="preserve"> bleeding or delays in receiving the results).  </w:t>
      </w:r>
    </w:p>
    <w:p w14:paraId="24C84FCA" w14:textId="77777777" w:rsidR="00B27F37" w:rsidRPr="009B5662" w:rsidRDefault="00B27F37" w:rsidP="006B6987">
      <w:pPr>
        <w:pStyle w:val="Quote"/>
        <w:ind w:left="1418"/>
        <w:rPr>
          <w:lang w:val="en-US"/>
        </w:rPr>
      </w:pPr>
      <w:r w:rsidRPr="009B5662">
        <w:t xml:space="preserve">I found that it was. Because they are the people </w:t>
      </w:r>
      <w:r w:rsidR="00C55E31" w:rsidRPr="009B5662">
        <w:t xml:space="preserve">[GP] </w:t>
      </w:r>
      <w:r w:rsidRPr="009B5662">
        <w:t>who have been looking after me all of these years and so they were kept in the loop about what was happening as well. It was a bit more personal because I knew them.</w:t>
      </w:r>
      <w:r w:rsidR="00C55E31" w:rsidRPr="009B5662">
        <w:t xml:space="preserve"> </w:t>
      </w:r>
      <w:r w:rsidR="00C55E31" w:rsidRPr="009B5662">
        <w:rPr>
          <w:lang w:val="en-US"/>
        </w:rPr>
        <w:t>(M</w:t>
      </w:r>
      <w:r w:rsidR="00C55E31" w:rsidRPr="009B5662">
        <w:rPr>
          <w:rFonts w:cs="Arial"/>
          <w:lang w:val="en-US"/>
        </w:rPr>
        <w:t>ā</w:t>
      </w:r>
      <w:r w:rsidR="00C55E31" w:rsidRPr="009B5662">
        <w:rPr>
          <w:lang w:val="en-US"/>
        </w:rPr>
        <w:t xml:space="preserve">ori participant) </w:t>
      </w:r>
    </w:p>
    <w:p w14:paraId="33A9B7A0" w14:textId="77777777" w:rsidR="00C30331" w:rsidRDefault="00C30331" w:rsidP="00C30331">
      <w:pPr>
        <w:pStyle w:val="Heading2"/>
        <w:rPr>
          <w:lang w:val="en-US"/>
        </w:rPr>
      </w:pPr>
      <w:bookmarkStart w:id="59" w:name="_Toc380424711"/>
      <w:r>
        <w:rPr>
          <w:lang w:val="en-US"/>
        </w:rPr>
        <w:t>5.3</w:t>
      </w:r>
      <w:r>
        <w:rPr>
          <w:lang w:val="en-US"/>
        </w:rPr>
        <w:tab/>
        <w:t>Overview of participant experience</w:t>
      </w:r>
      <w:bookmarkEnd w:id="59"/>
    </w:p>
    <w:p w14:paraId="10F6344B" w14:textId="77777777" w:rsidR="00C30331" w:rsidRPr="009B5662" w:rsidRDefault="00C30331" w:rsidP="00C30331">
      <w:pPr>
        <w:rPr>
          <w:lang w:val="en-US"/>
        </w:rPr>
      </w:pPr>
      <w:r w:rsidRPr="009B5662">
        <w:rPr>
          <w:lang w:val="en-US"/>
        </w:rPr>
        <w:t>As in 2013, feedback from M</w:t>
      </w:r>
      <w:r w:rsidRPr="009B5662">
        <w:rPr>
          <w:rFonts w:cs="Arial"/>
          <w:lang w:val="en-US"/>
        </w:rPr>
        <w:t>ā</w:t>
      </w:r>
      <w:r w:rsidRPr="009B5662">
        <w:rPr>
          <w:lang w:val="en-US"/>
        </w:rPr>
        <w:t xml:space="preserve">ori and Pacific </w:t>
      </w:r>
      <w:r w:rsidR="009E4350" w:rsidRPr="009B5662">
        <w:rPr>
          <w:lang w:val="en-US"/>
        </w:rPr>
        <w:t>BSP participants interviewed was</w:t>
      </w:r>
      <w:r w:rsidRPr="009B5662">
        <w:rPr>
          <w:lang w:val="en-US"/>
        </w:rPr>
        <w:t xml:space="preserve"> overwhelmingly positive, and </w:t>
      </w:r>
      <w:r w:rsidR="009E4350" w:rsidRPr="009B5662">
        <w:rPr>
          <w:lang w:val="en-US"/>
        </w:rPr>
        <w:t xml:space="preserve">their experiences </w:t>
      </w:r>
      <w:r w:rsidRPr="009B5662">
        <w:rPr>
          <w:lang w:val="en-US"/>
        </w:rPr>
        <w:t xml:space="preserve">were consistent with the earlier findings.  </w:t>
      </w:r>
      <w:r w:rsidR="009E4350" w:rsidRPr="009B5662">
        <w:rPr>
          <w:lang w:val="en-US"/>
        </w:rPr>
        <w:t>Key themes from interviews include:</w:t>
      </w:r>
    </w:p>
    <w:p w14:paraId="5040D971" w14:textId="77777777" w:rsidR="009E4350" w:rsidRPr="009B5662" w:rsidRDefault="00494325" w:rsidP="00CC5733">
      <w:pPr>
        <w:pStyle w:val="Bullet"/>
        <w:numPr>
          <w:ilvl w:val="0"/>
          <w:numId w:val="8"/>
        </w:numPr>
        <w:tabs>
          <w:tab w:val="num" w:pos="2126"/>
          <w:tab w:val="num" w:pos="6663"/>
        </w:tabs>
        <w:rPr>
          <w:lang w:val="en-US"/>
        </w:rPr>
      </w:pPr>
      <w:r w:rsidRPr="009B5662">
        <w:rPr>
          <w:lang w:eastAsia="ar-SA"/>
        </w:rPr>
        <w:t>The BSP is</w:t>
      </w:r>
      <w:r w:rsidR="009E4350" w:rsidRPr="009B5662">
        <w:rPr>
          <w:lang w:eastAsia="ar-SA"/>
        </w:rPr>
        <w:t xml:space="preserve"> seen as important and relevant</w:t>
      </w:r>
      <w:r w:rsidR="00C30331" w:rsidRPr="009B5662">
        <w:rPr>
          <w:lang w:eastAsia="ar-SA"/>
        </w:rPr>
        <w:t xml:space="preserve"> due to </w:t>
      </w:r>
      <w:r w:rsidR="009E4350" w:rsidRPr="009B5662">
        <w:rPr>
          <w:lang w:eastAsia="ar-SA"/>
        </w:rPr>
        <w:t xml:space="preserve">past bowel issues, </w:t>
      </w:r>
      <w:r w:rsidR="00C30331" w:rsidRPr="009B5662">
        <w:rPr>
          <w:lang w:eastAsia="ar-SA"/>
        </w:rPr>
        <w:t>family</w:t>
      </w:r>
      <w:r w:rsidR="009E4350" w:rsidRPr="009B5662">
        <w:rPr>
          <w:lang w:eastAsia="ar-SA"/>
        </w:rPr>
        <w:t xml:space="preserve">/ </w:t>
      </w:r>
      <w:proofErr w:type="spellStart"/>
      <w:r w:rsidR="009E4350" w:rsidRPr="009B5662">
        <w:rPr>
          <w:lang w:eastAsia="ar-SA"/>
        </w:rPr>
        <w:t>wh</w:t>
      </w:r>
      <w:r w:rsidR="009E4350" w:rsidRPr="009B5662">
        <w:rPr>
          <w:rFonts w:cs="Arial"/>
          <w:lang w:eastAsia="ar-SA"/>
        </w:rPr>
        <w:t>ā</w:t>
      </w:r>
      <w:r w:rsidR="009E4350" w:rsidRPr="009B5662">
        <w:rPr>
          <w:lang w:eastAsia="ar-SA"/>
        </w:rPr>
        <w:t>nau</w:t>
      </w:r>
      <w:proofErr w:type="spellEnd"/>
      <w:r w:rsidR="009E4350" w:rsidRPr="009B5662">
        <w:rPr>
          <w:lang w:eastAsia="ar-SA"/>
        </w:rPr>
        <w:t xml:space="preserve"> history</w:t>
      </w:r>
      <w:r w:rsidR="00C30331" w:rsidRPr="009B5662">
        <w:rPr>
          <w:lang w:eastAsia="ar-SA"/>
        </w:rPr>
        <w:t xml:space="preserve"> </w:t>
      </w:r>
      <w:r w:rsidR="00C55E31" w:rsidRPr="009B5662">
        <w:rPr>
          <w:lang w:eastAsia="ar-SA"/>
        </w:rPr>
        <w:t xml:space="preserve">of cancer </w:t>
      </w:r>
      <w:r w:rsidR="00C30331" w:rsidRPr="009B5662">
        <w:rPr>
          <w:lang w:eastAsia="ar-SA"/>
        </w:rPr>
        <w:t xml:space="preserve">or other </w:t>
      </w:r>
      <w:r w:rsidR="009E4350" w:rsidRPr="009B5662">
        <w:rPr>
          <w:lang w:eastAsia="ar-SA"/>
        </w:rPr>
        <w:t xml:space="preserve">cancer </w:t>
      </w:r>
      <w:r w:rsidR="00C30331" w:rsidRPr="009B5662">
        <w:rPr>
          <w:lang w:eastAsia="ar-SA"/>
        </w:rPr>
        <w:t>experience</w:t>
      </w:r>
      <w:r w:rsidR="009E4350" w:rsidRPr="009B5662">
        <w:rPr>
          <w:lang w:eastAsia="ar-SA"/>
        </w:rPr>
        <w:t>s,</w:t>
      </w:r>
      <w:r w:rsidR="00C30331" w:rsidRPr="009B5662">
        <w:rPr>
          <w:lang w:eastAsia="ar-SA"/>
        </w:rPr>
        <w:t xml:space="preserve"> a propensity towards </w:t>
      </w:r>
      <w:r w:rsidR="009E4350" w:rsidRPr="009B5662">
        <w:rPr>
          <w:lang w:eastAsia="ar-SA"/>
        </w:rPr>
        <w:t xml:space="preserve">screening for </w:t>
      </w:r>
      <w:r w:rsidR="00C30331" w:rsidRPr="009B5662">
        <w:rPr>
          <w:lang w:eastAsia="ar-SA"/>
        </w:rPr>
        <w:t>health and wellbeing</w:t>
      </w:r>
      <w:r w:rsidR="009E4350" w:rsidRPr="009B5662">
        <w:rPr>
          <w:lang w:eastAsia="ar-SA"/>
        </w:rPr>
        <w:t xml:space="preserve"> and/ or wanting peace of mind they do not have bowel cancer.  Pacific participants also mentioned maintaining health to be there for children and grandchildren.  </w:t>
      </w:r>
      <w:r w:rsidR="00C30331" w:rsidRPr="009B5662">
        <w:rPr>
          <w:lang w:eastAsia="ar-SA"/>
        </w:rPr>
        <w:t xml:space="preserve">  </w:t>
      </w:r>
    </w:p>
    <w:p w14:paraId="62E2A6BB" w14:textId="77777777" w:rsidR="009E4350" w:rsidRPr="009B5662" w:rsidRDefault="00C30331" w:rsidP="00CC5733">
      <w:pPr>
        <w:pStyle w:val="Bullet"/>
        <w:numPr>
          <w:ilvl w:val="0"/>
          <w:numId w:val="8"/>
        </w:numPr>
        <w:tabs>
          <w:tab w:val="num" w:pos="2126"/>
          <w:tab w:val="num" w:pos="6663"/>
        </w:tabs>
        <w:rPr>
          <w:lang w:val="en-US"/>
        </w:rPr>
      </w:pPr>
      <w:r w:rsidRPr="009B5662">
        <w:rPr>
          <w:lang w:eastAsia="ar-SA"/>
        </w:rPr>
        <w:t xml:space="preserve">Most first heard about the </w:t>
      </w:r>
      <w:r w:rsidR="009E4350" w:rsidRPr="009B5662">
        <w:rPr>
          <w:lang w:eastAsia="ar-SA"/>
        </w:rPr>
        <w:t>Pilot</w:t>
      </w:r>
      <w:r w:rsidRPr="009B5662">
        <w:rPr>
          <w:lang w:eastAsia="ar-SA"/>
        </w:rPr>
        <w:t xml:space="preserve"> via the </w:t>
      </w:r>
      <w:r w:rsidR="009E4350" w:rsidRPr="009B5662">
        <w:rPr>
          <w:lang w:eastAsia="ar-SA"/>
        </w:rPr>
        <w:t xml:space="preserve">BSP </w:t>
      </w:r>
      <w:r w:rsidRPr="009B5662">
        <w:rPr>
          <w:lang w:eastAsia="ar-SA"/>
        </w:rPr>
        <w:t xml:space="preserve">letters and kit mailed out.  </w:t>
      </w:r>
      <w:r w:rsidR="009E4350" w:rsidRPr="009B5662">
        <w:rPr>
          <w:lang w:eastAsia="ar-SA"/>
        </w:rPr>
        <w:t xml:space="preserve">A few mentioned hearing about the BSP via family/ </w:t>
      </w:r>
      <w:proofErr w:type="spellStart"/>
      <w:r w:rsidR="009E4350" w:rsidRPr="009B5662">
        <w:rPr>
          <w:lang w:eastAsia="ar-SA"/>
        </w:rPr>
        <w:t>wh</w:t>
      </w:r>
      <w:r w:rsidR="009E4350" w:rsidRPr="009B5662">
        <w:rPr>
          <w:rFonts w:cs="Arial"/>
          <w:lang w:eastAsia="ar-SA"/>
        </w:rPr>
        <w:t>ā</w:t>
      </w:r>
      <w:r w:rsidR="009E4350" w:rsidRPr="009B5662">
        <w:rPr>
          <w:lang w:eastAsia="ar-SA"/>
        </w:rPr>
        <w:t>nau</w:t>
      </w:r>
      <w:proofErr w:type="spellEnd"/>
      <w:r w:rsidR="009E4350" w:rsidRPr="009B5662">
        <w:rPr>
          <w:lang w:eastAsia="ar-SA"/>
        </w:rPr>
        <w:t xml:space="preserve"> and friends, reading about it in the local newsletter and one heard about it from their GP.</w:t>
      </w:r>
      <w:r w:rsidR="00C55E31" w:rsidRPr="009B5662">
        <w:rPr>
          <w:lang w:eastAsia="ar-SA"/>
        </w:rPr>
        <w:t xml:space="preserve">  Before undertaking the tests, Pacific participants seemed to be less likely to discuss the BSP with family and friends.</w:t>
      </w:r>
      <w:r w:rsidR="00494325" w:rsidRPr="009B5662">
        <w:rPr>
          <w:lang w:eastAsia="ar-SA"/>
        </w:rPr>
        <w:t xml:space="preserve"> No one mentioned any </w:t>
      </w:r>
      <w:r w:rsidR="00E96FF5">
        <w:rPr>
          <w:lang w:val="en-US"/>
        </w:rPr>
        <w:t>c</w:t>
      </w:r>
      <w:r w:rsidR="00E96FF5" w:rsidRPr="00B9783D">
        <w:rPr>
          <w:lang w:val="en-US"/>
        </w:rPr>
        <w:t xml:space="preserve">ommunity </w:t>
      </w:r>
      <w:r w:rsidR="00E96FF5">
        <w:rPr>
          <w:lang w:val="en-US"/>
        </w:rPr>
        <w:t>a</w:t>
      </w:r>
      <w:r w:rsidR="00E96FF5" w:rsidRPr="00B9783D">
        <w:rPr>
          <w:lang w:val="en-US"/>
        </w:rPr>
        <w:t xml:space="preserve">wareness </w:t>
      </w:r>
      <w:r w:rsidR="00E96FF5">
        <w:rPr>
          <w:lang w:val="en-US"/>
        </w:rPr>
        <w:t>r</w:t>
      </w:r>
      <w:r w:rsidR="00E96FF5" w:rsidRPr="00B9783D">
        <w:rPr>
          <w:lang w:val="en-US"/>
        </w:rPr>
        <w:t>aising</w:t>
      </w:r>
      <w:r w:rsidR="00494325" w:rsidRPr="009B5662">
        <w:rPr>
          <w:lang w:eastAsia="ar-SA"/>
        </w:rPr>
        <w:t xml:space="preserve"> activities specifically targeting M</w:t>
      </w:r>
      <w:r w:rsidR="00494325" w:rsidRPr="009B5662">
        <w:rPr>
          <w:rFonts w:cs="Arial"/>
          <w:lang w:eastAsia="ar-SA"/>
        </w:rPr>
        <w:t>ā</w:t>
      </w:r>
      <w:r w:rsidR="00494325" w:rsidRPr="009B5662">
        <w:rPr>
          <w:lang w:eastAsia="ar-SA"/>
        </w:rPr>
        <w:t>ori and Pacific people.</w:t>
      </w:r>
    </w:p>
    <w:p w14:paraId="2C23363E" w14:textId="77777777" w:rsidR="00C30331" w:rsidRPr="009B5662" w:rsidRDefault="00C30331" w:rsidP="00CC5733">
      <w:pPr>
        <w:pStyle w:val="Bullet"/>
        <w:numPr>
          <w:ilvl w:val="0"/>
          <w:numId w:val="8"/>
        </w:numPr>
        <w:tabs>
          <w:tab w:val="num" w:pos="2126"/>
          <w:tab w:val="num" w:pos="6663"/>
        </w:tabs>
        <w:rPr>
          <w:lang w:val="en-US"/>
        </w:rPr>
      </w:pPr>
      <w:r w:rsidRPr="009B5662">
        <w:rPr>
          <w:lang w:eastAsia="ar-SA"/>
        </w:rPr>
        <w:t xml:space="preserve">Information received </w:t>
      </w:r>
      <w:r w:rsidR="009E4350" w:rsidRPr="009B5662">
        <w:rPr>
          <w:lang w:eastAsia="ar-SA"/>
        </w:rPr>
        <w:t xml:space="preserve">via the BSP letter and kit </w:t>
      </w:r>
      <w:r w:rsidRPr="009B5662">
        <w:rPr>
          <w:lang w:eastAsia="ar-SA"/>
        </w:rPr>
        <w:t>was understandable, although there was recognition tha</w:t>
      </w:r>
      <w:r w:rsidR="000B6694" w:rsidRPr="009B5662">
        <w:rPr>
          <w:lang w:eastAsia="ar-SA"/>
        </w:rPr>
        <w:t>t others in their</w:t>
      </w:r>
      <w:r w:rsidR="009E4350" w:rsidRPr="009B5662">
        <w:rPr>
          <w:lang w:eastAsia="ar-SA"/>
        </w:rPr>
        <w:t xml:space="preserve"> family/ </w:t>
      </w:r>
      <w:proofErr w:type="spellStart"/>
      <w:r w:rsidRPr="009B5662">
        <w:rPr>
          <w:lang w:eastAsia="ar-SA"/>
        </w:rPr>
        <w:t>wh</w:t>
      </w:r>
      <w:r w:rsidR="000B6694" w:rsidRPr="009B5662">
        <w:rPr>
          <w:rFonts w:cs="Arial"/>
          <w:lang w:eastAsia="ar-SA"/>
        </w:rPr>
        <w:t>ā</w:t>
      </w:r>
      <w:r w:rsidRPr="009B5662">
        <w:rPr>
          <w:lang w:eastAsia="ar-SA"/>
        </w:rPr>
        <w:t>nau</w:t>
      </w:r>
      <w:proofErr w:type="spellEnd"/>
      <w:r w:rsidRPr="009B5662">
        <w:rPr>
          <w:lang w:eastAsia="ar-SA"/>
        </w:rPr>
        <w:t xml:space="preserve"> may struggle to understand it. </w:t>
      </w:r>
      <w:r w:rsidR="00BE159C" w:rsidRPr="009B5662">
        <w:rPr>
          <w:lang w:eastAsia="ar-SA"/>
        </w:rPr>
        <w:t xml:space="preserve"> Pacific participants in particular noted the need for translations into Pacific language and ensuring interpreters are available.</w:t>
      </w:r>
    </w:p>
    <w:p w14:paraId="5DE4A7FC" w14:textId="77777777" w:rsidR="00B214C2" w:rsidRPr="009B5662" w:rsidRDefault="00B214C2" w:rsidP="006B6987">
      <w:pPr>
        <w:pStyle w:val="Quote"/>
        <w:ind w:left="1418"/>
        <w:rPr>
          <w:lang w:val="en-US"/>
        </w:rPr>
      </w:pPr>
      <w:r w:rsidRPr="009B5662">
        <w:t>That was no problem.  It was straightforward, put in the sample, make sure you get it right, send it out straight away…that was the easy part.  The hard part was cleaning out your stomach for</w:t>
      </w:r>
      <w:r w:rsidR="009E4350" w:rsidRPr="009B5662">
        <w:t xml:space="preserve"> the actual screen [colonoscopy]. </w:t>
      </w:r>
      <w:r w:rsidRPr="009B5662">
        <w:t xml:space="preserve"> </w:t>
      </w:r>
      <w:r w:rsidR="009E4350" w:rsidRPr="009B5662">
        <w:t>(</w:t>
      </w:r>
      <w:r w:rsidRPr="009B5662">
        <w:t>Pacific</w:t>
      </w:r>
      <w:r w:rsidR="009E4350" w:rsidRPr="009B5662">
        <w:t xml:space="preserve"> participant)</w:t>
      </w:r>
      <w:r w:rsidRPr="009B5662">
        <w:t xml:space="preserve"> </w:t>
      </w:r>
    </w:p>
    <w:p w14:paraId="280D68FB" w14:textId="77777777" w:rsidR="00811E64" w:rsidRPr="009B5662" w:rsidRDefault="00811E64" w:rsidP="00CC5733">
      <w:pPr>
        <w:pStyle w:val="Bullet"/>
        <w:numPr>
          <w:ilvl w:val="0"/>
          <w:numId w:val="8"/>
        </w:numPr>
        <w:tabs>
          <w:tab w:val="num" w:pos="2126"/>
          <w:tab w:val="num" w:pos="6663"/>
        </w:tabs>
        <w:rPr>
          <w:lang w:val="en-US"/>
        </w:rPr>
      </w:pPr>
      <w:r w:rsidRPr="009B5662">
        <w:rPr>
          <w:lang w:eastAsia="ar-SA"/>
        </w:rPr>
        <w:t xml:space="preserve">The BSP </w:t>
      </w:r>
      <w:r w:rsidR="000B6694" w:rsidRPr="009B5662">
        <w:rPr>
          <w:lang w:eastAsia="ar-SA"/>
        </w:rPr>
        <w:t>i</w:t>
      </w:r>
      <w:r w:rsidRPr="009B5662">
        <w:rPr>
          <w:lang w:eastAsia="ar-SA"/>
        </w:rPr>
        <w:t xml:space="preserve">s free </w:t>
      </w:r>
      <w:r w:rsidR="009E4350" w:rsidRPr="009B5662">
        <w:rPr>
          <w:lang w:eastAsia="ar-SA"/>
        </w:rPr>
        <w:t>and therefore accessible.</w:t>
      </w:r>
    </w:p>
    <w:p w14:paraId="25813762" w14:textId="77777777" w:rsidR="00B8763C" w:rsidRPr="009B5662" w:rsidRDefault="00B8763C" w:rsidP="006B6987">
      <w:pPr>
        <w:pStyle w:val="Quote"/>
        <w:ind w:left="1418"/>
      </w:pPr>
      <w:r w:rsidRPr="009B5662">
        <w:t xml:space="preserve">The fact that it is free is a factor. I don’t know what it costs for it but yeah that has got to be a major factor. (Māori </w:t>
      </w:r>
      <w:r w:rsidR="00C55E31" w:rsidRPr="009B5662">
        <w:t>participant</w:t>
      </w:r>
      <w:r w:rsidRPr="009B5662">
        <w:t>)</w:t>
      </w:r>
    </w:p>
    <w:p w14:paraId="6936680A" w14:textId="77777777" w:rsidR="009E4350" w:rsidRPr="009B5662" w:rsidRDefault="009E4350" w:rsidP="006B6987">
      <w:pPr>
        <w:pStyle w:val="Quote"/>
        <w:ind w:left="1418"/>
        <w:rPr>
          <w:lang w:val="en-US"/>
        </w:rPr>
      </w:pPr>
      <w:r w:rsidRPr="009B5662">
        <w:t xml:space="preserve">To me, it was something that you </w:t>
      </w:r>
      <w:proofErr w:type="spellStart"/>
      <w:r w:rsidRPr="009B5662">
        <w:t>gotta</w:t>
      </w:r>
      <w:proofErr w:type="spellEnd"/>
      <w:r w:rsidRPr="009B5662">
        <w:t xml:space="preserve"> do…plus it costs you nothing.  (Pacific participant) </w:t>
      </w:r>
    </w:p>
    <w:p w14:paraId="674245BC" w14:textId="77777777" w:rsidR="00C30331" w:rsidRPr="009B5662" w:rsidRDefault="009E4350" w:rsidP="00CC5733">
      <w:pPr>
        <w:pStyle w:val="Bullet"/>
        <w:numPr>
          <w:ilvl w:val="0"/>
          <w:numId w:val="8"/>
        </w:numPr>
        <w:tabs>
          <w:tab w:val="num" w:pos="2126"/>
          <w:tab w:val="num" w:pos="6663"/>
        </w:tabs>
        <w:rPr>
          <w:lang w:val="en-US"/>
        </w:rPr>
      </w:pPr>
      <w:r w:rsidRPr="009B5662">
        <w:rPr>
          <w:lang w:eastAsia="ar-SA"/>
        </w:rPr>
        <w:t xml:space="preserve">Some participants acted promptly to complete the kit.  Others required prompting by family/ </w:t>
      </w:r>
      <w:proofErr w:type="spellStart"/>
      <w:r w:rsidRPr="009B5662">
        <w:rPr>
          <w:lang w:eastAsia="ar-SA"/>
        </w:rPr>
        <w:t>wh</w:t>
      </w:r>
      <w:r w:rsidR="00BE159C" w:rsidRPr="009B5662">
        <w:rPr>
          <w:rFonts w:cs="Arial"/>
          <w:lang w:eastAsia="ar-SA"/>
        </w:rPr>
        <w:t>ā</w:t>
      </w:r>
      <w:r w:rsidRPr="009B5662">
        <w:rPr>
          <w:lang w:eastAsia="ar-SA"/>
        </w:rPr>
        <w:t>nau</w:t>
      </w:r>
      <w:proofErr w:type="spellEnd"/>
      <w:r w:rsidRPr="009B5662">
        <w:rPr>
          <w:lang w:eastAsia="ar-SA"/>
        </w:rPr>
        <w:t xml:space="preserve"> to </w:t>
      </w:r>
      <w:r w:rsidR="00BE159C" w:rsidRPr="009B5662">
        <w:rPr>
          <w:lang w:eastAsia="ar-SA"/>
        </w:rPr>
        <w:t>act.  H</w:t>
      </w:r>
      <w:r w:rsidR="00C30331" w:rsidRPr="009B5662">
        <w:rPr>
          <w:lang w:eastAsia="ar-SA"/>
        </w:rPr>
        <w:t xml:space="preserve">esitancy to complete the kit </w:t>
      </w:r>
      <w:r w:rsidR="00BE159C" w:rsidRPr="009B5662">
        <w:rPr>
          <w:lang w:eastAsia="ar-SA"/>
        </w:rPr>
        <w:t>reflected M</w:t>
      </w:r>
      <w:r w:rsidR="00BE159C" w:rsidRPr="009B5662">
        <w:rPr>
          <w:rFonts w:cs="Arial"/>
          <w:lang w:eastAsia="ar-SA"/>
        </w:rPr>
        <w:t>ā</w:t>
      </w:r>
      <w:r w:rsidR="00BE159C" w:rsidRPr="009B5662">
        <w:rPr>
          <w:lang w:eastAsia="ar-SA"/>
        </w:rPr>
        <w:t xml:space="preserve">ori and Pacific participants </w:t>
      </w:r>
      <w:r w:rsidR="00C30331" w:rsidRPr="009B5662">
        <w:rPr>
          <w:lang w:eastAsia="ar-SA"/>
        </w:rPr>
        <w:t xml:space="preserve">dislike of handling faeces and </w:t>
      </w:r>
      <w:r w:rsidRPr="009B5662">
        <w:rPr>
          <w:lang w:eastAsia="ar-SA"/>
        </w:rPr>
        <w:t xml:space="preserve">an aversion to </w:t>
      </w:r>
      <w:r w:rsidR="00C30331" w:rsidRPr="009B5662">
        <w:rPr>
          <w:lang w:eastAsia="ar-SA"/>
        </w:rPr>
        <w:t xml:space="preserve">posting </w:t>
      </w:r>
      <w:r w:rsidR="00494325" w:rsidRPr="009B5662">
        <w:rPr>
          <w:lang w:eastAsia="ar-SA"/>
        </w:rPr>
        <w:t xml:space="preserve">faecal </w:t>
      </w:r>
      <w:r w:rsidR="00C30331" w:rsidRPr="009B5662">
        <w:rPr>
          <w:lang w:eastAsia="ar-SA"/>
        </w:rPr>
        <w:t xml:space="preserve">samples in the mail.  </w:t>
      </w:r>
      <w:r w:rsidR="00BE159C" w:rsidRPr="009B5662">
        <w:rPr>
          <w:lang w:eastAsia="ar-SA"/>
        </w:rPr>
        <w:t>For these participants, t</w:t>
      </w:r>
      <w:r w:rsidR="00C30331" w:rsidRPr="009B5662">
        <w:rPr>
          <w:lang w:eastAsia="ar-SA"/>
        </w:rPr>
        <w:t>he benefits of checking their bowel health outweighed th</w:t>
      </w:r>
      <w:r w:rsidR="00C55E31" w:rsidRPr="009B5662">
        <w:rPr>
          <w:lang w:eastAsia="ar-SA"/>
        </w:rPr>
        <w:t>eir</w:t>
      </w:r>
      <w:r w:rsidR="00C30331" w:rsidRPr="009B5662">
        <w:rPr>
          <w:lang w:eastAsia="ar-SA"/>
        </w:rPr>
        <w:t xml:space="preserve"> aversion. </w:t>
      </w:r>
    </w:p>
    <w:p w14:paraId="0EDE5CF6" w14:textId="549A2553" w:rsidR="005A572E" w:rsidRDefault="00C641A9" w:rsidP="0077722F">
      <w:pPr>
        <w:pStyle w:val="Quote"/>
        <w:ind w:left="1418"/>
      </w:pPr>
      <w:r w:rsidRPr="009B5662">
        <w:lastRenderedPageBreak/>
        <w:t xml:space="preserve">I thought oh heck you know because I don’t like looking into the </w:t>
      </w:r>
      <w:r w:rsidR="00494325" w:rsidRPr="009B5662">
        <w:t xml:space="preserve">[toilet] </w:t>
      </w:r>
      <w:r w:rsidRPr="009B5662">
        <w:t>bowl.  So for me to go and do it, it sort of put me off a bit about doing it myself.  I had to find out and go ahead with it.  It took me three weeks.  I kept looking at it; I put it away in a draw</w:t>
      </w:r>
      <w:r w:rsidR="00761A03">
        <w:t>er</w:t>
      </w:r>
      <w:r w:rsidRPr="009B5662">
        <w:t>.  But I kept thinking about it and I just went aww to heck with it and I did it and I put it in the envelope and took it to the post shop. (Māori</w:t>
      </w:r>
      <w:r w:rsidR="00BE159C" w:rsidRPr="009B5662">
        <w:t xml:space="preserve"> participant</w:t>
      </w:r>
      <w:r w:rsidRPr="009B5662">
        <w:t>)</w:t>
      </w:r>
    </w:p>
    <w:p w14:paraId="03A10D2E" w14:textId="77777777" w:rsidR="00BE159C" w:rsidRPr="009B5662" w:rsidRDefault="00B214C2" w:rsidP="006B6987">
      <w:pPr>
        <w:pStyle w:val="Quote"/>
        <w:ind w:left="1418"/>
      </w:pPr>
      <w:r w:rsidRPr="009B5662">
        <w:t>Cause I already sent that stupid (laughs), [participant referring to sending sample in the mail] I said to them, oh my gosh, I on</w:t>
      </w:r>
      <w:r w:rsidR="00BE159C" w:rsidRPr="009B5662">
        <w:t>ly hope that the people at the Post O</w:t>
      </w:r>
      <w:r w:rsidRPr="009B5662">
        <w:t xml:space="preserve">ffice don’t know what’s in there (laughs) but they were good, because they sent me the little envelope, all covered in plastic and another plastic, so all I need is to put it in the little bag they sent me (laughs) that’s what’s good about it (laughs) I said to my daughter, please take it, ‘nah, take that with you..’  You know what time I did that? I did it in the night time when everyone’s gone to sleep (laughs) when everyone’s gone to sleep, ah my </w:t>
      </w:r>
      <w:r w:rsidR="00BE159C" w:rsidRPr="009B5662">
        <w:t xml:space="preserve">gosh, I never told anybody but my son-in-law. (Pacific participant) </w:t>
      </w:r>
    </w:p>
    <w:p w14:paraId="54835FF2" w14:textId="77777777" w:rsidR="00BE159C" w:rsidRPr="009B5662" w:rsidRDefault="00B8763C" w:rsidP="006B6987">
      <w:pPr>
        <w:pStyle w:val="Quote"/>
        <w:ind w:left="1418"/>
      </w:pPr>
      <w:r w:rsidRPr="009B5662">
        <w:t>My wife insisted, she said, no just do it, it’s harmless…to my h</w:t>
      </w:r>
      <w:r w:rsidR="00BE159C" w:rsidRPr="009B5662">
        <w:t xml:space="preserve">orror the result came positive. (Pacific participant) </w:t>
      </w:r>
    </w:p>
    <w:p w14:paraId="4F04B6A2" w14:textId="77777777" w:rsidR="00C30331" w:rsidRPr="009B5662" w:rsidRDefault="00C55E31" w:rsidP="00CC5733">
      <w:pPr>
        <w:pStyle w:val="Bullet"/>
        <w:numPr>
          <w:ilvl w:val="0"/>
          <w:numId w:val="8"/>
        </w:numPr>
        <w:tabs>
          <w:tab w:val="num" w:pos="2126"/>
          <w:tab w:val="num" w:pos="6663"/>
        </w:tabs>
        <w:rPr>
          <w:lang w:val="en-US"/>
        </w:rPr>
      </w:pPr>
      <w:r w:rsidRPr="009B5662">
        <w:rPr>
          <w:lang w:eastAsia="ar-SA"/>
        </w:rPr>
        <w:t>The process</w:t>
      </w:r>
      <w:r w:rsidR="00C30331" w:rsidRPr="009B5662">
        <w:rPr>
          <w:lang w:eastAsia="ar-SA"/>
        </w:rPr>
        <w:t xml:space="preserve"> </w:t>
      </w:r>
      <w:r w:rsidR="00494325" w:rsidRPr="009B5662">
        <w:rPr>
          <w:lang w:eastAsia="ar-SA"/>
        </w:rPr>
        <w:t xml:space="preserve">to </w:t>
      </w:r>
      <w:r w:rsidR="00C30331" w:rsidRPr="009B5662">
        <w:rPr>
          <w:lang w:eastAsia="ar-SA"/>
        </w:rPr>
        <w:t>co</w:t>
      </w:r>
      <w:r w:rsidR="00BE159C" w:rsidRPr="009B5662">
        <w:rPr>
          <w:lang w:eastAsia="ar-SA"/>
        </w:rPr>
        <w:t>mplet</w:t>
      </w:r>
      <w:r w:rsidR="00494325" w:rsidRPr="009B5662">
        <w:rPr>
          <w:lang w:eastAsia="ar-SA"/>
        </w:rPr>
        <w:t>e</w:t>
      </w:r>
      <w:r w:rsidRPr="009B5662">
        <w:rPr>
          <w:lang w:eastAsia="ar-SA"/>
        </w:rPr>
        <w:t xml:space="preserve"> the BSP kit </w:t>
      </w:r>
      <w:r w:rsidR="00BE159C" w:rsidRPr="009B5662">
        <w:rPr>
          <w:lang w:eastAsia="ar-SA"/>
        </w:rPr>
        <w:t xml:space="preserve">was described as straightforward and easy.  </w:t>
      </w:r>
      <w:r w:rsidR="00C30331" w:rsidRPr="009B5662">
        <w:rPr>
          <w:lang w:eastAsia="ar-SA"/>
        </w:rPr>
        <w:t>As in 2013, M</w:t>
      </w:r>
      <w:r w:rsidR="00A75C23" w:rsidRPr="009B5662">
        <w:rPr>
          <w:rFonts w:cs="Arial"/>
          <w:lang w:val="en-US"/>
        </w:rPr>
        <w:t>ā</w:t>
      </w:r>
      <w:proofErr w:type="spellStart"/>
      <w:r w:rsidR="00C30331" w:rsidRPr="009B5662">
        <w:rPr>
          <w:lang w:eastAsia="ar-SA"/>
        </w:rPr>
        <w:t>ori</w:t>
      </w:r>
      <w:proofErr w:type="spellEnd"/>
      <w:r w:rsidR="00C30331" w:rsidRPr="009B5662">
        <w:rPr>
          <w:lang w:eastAsia="ar-SA"/>
        </w:rPr>
        <w:t xml:space="preserve"> and Pacific participants understood the kit instructions, and could undertake the test without other assistance.  </w:t>
      </w:r>
    </w:p>
    <w:p w14:paraId="02DF3807" w14:textId="77777777" w:rsidR="00BE159C" w:rsidRPr="009B5662" w:rsidRDefault="00BE159C" w:rsidP="00CC5733">
      <w:pPr>
        <w:pStyle w:val="Bullet"/>
        <w:numPr>
          <w:ilvl w:val="0"/>
          <w:numId w:val="8"/>
        </w:numPr>
        <w:tabs>
          <w:tab w:val="num" w:pos="2126"/>
          <w:tab w:val="num" w:pos="6663"/>
        </w:tabs>
        <w:rPr>
          <w:lang w:val="en-US"/>
        </w:rPr>
      </w:pPr>
      <w:r w:rsidRPr="009B5662">
        <w:rPr>
          <w:lang w:eastAsia="ar-SA"/>
        </w:rPr>
        <w:t>T</w:t>
      </w:r>
      <w:r w:rsidR="00494325" w:rsidRPr="009B5662">
        <w:rPr>
          <w:lang w:eastAsia="ar-SA"/>
        </w:rPr>
        <w:t xml:space="preserve">imely </w:t>
      </w:r>
      <w:r w:rsidRPr="009B5662">
        <w:rPr>
          <w:lang w:eastAsia="ar-SA"/>
        </w:rPr>
        <w:t xml:space="preserve">process </w:t>
      </w:r>
      <w:r w:rsidR="00494325" w:rsidRPr="009B5662">
        <w:rPr>
          <w:lang w:eastAsia="ar-SA"/>
        </w:rPr>
        <w:t xml:space="preserve">to receive the </w:t>
      </w:r>
      <w:proofErr w:type="spellStart"/>
      <w:r w:rsidRPr="009B5662">
        <w:rPr>
          <w:lang w:eastAsia="ar-SA"/>
        </w:rPr>
        <w:t>iFOBT</w:t>
      </w:r>
      <w:proofErr w:type="spellEnd"/>
      <w:r w:rsidRPr="009B5662">
        <w:rPr>
          <w:lang w:eastAsia="ar-SA"/>
        </w:rPr>
        <w:t xml:space="preserve"> </w:t>
      </w:r>
      <w:r w:rsidR="00494325" w:rsidRPr="009B5662">
        <w:rPr>
          <w:lang w:eastAsia="ar-SA"/>
        </w:rPr>
        <w:t xml:space="preserve">result </w:t>
      </w:r>
      <w:r w:rsidRPr="009B5662">
        <w:rPr>
          <w:lang w:eastAsia="ar-SA"/>
        </w:rPr>
        <w:t xml:space="preserve">and colonoscopy appointment </w:t>
      </w:r>
      <w:r w:rsidR="00C55E31" w:rsidRPr="009B5662">
        <w:rPr>
          <w:lang w:eastAsia="ar-SA"/>
        </w:rPr>
        <w:t>(discussed section 5.2)</w:t>
      </w:r>
      <w:r w:rsidRPr="009B5662">
        <w:rPr>
          <w:lang w:eastAsia="ar-SA"/>
        </w:rPr>
        <w:t xml:space="preserve">. </w:t>
      </w:r>
    </w:p>
    <w:p w14:paraId="4875097C" w14:textId="77777777" w:rsidR="00BE159C" w:rsidRPr="009B5662" w:rsidRDefault="00BE159C" w:rsidP="00CC5733">
      <w:pPr>
        <w:pStyle w:val="Bullet"/>
        <w:numPr>
          <w:ilvl w:val="0"/>
          <w:numId w:val="8"/>
        </w:numPr>
        <w:tabs>
          <w:tab w:val="num" w:pos="2126"/>
          <w:tab w:val="num" w:pos="6663"/>
        </w:tabs>
        <w:rPr>
          <w:lang w:val="en-US"/>
        </w:rPr>
      </w:pPr>
      <w:r w:rsidRPr="009B5662">
        <w:rPr>
          <w:lang w:eastAsia="ar-SA"/>
        </w:rPr>
        <w:t>P</w:t>
      </w:r>
      <w:r w:rsidR="00494325" w:rsidRPr="009B5662">
        <w:rPr>
          <w:lang w:eastAsia="ar-SA"/>
        </w:rPr>
        <w:t>ositive p</w:t>
      </w:r>
      <w:r w:rsidRPr="009B5662">
        <w:rPr>
          <w:lang w:eastAsia="ar-SA"/>
        </w:rPr>
        <w:t>articipant experience</w:t>
      </w:r>
      <w:r w:rsidR="00C30331" w:rsidRPr="009B5662">
        <w:rPr>
          <w:lang w:eastAsia="ar-SA"/>
        </w:rPr>
        <w:t xml:space="preserve">s with the </w:t>
      </w:r>
      <w:r w:rsidR="009E3E09">
        <w:rPr>
          <w:lang w:eastAsia="ar-SA"/>
        </w:rPr>
        <w:t>Endoscopy Unit</w:t>
      </w:r>
      <w:r w:rsidR="00C30331" w:rsidRPr="009B5662">
        <w:rPr>
          <w:lang w:eastAsia="ar-SA"/>
        </w:rPr>
        <w:t xml:space="preserve"> </w:t>
      </w:r>
      <w:r w:rsidRPr="009B5662">
        <w:rPr>
          <w:lang w:eastAsia="ar-SA"/>
        </w:rPr>
        <w:t>due to professional and caring staff, clear communications and support through the process</w:t>
      </w:r>
      <w:r w:rsidR="00A42DE1" w:rsidRPr="009B5662">
        <w:rPr>
          <w:lang w:eastAsia="ar-SA"/>
        </w:rPr>
        <w:t>.  M</w:t>
      </w:r>
      <w:r w:rsidR="00C55E31" w:rsidRPr="009B5662">
        <w:rPr>
          <w:lang w:eastAsia="ar-SA"/>
        </w:rPr>
        <w:t xml:space="preserve">any </w:t>
      </w:r>
      <w:r w:rsidR="00A42DE1" w:rsidRPr="009B5662">
        <w:rPr>
          <w:lang w:eastAsia="ar-SA"/>
        </w:rPr>
        <w:t xml:space="preserve">participants had expected that </w:t>
      </w:r>
      <w:r w:rsidR="00C55E31" w:rsidRPr="009B5662">
        <w:rPr>
          <w:lang w:eastAsia="ar-SA"/>
        </w:rPr>
        <w:t xml:space="preserve">having a </w:t>
      </w:r>
      <w:r w:rsidRPr="009B5662">
        <w:rPr>
          <w:lang w:eastAsia="ar-SA"/>
        </w:rPr>
        <w:t>colonoscop</w:t>
      </w:r>
      <w:r w:rsidR="00C55E31" w:rsidRPr="009B5662">
        <w:rPr>
          <w:lang w:eastAsia="ar-SA"/>
        </w:rPr>
        <w:t>y</w:t>
      </w:r>
      <w:r w:rsidRPr="009B5662">
        <w:rPr>
          <w:lang w:eastAsia="ar-SA"/>
        </w:rPr>
        <w:t xml:space="preserve"> would be embarrassing</w:t>
      </w:r>
      <w:r w:rsidR="00A42DE1" w:rsidRPr="009B5662">
        <w:rPr>
          <w:lang w:eastAsia="ar-SA"/>
        </w:rPr>
        <w:t>, this was not their experience</w:t>
      </w:r>
      <w:r w:rsidRPr="009B5662">
        <w:rPr>
          <w:lang w:eastAsia="ar-SA"/>
        </w:rPr>
        <w:t xml:space="preserve">.  Participants </w:t>
      </w:r>
      <w:r w:rsidR="00A471AC" w:rsidRPr="009B5662">
        <w:rPr>
          <w:lang w:eastAsia="ar-SA"/>
        </w:rPr>
        <w:t>also</w:t>
      </w:r>
      <w:r w:rsidRPr="009B5662">
        <w:rPr>
          <w:lang w:eastAsia="ar-SA"/>
        </w:rPr>
        <w:t xml:space="preserve"> </w:t>
      </w:r>
      <w:r w:rsidR="00A471AC" w:rsidRPr="009B5662">
        <w:rPr>
          <w:lang w:eastAsia="ar-SA"/>
        </w:rPr>
        <w:t xml:space="preserve">noted </w:t>
      </w:r>
      <w:r w:rsidRPr="009B5662">
        <w:rPr>
          <w:lang w:eastAsia="ar-SA"/>
        </w:rPr>
        <w:t>the process seemed quick</w:t>
      </w:r>
      <w:r w:rsidR="00A471AC" w:rsidRPr="009B5662">
        <w:rPr>
          <w:lang w:eastAsia="ar-SA"/>
        </w:rPr>
        <w:t xml:space="preserve"> and appreciated</w:t>
      </w:r>
      <w:r w:rsidRPr="009B5662">
        <w:rPr>
          <w:lang w:eastAsia="ar-SA"/>
        </w:rPr>
        <w:t xml:space="preserve"> the discussion with the </w:t>
      </w:r>
      <w:proofErr w:type="spellStart"/>
      <w:r w:rsidRPr="009B5662">
        <w:rPr>
          <w:lang w:eastAsia="ar-SA"/>
        </w:rPr>
        <w:t>endoscopist</w:t>
      </w:r>
      <w:proofErr w:type="spellEnd"/>
      <w:r w:rsidRPr="009B5662">
        <w:rPr>
          <w:lang w:eastAsia="ar-SA"/>
        </w:rPr>
        <w:t xml:space="preserve"> about the findings, and the refreshments</w:t>
      </w:r>
      <w:r w:rsidR="00A471AC" w:rsidRPr="009B5662">
        <w:rPr>
          <w:lang w:eastAsia="ar-SA"/>
        </w:rPr>
        <w:t xml:space="preserve"> provided after the colonoscopy.</w:t>
      </w:r>
      <w:r w:rsidRPr="009B5662">
        <w:rPr>
          <w:lang w:eastAsia="ar-SA"/>
        </w:rPr>
        <w:t xml:space="preserve"> </w:t>
      </w:r>
      <w:r w:rsidR="00A42DE1" w:rsidRPr="009B5662">
        <w:t>Due to their positive experience,</w:t>
      </w:r>
      <w:r w:rsidR="00481B93" w:rsidRPr="009B5662">
        <w:t xml:space="preserve"> Māori participants indicated that they would have no hesitation in participating in surveillance </w:t>
      </w:r>
      <w:r w:rsidR="00A42DE1" w:rsidRPr="009B5662">
        <w:t xml:space="preserve">colonoscopies </w:t>
      </w:r>
      <w:r w:rsidR="00481B93" w:rsidRPr="009B5662">
        <w:t xml:space="preserve">or </w:t>
      </w:r>
      <w:r w:rsidR="00A42DE1" w:rsidRPr="009B5662">
        <w:t xml:space="preserve">doing further </w:t>
      </w:r>
      <w:r w:rsidR="00481B93" w:rsidRPr="009B5662">
        <w:t>tests</w:t>
      </w:r>
      <w:r w:rsidR="00A42DE1" w:rsidRPr="009B5662">
        <w:t xml:space="preserve"> as needed. </w:t>
      </w:r>
    </w:p>
    <w:p w14:paraId="4CF9A294" w14:textId="77777777" w:rsidR="00C30331" w:rsidRPr="009B5662" w:rsidRDefault="00C30331" w:rsidP="00CC5733">
      <w:pPr>
        <w:pStyle w:val="Bullet"/>
        <w:numPr>
          <w:ilvl w:val="0"/>
          <w:numId w:val="8"/>
        </w:numPr>
        <w:tabs>
          <w:tab w:val="num" w:pos="2126"/>
          <w:tab w:val="num" w:pos="6663"/>
        </w:tabs>
        <w:rPr>
          <w:lang w:val="en-US"/>
        </w:rPr>
      </w:pPr>
      <w:r w:rsidRPr="009B5662">
        <w:rPr>
          <w:lang w:eastAsia="ar-SA"/>
        </w:rPr>
        <w:t>Most</w:t>
      </w:r>
      <w:r w:rsidR="00A471AC" w:rsidRPr="009B5662">
        <w:rPr>
          <w:lang w:eastAsia="ar-SA"/>
        </w:rPr>
        <w:t xml:space="preserve"> seem to be aware of what happened next with </w:t>
      </w:r>
      <w:r w:rsidRPr="009B5662">
        <w:rPr>
          <w:lang w:eastAsia="ar-SA"/>
        </w:rPr>
        <w:t>reg</w:t>
      </w:r>
      <w:r w:rsidR="00A471AC" w:rsidRPr="009B5662">
        <w:rPr>
          <w:lang w:eastAsia="ar-SA"/>
        </w:rPr>
        <w:t xml:space="preserve">ard to recall and surveillance, although two Pacific people were not sure and one wanted to be seen earlier than the recommended surveillance period. </w:t>
      </w:r>
    </w:p>
    <w:p w14:paraId="1FDEF204" w14:textId="77777777" w:rsidR="00A471AC" w:rsidRPr="009B5662" w:rsidRDefault="00A471AC" w:rsidP="00C30331">
      <w:pPr>
        <w:rPr>
          <w:lang w:val="en-US"/>
        </w:rPr>
      </w:pPr>
      <w:r w:rsidRPr="009B5662">
        <w:rPr>
          <w:lang w:val="en-US"/>
        </w:rPr>
        <w:t xml:space="preserve">Interviews with </w:t>
      </w:r>
      <w:r w:rsidR="00C30331" w:rsidRPr="009B5662">
        <w:rPr>
          <w:lang w:val="en-US"/>
        </w:rPr>
        <w:t>M</w:t>
      </w:r>
      <w:r w:rsidR="00A75C23" w:rsidRPr="009B5662">
        <w:rPr>
          <w:rFonts w:cs="Arial"/>
          <w:lang w:val="en-US"/>
        </w:rPr>
        <w:t>ā</w:t>
      </w:r>
      <w:r w:rsidR="00C30331" w:rsidRPr="009B5662">
        <w:rPr>
          <w:lang w:val="en-US"/>
        </w:rPr>
        <w:t>ori</w:t>
      </w:r>
      <w:r w:rsidRPr="009B5662">
        <w:rPr>
          <w:lang w:val="en-US"/>
        </w:rPr>
        <w:t xml:space="preserve"> BSP</w:t>
      </w:r>
      <w:r w:rsidR="00C30331" w:rsidRPr="009B5662">
        <w:rPr>
          <w:lang w:val="en-US"/>
        </w:rPr>
        <w:t xml:space="preserve"> participants</w:t>
      </w:r>
      <w:r w:rsidRPr="009B5662">
        <w:rPr>
          <w:lang w:val="en-US"/>
        </w:rPr>
        <w:t xml:space="preserve"> highlighted some other areas for reflection: </w:t>
      </w:r>
    </w:p>
    <w:p w14:paraId="46F74CA8" w14:textId="77777777" w:rsidR="00A471AC" w:rsidRPr="009B5662" w:rsidRDefault="00A471AC" w:rsidP="00CC5733">
      <w:pPr>
        <w:pStyle w:val="Bullet"/>
        <w:numPr>
          <w:ilvl w:val="0"/>
          <w:numId w:val="8"/>
        </w:numPr>
        <w:tabs>
          <w:tab w:val="num" w:pos="2126"/>
          <w:tab w:val="num" w:pos="6663"/>
        </w:tabs>
        <w:rPr>
          <w:lang w:val="en-US"/>
        </w:rPr>
      </w:pPr>
      <w:r w:rsidRPr="009B5662">
        <w:rPr>
          <w:lang w:eastAsia="ar-SA"/>
        </w:rPr>
        <w:t>Disability</w:t>
      </w:r>
      <w:r w:rsidR="00494325" w:rsidRPr="009B5662">
        <w:rPr>
          <w:lang w:eastAsia="ar-SA"/>
        </w:rPr>
        <w:t xml:space="preserve"> and faecal aversion</w:t>
      </w:r>
      <w:r w:rsidR="00C7695D" w:rsidRPr="009B5662">
        <w:rPr>
          <w:lang w:eastAsia="ar-SA"/>
        </w:rPr>
        <w:t xml:space="preserve">: </w:t>
      </w:r>
      <w:r w:rsidRPr="009B5662">
        <w:rPr>
          <w:lang w:eastAsia="ar-SA"/>
        </w:rPr>
        <w:t xml:space="preserve"> One M</w:t>
      </w:r>
      <w:r w:rsidRPr="009B5662">
        <w:rPr>
          <w:rFonts w:cs="Arial"/>
          <w:lang w:val="en-US"/>
        </w:rPr>
        <w:t>ā</w:t>
      </w:r>
      <w:proofErr w:type="spellStart"/>
      <w:r w:rsidRPr="009B5662">
        <w:rPr>
          <w:lang w:eastAsia="ar-SA"/>
        </w:rPr>
        <w:t>ori</w:t>
      </w:r>
      <w:proofErr w:type="spellEnd"/>
      <w:r w:rsidRPr="009B5662">
        <w:rPr>
          <w:lang w:eastAsia="ar-SA"/>
        </w:rPr>
        <w:t xml:space="preserve"> participant had a disability which made the completion of the </w:t>
      </w:r>
      <w:proofErr w:type="spellStart"/>
      <w:r w:rsidRPr="009B5662">
        <w:rPr>
          <w:lang w:eastAsia="ar-SA"/>
        </w:rPr>
        <w:t>iFOBT</w:t>
      </w:r>
      <w:proofErr w:type="spellEnd"/>
      <w:r w:rsidRPr="009B5662">
        <w:rPr>
          <w:lang w:eastAsia="ar-SA"/>
        </w:rPr>
        <w:t xml:space="preserve"> kit challenging due to the small </w:t>
      </w:r>
      <w:proofErr w:type="spellStart"/>
      <w:r w:rsidRPr="009B5662">
        <w:rPr>
          <w:lang w:eastAsia="ar-SA"/>
        </w:rPr>
        <w:t>pottle</w:t>
      </w:r>
      <w:proofErr w:type="spellEnd"/>
      <w:r w:rsidRPr="009B5662">
        <w:rPr>
          <w:lang w:eastAsia="ar-SA"/>
        </w:rPr>
        <w:t xml:space="preserve"> and the need to screw the lid on. The test was important to the participant due to other health concerns therefore they </w:t>
      </w:r>
      <w:r w:rsidR="0039080F" w:rsidRPr="009B5662">
        <w:rPr>
          <w:lang w:eastAsia="ar-SA"/>
        </w:rPr>
        <w:t xml:space="preserve">persevered and </w:t>
      </w:r>
      <w:r w:rsidRPr="009B5662">
        <w:rPr>
          <w:lang w:eastAsia="ar-SA"/>
        </w:rPr>
        <w:t>complete</w:t>
      </w:r>
      <w:r w:rsidR="0039080F" w:rsidRPr="009B5662">
        <w:rPr>
          <w:lang w:eastAsia="ar-SA"/>
        </w:rPr>
        <w:t>d</w:t>
      </w:r>
      <w:r w:rsidRPr="009B5662">
        <w:rPr>
          <w:lang w:eastAsia="ar-SA"/>
        </w:rPr>
        <w:t xml:space="preserve"> the test. The participant would not seek support from their partner with the </w:t>
      </w:r>
      <w:proofErr w:type="spellStart"/>
      <w:r w:rsidRPr="009B5662">
        <w:rPr>
          <w:lang w:eastAsia="ar-SA"/>
        </w:rPr>
        <w:t>pottle</w:t>
      </w:r>
      <w:proofErr w:type="spellEnd"/>
      <w:r w:rsidRPr="009B5662">
        <w:rPr>
          <w:lang w:eastAsia="ar-SA"/>
        </w:rPr>
        <w:t xml:space="preserve"> given it contained faecal </w:t>
      </w:r>
      <w:r w:rsidR="00761A03">
        <w:rPr>
          <w:lang w:eastAsia="ar-SA"/>
        </w:rPr>
        <w:t>matter</w:t>
      </w:r>
      <w:r w:rsidRPr="009B5662">
        <w:rPr>
          <w:lang w:eastAsia="ar-SA"/>
        </w:rPr>
        <w:t xml:space="preserve">. </w:t>
      </w:r>
    </w:p>
    <w:p w14:paraId="1844B4A2" w14:textId="77777777" w:rsidR="00A471AC" w:rsidRPr="009B5662" w:rsidRDefault="00494325" w:rsidP="00CC5733">
      <w:pPr>
        <w:pStyle w:val="Bullet"/>
        <w:numPr>
          <w:ilvl w:val="0"/>
          <w:numId w:val="8"/>
        </w:numPr>
        <w:tabs>
          <w:tab w:val="num" w:pos="2126"/>
          <w:tab w:val="num" w:pos="6663"/>
        </w:tabs>
        <w:rPr>
          <w:lang w:eastAsia="ar-SA"/>
        </w:rPr>
      </w:pPr>
      <w:r w:rsidRPr="009B5662">
        <w:rPr>
          <w:lang w:eastAsia="ar-SA"/>
        </w:rPr>
        <w:t>Inc</w:t>
      </w:r>
      <w:r w:rsidR="00A471AC" w:rsidRPr="009B5662">
        <w:rPr>
          <w:lang w:eastAsia="ar-SA"/>
        </w:rPr>
        <w:t>omplet</w:t>
      </w:r>
      <w:r w:rsidRPr="009B5662">
        <w:rPr>
          <w:lang w:eastAsia="ar-SA"/>
        </w:rPr>
        <w:t>e</w:t>
      </w:r>
      <w:r w:rsidR="00A471AC" w:rsidRPr="009B5662">
        <w:rPr>
          <w:lang w:eastAsia="ar-SA"/>
        </w:rPr>
        <w:t xml:space="preserve"> bowel preparation: </w:t>
      </w:r>
      <w:r w:rsidR="00811E64" w:rsidRPr="009B5662">
        <w:rPr>
          <w:lang w:eastAsia="ar-SA"/>
        </w:rPr>
        <w:t>Two</w:t>
      </w:r>
      <w:r w:rsidR="00A471AC" w:rsidRPr="009B5662">
        <w:rPr>
          <w:lang w:eastAsia="ar-SA"/>
        </w:rPr>
        <w:t xml:space="preserve"> participants did not </w:t>
      </w:r>
      <w:r w:rsidR="00811E64" w:rsidRPr="009B5662">
        <w:rPr>
          <w:lang w:eastAsia="ar-SA"/>
        </w:rPr>
        <w:t>complete bowel prep</w:t>
      </w:r>
      <w:r w:rsidR="00A471AC" w:rsidRPr="009B5662">
        <w:rPr>
          <w:lang w:eastAsia="ar-SA"/>
        </w:rPr>
        <w:t>aration properly as they a</w:t>
      </w:r>
      <w:r w:rsidR="00811E64" w:rsidRPr="009B5662">
        <w:rPr>
          <w:lang w:eastAsia="ar-SA"/>
        </w:rPr>
        <w:t xml:space="preserve">te something </w:t>
      </w:r>
      <w:r w:rsidR="00A471AC" w:rsidRPr="009B5662">
        <w:rPr>
          <w:lang w:eastAsia="ar-SA"/>
        </w:rPr>
        <w:t>on the day of the procedure</w:t>
      </w:r>
      <w:r w:rsidR="00A013C4" w:rsidRPr="009B5662">
        <w:rPr>
          <w:rStyle w:val="FootnoteReference"/>
          <w:lang w:eastAsia="ar-SA"/>
        </w:rPr>
        <w:footnoteReference w:id="12"/>
      </w:r>
      <w:r w:rsidR="00A471AC" w:rsidRPr="009B5662">
        <w:rPr>
          <w:lang w:eastAsia="ar-SA"/>
        </w:rPr>
        <w:t xml:space="preserve">.  The </w:t>
      </w:r>
      <w:r w:rsidR="009E3E09">
        <w:rPr>
          <w:lang w:eastAsia="ar-SA"/>
        </w:rPr>
        <w:t>Endoscopy Unit</w:t>
      </w:r>
      <w:r w:rsidR="00A471AC" w:rsidRPr="009B5662">
        <w:rPr>
          <w:lang w:eastAsia="ar-SA"/>
        </w:rPr>
        <w:t xml:space="preserve"> have recently revised and updated their information sheets on pre-colonoscopy diet and bowel preparation so this may be addressed. </w:t>
      </w:r>
    </w:p>
    <w:p w14:paraId="1ED25809" w14:textId="77777777" w:rsidR="00A471AC" w:rsidRPr="009B5662" w:rsidRDefault="00C7695D" w:rsidP="00CC5733">
      <w:pPr>
        <w:pStyle w:val="Bullet"/>
        <w:numPr>
          <w:ilvl w:val="0"/>
          <w:numId w:val="8"/>
        </w:numPr>
        <w:tabs>
          <w:tab w:val="num" w:pos="2126"/>
          <w:tab w:val="num" w:pos="6663"/>
        </w:tabs>
        <w:rPr>
          <w:lang w:eastAsia="ar-SA"/>
        </w:rPr>
      </w:pPr>
      <w:r w:rsidRPr="009B5662">
        <w:rPr>
          <w:lang w:eastAsia="ar-SA"/>
        </w:rPr>
        <w:lastRenderedPageBreak/>
        <w:t>Management of participants with d</w:t>
      </w:r>
      <w:r w:rsidR="00A471AC" w:rsidRPr="009B5662">
        <w:rPr>
          <w:lang w:eastAsia="ar-SA"/>
        </w:rPr>
        <w:t>iabetes: One M</w:t>
      </w:r>
      <w:r w:rsidR="00A013C4" w:rsidRPr="009B5662">
        <w:rPr>
          <w:rFonts w:cs="Arial"/>
          <w:lang w:eastAsia="ar-SA"/>
        </w:rPr>
        <w:t>ā</w:t>
      </w:r>
      <w:r w:rsidR="00A471AC" w:rsidRPr="009B5662">
        <w:rPr>
          <w:lang w:eastAsia="ar-SA"/>
        </w:rPr>
        <w:t xml:space="preserve">ori participant with diabetes </w:t>
      </w:r>
      <w:r w:rsidR="0039080F" w:rsidRPr="009B5662">
        <w:rPr>
          <w:lang w:eastAsia="ar-SA"/>
        </w:rPr>
        <w:t xml:space="preserve">noted that important communications from the pre-assessment interview </w:t>
      </w:r>
      <w:r w:rsidR="00A471AC" w:rsidRPr="009B5662">
        <w:rPr>
          <w:lang w:eastAsia="ar-SA"/>
        </w:rPr>
        <w:t xml:space="preserve">had </w:t>
      </w:r>
      <w:r w:rsidR="0039080F" w:rsidRPr="009B5662">
        <w:rPr>
          <w:lang w:eastAsia="ar-SA"/>
        </w:rPr>
        <w:t xml:space="preserve">not been passed on. </w:t>
      </w:r>
      <w:r w:rsidR="00A471AC" w:rsidRPr="009B5662">
        <w:rPr>
          <w:lang w:eastAsia="ar-SA"/>
        </w:rPr>
        <w:t>The CNS pre-asse</w:t>
      </w:r>
      <w:r w:rsidR="0039080F" w:rsidRPr="009B5662">
        <w:rPr>
          <w:lang w:eastAsia="ar-SA"/>
        </w:rPr>
        <w:t>ssment interview identified the</w:t>
      </w:r>
      <w:r w:rsidR="00A471AC" w:rsidRPr="009B5662">
        <w:rPr>
          <w:lang w:eastAsia="ar-SA"/>
        </w:rPr>
        <w:t xml:space="preserve"> need </w:t>
      </w:r>
      <w:r w:rsidR="0039080F" w:rsidRPr="009B5662">
        <w:rPr>
          <w:lang w:eastAsia="ar-SA"/>
        </w:rPr>
        <w:t>for the participant to be first on the list</w:t>
      </w:r>
      <w:r w:rsidR="00A013C4" w:rsidRPr="009B5662">
        <w:rPr>
          <w:lang w:eastAsia="ar-SA"/>
        </w:rPr>
        <w:t xml:space="preserve"> due to their diabetes</w:t>
      </w:r>
      <w:r w:rsidR="0039080F" w:rsidRPr="009B5662">
        <w:rPr>
          <w:lang w:eastAsia="ar-SA"/>
        </w:rPr>
        <w:t>.  H</w:t>
      </w:r>
      <w:r w:rsidR="00A471AC" w:rsidRPr="009B5662">
        <w:rPr>
          <w:lang w:eastAsia="ar-SA"/>
        </w:rPr>
        <w:t xml:space="preserve">owever on the day the participant had been placed fourth on the list.  </w:t>
      </w:r>
      <w:r w:rsidR="0039080F" w:rsidRPr="009B5662">
        <w:rPr>
          <w:lang w:eastAsia="ar-SA"/>
        </w:rPr>
        <w:t xml:space="preserve">Once identified this was quickly rectified. </w:t>
      </w:r>
    </w:p>
    <w:p w14:paraId="0688190E" w14:textId="77777777" w:rsidR="00A42DE1" w:rsidRPr="009B5662" w:rsidRDefault="00C7695D" w:rsidP="00CC5733">
      <w:pPr>
        <w:pStyle w:val="Bullet"/>
        <w:numPr>
          <w:ilvl w:val="0"/>
          <w:numId w:val="8"/>
        </w:numPr>
        <w:tabs>
          <w:tab w:val="num" w:pos="2126"/>
          <w:tab w:val="num" w:pos="6663"/>
        </w:tabs>
      </w:pPr>
      <w:r w:rsidRPr="009B5662">
        <w:t>BSP advocates</w:t>
      </w:r>
      <w:r w:rsidR="00A013C4" w:rsidRPr="009B5662">
        <w:t xml:space="preserve">: </w:t>
      </w:r>
      <w:r w:rsidR="00B8763C" w:rsidRPr="009B5662">
        <w:t xml:space="preserve"> All </w:t>
      </w:r>
      <w:r w:rsidR="0039080F" w:rsidRPr="009B5662">
        <w:t xml:space="preserve">Māori </w:t>
      </w:r>
      <w:r w:rsidR="00B8763C" w:rsidRPr="009B5662">
        <w:t xml:space="preserve">participants had in some way become advocates for the </w:t>
      </w:r>
      <w:r w:rsidR="00A013C4" w:rsidRPr="009B5662">
        <w:t>BSP</w:t>
      </w:r>
      <w:r w:rsidR="00B8763C" w:rsidRPr="009B5662">
        <w:t xml:space="preserve"> by promoting it to their </w:t>
      </w:r>
      <w:r w:rsidR="0039080F" w:rsidRPr="009B5662">
        <w:t xml:space="preserve">family/ </w:t>
      </w:r>
      <w:proofErr w:type="spellStart"/>
      <w:r w:rsidR="00B8763C" w:rsidRPr="009B5662">
        <w:t>whānau</w:t>
      </w:r>
      <w:proofErr w:type="spellEnd"/>
      <w:r w:rsidR="00B8763C" w:rsidRPr="009B5662">
        <w:t xml:space="preserve"> and friends.</w:t>
      </w:r>
      <w:r w:rsidR="00481B93" w:rsidRPr="009B5662">
        <w:t xml:space="preserve"> </w:t>
      </w:r>
      <w:r w:rsidR="00A42DE1" w:rsidRPr="009B5662">
        <w:t xml:space="preserve">Given the current focus on increasing participation by Māori, the potential for </w:t>
      </w:r>
      <w:r w:rsidR="00481B93" w:rsidRPr="009B5662">
        <w:t>future promotional campaigns</w:t>
      </w:r>
      <w:r w:rsidR="00A42DE1" w:rsidRPr="009B5662">
        <w:t xml:space="preserve"> to use this support needs consideration. </w:t>
      </w:r>
    </w:p>
    <w:p w14:paraId="2E35E203" w14:textId="77777777" w:rsidR="00B8763C" w:rsidRPr="009B5662" w:rsidRDefault="00B8763C" w:rsidP="006B6987">
      <w:pPr>
        <w:pStyle w:val="Quote"/>
        <w:ind w:left="1418"/>
      </w:pPr>
      <w:r w:rsidRPr="009B5662">
        <w:t>I am very pleased with the whole thing and I recommend that our M</w:t>
      </w:r>
      <w:r w:rsidR="0039080F" w:rsidRPr="009B5662">
        <w:t>ā</w:t>
      </w:r>
      <w:r w:rsidRPr="009B5662">
        <w:t xml:space="preserve">ori people go and get it done.  I was quite pleased with the whole thing. (Māori </w:t>
      </w:r>
      <w:r w:rsidR="00A013C4" w:rsidRPr="009B5662">
        <w:t>participant</w:t>
      </w:r>
      <w:r w:rsidRPr="009B5662">
        <w:t>)</w:t>
      </w:r>
    </w:p>
    <w:p w14:paraId="642C6235" w14:textId="77777777" w:rsidR="00B8763C" w:rsidRPr="009B5662" w:rsidRDefault="00B8763C" w:rsidP="006B6987">
      <w:pPr>
        <w:pStyle w:val="Quote"/>
        <w:ind w:left="1418"/>
      </w:pPr>
      <w:r w:rsidRPr="009B5662">
        <w:t xml:space="preserve">I can tell other people yeah I’ve had that done and I can let others know that it is not a bad thing.  I would encourage others that it is not a bad thing and while it is not going to cost anything.  Yeah just go and do it aye.  Tell other people about it. You know when they are getting up to their fifty mark go and get it done. (Māori </w:t>
      </w:r>
      <w:r w:rsidR="00A013C4" w:rsidRPr="009B5662">
        <w:t>participant</w:t>
      </w:r>
      <w:r w:rsidRPr="009B5662">
        <w:t>)</w:t>
      </w:r>
    </w:p>
    <w:p w14:paraId="15C07249" w14:textId="77777777" w:rsidR="00536B24" w:rsidRPr="009B5662" w:rsidRDefault="00536B24" w:rsidP="00536B24">
      <w:r w:rsidRPr="009B5662">
        <w:rPr>
          <w:rStyle w:val="Strong"/>
          <w:b w:val="0"/>
        </w:rPr>
        <w:t>Interviews</w:t>
      </w:r>
      <w:r w:rsidRPr="009B5662">
        <w:t xml:space="preserve"> with Pacific BSP participants highlighted other areas for reflection: </w:t>
      </w:r>
    </w:p>
    <w:p w14:paraId="12ED04A2" w14:textId="77777777" w:rsidR="00C30331" w:rsidRPr="009B5662" w:rsidRDefault="00C7695D" w:rsidP="00CC5733">
      <w:pPr>
        <w:pStyle w:val="Bullet"/>
        <w:numPr>
          <w:ilvl w:val="0"/>
          <w:numId w:val="8"/>
        </w:numPr>
        <w:tabs>
          <w:tab w:val="num" w:pos="2126"/>
          <w:tab w:val="num" w:pos="6663"/>
        </w:tabs>
      </w:pPr>
      <w:r w:rsidRPr="009B5662">
        <w:t>Need for t</w:t>
      </w:r>
      <w:r w:rsidR="00811E64" w:rsidRPr="009B5662">
        <w:t>ranslators</w:t>
      </w:r>
      <w:r w:rsidR="00A013C4" w:rsidRPr="009B5662">
        <w:t>: A</w:t>
      </w:r>
      <w:r w:rsidR="00536B24" w:rsidRPr="009B5662">
        <w:t xml:space="preserve">ll male Pacific participants noted the need for translators especially when explaining the result and the need for the colonoscopy.  The need to be careful with translation of words was highlighted particularly </w:t>
      </w:r>
      <w:r w:rsidR="00A013C4" w:rsidRPr="009B5662">
        <w:t xml:space="preserve">noting the differences </w:t>
      </w:r>
      <w:r w:rsidR="00536B24" w:rsidRPr="009B5662">
        <w:t>in the</w:t>
      </w:r>
      <w:r w:rsidR="00A013C4" w:rsidRPr="009B5662">
        <w:t xml:space="preserve"> language used by those in the older</w:t>
      </w:r>
      <w:r w:rsidR="00536B24" w:rsidRPr="009B5662">
        <w:t xml:space="preserve"> cohorts in the eligible population </w:t>
      </w:r>
      <w:r w:rsidR="00A013C4" w:rsidRPr="009B5662">
        <w:t xml:space="preserve">compared to the </w:t>
      </w:r>
      <w:r w:rsidR="00536B24" w:rsidRPr="009B5662">
        <w:t>younger one</w:t>
      </w:r>
      <w:r w:rsidR="00A013C4" w:rsidRPr="009B5662">
        <w:t>s</w:t>
      </w:r>
      <w:r w:rsidR="00536B24" w:rsidRPr="009B5662">
        <w:rPr>
          <w:rStyle w:val="FootnoteReference"/>
        </w:rPr>
        <w:footnoteReference w:id="13"/>
      </w:r>
      <w:r w:rsidR="00536B24" w:rsidRPr="009B5662">
        <w:t xml:space="preserve">.  </w:t>
      </w:r>
    </w:p>
    <w:p w14:paraId="29D7717A" w14:textId="77777777" w:rsidR="00536B24" w:rsidRPr="009B5662" w:rsidRDefault="00C7695D" w:rsidP="00CC5733">
      <w:pPr>
        <w:pStyle w:val="Bullet"/>
        <w:numPr>
          <w:ilvl w:val="0"/>
          <w:numId w:val="8"/>
        </w:numPr>
        <w:tabs>
          <w:tab w:val="num" w:pos="2126"/>
          <w:tab w:val="num" w:pos="6663"/>
        </w:tabs>
        <w:rPr>
          <w:lang w:val="en-US"/>
        </w:rPr>
      </w:pPr>
      <w:r w:rsidRPr="009B5662">
        <w:rPr>
          <w:lang w:val="en-US"/>
        </w:rPr>
        <w:t>Managing</w:t>
      </w:r>
      <w:r w:rsidR="00536B24" w:rsidRPr="009B5662">
        <w:rPr>
          <w:lang w:val="en-US"/>
        </w:rPr>
        <w:t xml:space="preserve"> embarrassment</w:t>
      </w:r>
      <w:r w:rsidR="00A013C4" w:rsidRPr="009B5662">
        <w:rPr>
          <w:lang w:val="en-US"/>
        </w:rPr>
        <w:t xml:space="preserve">: </w:t>
      </w:r>
      <w:r w:rsidR="00536B24" w:rsidRPr="009B5662">
        <w:rPr>
          <w:lang w:val="en-US"/>
        </w:rPr>
        <w:t xml:space="preserve"> One Pacific participant suggested the need to g</w:t>
      </w:r>
      <w:r w:rsidR="00B8763C" w:rsidRPr="009B5662">
        <w:rPr>
          <w:lang w:val="en-US"/>
        </w:rPr>
        <w:t xml:space="preserve">ender </w:t>
      </w:r>
      <w:r w:rsidR="00536B24" w:rsidRPr="009B5662">
        <w:rPr>
          <w:lang w:val="en-US"/>
        </w:rPr>
        <w:t xml:space="preserve">match if possible the participant and the </w:t>
      </w:r>
      <w:proofErr w:type="spellStart"/>
      <w:r w:rsidR="00536B24" w:rsidRPr="009B5662">
        <w:rPr>
          <w:lang w:val="en-US"/>
        </w:rPr>
        <w:t>endoscopist</w:t>
      </w:r>
      <w:proofErr w:type="spellEnd"/>
      <w:r w:rsidR="00536B24" w:rsidRPr="009B5662">
        <w:rPr>
          <w:lang w:val="en-US"/>
        </w:rPr>
        <w:t xml:space="preserve"> and if possible decrease the number of people in the room.  Checking whether the participant wants to see the screening of the colonoscopy is also important as not all Pacific </w:t>
      </w:r>
      <w:r w:rsidR="00A013C4" w:rsidRPr="009B5662">
        <w:rPr>
          <w:lang w:val="en-US"/>
        </w:rPr>
        <w:t>(</w:t>
      </w:r>
      <w:r w:rsidR="00536B24" w:rsidRPr="009B5662">
        <w:rPr>
          <w:lang w:val="en-US"/>
        </w:rPr>
        <w:t>and M</w:t>
      </w:r>
      <w:r w:rsidR="00A013C4" w:rsidRPr="009B5662">
        <w:rPr>
          <w:rFonts w:cs="Arial"/>
          <w:lang w:val="en-US"/>
        </w:rPr>
        <w:t>ā</w:t>
      </w:r>
      <w:r w:rsidR="00536B24" w:rsidRPr="009B5662">
        <w:rPr>
          <w:lang w:val="en-US"/>
        </w:rPr>
        <w:t>ori</w:t>
      </w:r>
      <w:r w:rsidR="00A013C4" w:rsidRPr="009B5662">
        <w:rPr>
          <w:lang w:val="en-US"/>
        </w:rPr>
        <w:t>)</w:t>
      </w:r>
      <w:r w:rsidR="00536B24" w:rsidRPr="009B5662">
        <w:rPr>
          <w:lang w:val="en-US"/>
        </w:rPr>
        <w:t xml:space="preserve"> participants want to watch.</w:t>
      </w:r>
    </w:p>
    <w:p w14:paraId="492918C1" w14:textId="77777777" w:rsidR="00B8763C" w:rsidRPr="009B5662" w:rsidRDefault="00B8763C" w:rsidP="006B6987">
      <w:pPr>
        <w:pStyle w:val="Quote"/>
        <w:ind w:left="1418"/>
      </w:pPr>
      <w:r w:rsidRPr="009B5662">
        <w:t xml:space="preserve">The </w:t>
      </w:r>
      <w:r w:rsidR="00375A28">
        <w:t>mos</w:t>
      </w:r>
      <w:r w:rsidRPr="009B5662">
        <w:t>t embarrassing part is to go in because you never know whose going to look at your bum.  That was the only pa</w:t>
      </w:r>
      <w:r w:rsidR="00536B24" w:rsidRPr="009B5662">
        <w:t>rt I was not comfortable about…</w:t>
      </w:r>
      <w:r w:rsidRPr="009B5662">
        <w:t xml:space="preserve">I had </w:t>
      </w:r>
      <w:r w:rsidR="00536B24" w:rsidRPr="009B5662">
        <w:t xml:space="preserve">three </w:t>
      </w:r>
      <w:r w:rsidRPr="009B5662">
        <w:t>of them, two nurse</w:t>
      </w:r>
      <w:r w:rsidR="00536B24" w:rsidRPr="009B5662">
        <w:t>s and</w:t>
      </w:r>
      <w:r w:rsidRPr="009B5662">
        <w:t xml:space="preserve"> a doctor…that was the only part that I worry about but anything else it was okay with me…must have some way of doing it instea</w:t>
      </w:r>
      <w:r w:rsidR="00536B24" w:rsidRPr="009B5662">
        <w:t>d of people looking at your bum.</w:t>
      </w:r>
      <w:r w:rsidRPr="009B5662">
        <w:t xml:space="preserve"> </w:t>
      </w:r>
    </w:p>
    <w:p w14:paraId="48A7903C" w14:textId="77777777" w:rsidR="00B214C2" w:rsidRPr="009B5662" w:rsidRDefault="00536B24" w:rsidP="00CC5733">
      <w:pPr>
        <w:pStyle w:val="Bullet"/>
        <w:numPr>
          <w:ilvl w:val="0"/>
          <w:numId w:val="8"/>
        </w:numPr>
        <w:tabs>
          <w:tab w:val="num" w:pos="2126"/>
          <w:tab w:val="num" w:pos="6663"/>
        </w:tabs>
        <w:rPr>
          <w:lang w:val="en-US"/>
        </w:rPr>
      </w:pPr>
      <w:r w:rsidRPr="009B5662">
        <w:rPr>
          <w:lang w:val="en-US"/>
        </w:rPr>
        <w:t>Anxiety</w:t>
      </w:r>
      <w:r w:rsidR="00E52FB1" w:rsidRPr="009B5662">
        <w:rPr>
          <w:lang w:val="en-US"/>
        </w:rPr>
        <w:t xml:space="preserve"> stopping action</w:t>
      </w:r>
      <w:r w:rsidR="00A013C4" w:rsidRPr="009B5662">
        <w:rPr>
          <w:lang w:val="en-US"/>
        </w:rPr>
        <w:t>: Fea</w:t>
      </w:r>
      <w:r w:rsidRPr="009B5662">
        <w:rPr>
          <w:lang w:val="en-US"/>
        </w:rPr>
        <w:t>r they may have cancer may discourage Pacific participants to have the colonoscopy.</w:t>
      </w:r>
    </w:p>
    <w:p w14:paraId="5F552BC1" w14:textId="77777777" w:rsidR="00B214C2" w:rsidRPr="009B5662" w:rsidRDefault="00A013C4" w:rsidP="006B6987">
      <w:pPr>
        <w:pStyle w:val="Quote"/>
        <w:ind w:left="1418"/>
      </w:pPr>
      <w:r w:rsidRPr="009B5662">
        <w:t xml:space="preserve">Usually if </w:t>
      </w:r>
      <w:r w:rsidR="00B214C2" w:rsidRPr="009B5662">
        <w:t>you find some blood it’s a bad sign aye?…it could be cancer, it could be something else.  It was getting me a</w:t>
      </w:r>
      <w:r w:rsidR="00536B24" w:rsidRPr="009B5662">
        <w:t xml:space="preserve"> </w:t>
      </w:r>
      <w:r w:rsidR="00B214C2" w:rsidRPr="009B5662">
        <w:t>bit worried aye.  I got a</w:t>
      </w:r>
      <w:r w:rsidR="00536B24" w:rsidRPr="009B5662">
        <w:t xml:space="preserve"> </w:t>
      </w:r>
      <w:r w:rsidR="00B214C2" w:rsidRPr="009B5662">
        <w:t>bit worried but I thought</w:t>
      </w:r>
      <w:r w:rsidR="00536B24" w:rsidRPr="009B5662">
        <w:t>, no, I have to go through this.</w:t>
      </w:r>
    </w:p>
    <w:p w14:paraId="617C82C6" w14:textId="77777777" w:rsidR="00B214C2" w:rsidRPr="009B5662" w:rsidRDefault="00C7695D" w:rsidP="00CC5733">
      <w:pPr>
        <w:pStyle w:val="Bullet"/>
        <w:numPr>
          <w:ilvl w:val="0"/>
          <w:numId w:val="8"/>
        </w:numPr>
        <w:tabs>
          <w:tab w:val="num" w:pos="2126"/>
          <w:tab w:val="num" w:pos="6663"/>
        </w:tabs>
        <w:rPr>
          <w:lang w:val="en-US"/>
        </w:rPr>
      </w:pPr>
      <w:r w:rsidRPr="009B5662">
        <w:rPr>
          <w:lang w:val="en-US"/>
        </w:rPr>
        <w:t>BSP a</w:t>
      </w:r>
      <w:r w:rsidR="00B214C2" w:rsidRPr="009B5662">
        <w:rPr>
          <w:lang w:val="en-US"/>
        </w:rPr>
        <w:t>dvoca</w:t>
      </w:r>
      <w:r w:rsidRPr="009B5662">
        <w:rPr>
          <w:lang w:val="en-US"/>
        </w:rPr>
        <w:t>tes:</w:t>
      </w:r>
      <w:r w:rsidR="00B214C2" w:rsidRPr="009B5662">
        <w:rPr>
          <w:lang w:val="en-US"/>
        </w:rPr>
        <w:t xml:space="preserve"> </w:t>
      </w:r>
      <w:r w:rsidR="0039080F" w:rsidRPr="009B5662">
        <w:rPr>
          <w:lang w:val="en-US"/>
        </w:rPr>
        <w:t>Like M</w:t>
      </w:r>
      <w:r w:rsidR="00536B24" w:rsidRPr="009B5662">
        <w:rPr>
          <w:rFonts w:cs="Arial"/>
          <w:lang w:val="en-US"/>
        </w:rPr>
        <w:t>ā</w:t>
      </w:r>
      <w:r w:rsidR="0039080F" w:rsidRPr="009B5662">
        <w:rPr>
          <w:lang w:val="en-US"/>
        </w:rPr>
        <w:t xml:space="preserve">ori, Pacific people who had completed the BSP were keen to encourage others. </w:t>
      </w:r>
    </w:p>
    <w:p w14:paraId="00B1C2D8" w14:textId="77777777" w:rsidR="00B214C2" w:rsidRPr="009B5662" w:rsidRDefault="00B214C2" w:rsidP="006B6987">
      <w:pPr>
        <w:pStyle w:val="Quote"/>
        <w:ind w:left="1418"/>
      </w:pPr>
      <w:r w:rsidRPr="009B5662">
        <w:t>I feel very st</w:t>
      </w:r>
      <w:r w:rsidR="00536B24" w:rsidRPr="009B5662">
        <w:t xml:space="preserve">rong about this, I wish all </w:t>
      </w:r>
      <w:proofErr w:type="spellStart"/>
      <w:r w:rsidR="0039080F" w:rsidRPr="009B5662">
        <w:t>P</w:t>
      </w:r>
      <w:r w:rsidRPr="009B5662">
        <w:t>asifika</w:t>
      </w:r>
      <w:proofErr w:type="spellEnd"/>
      <w:r w:rsidRPr="009B5662">
        <w:t xml:space="preserve">, </w:t>
      </w:r>
      <w:r w:rsidR="0039080F" w:rsidRPr="009B5662">
        <w:t>P</w:t>
      </w:r>
      <w:r w:rsidRPr="009B5662">
        <w:t>acific people from age 54 up to 70, if they got a letter from the health, their health district</w:t>
      </w:r>
      <w:r w:rsidR="0039080F" w:rsidRPr="009B5662">
        <w:t xml:space="preserve">, just go and do it.  </w:t>
      </w:r>
      <w:r w:rsidRPr="009B5662">
        <w:t>That’s the only concern for me, Pacific Island be stron</w:t>
      </w:r>
      <w:r w:rsidR="0039080F" w:rsidRPr="009B5662">
        <w:t>g, stand up for ourselves.</w:t>
      </w:r>
    </w:p>
    <w:p w14:paraId="3E8C94F0" w14:textId="3896CA47" w:rsidR="00AD271D" w:rsidRDefault="00AD271D">
      <w:pPr>
        <w:spacing w:before="0"/>
        <w:ind w:left="0"/>
      </w:pPr>
    </w:p>
    <w:p w14:paraId="323A8512" w14:textId="77777777" w:rsidR="00E52FB1" w:rsidRDefault="00D679FA" w:rsidP="00533760">
      <w:pPr>
        <w:pBdr>
          <w:top w:val="double" w:sz="4" w:space="1" w:color="auto"/>
          <w:left w:val="double" w:sz="4" w:space="4" w:color="auto"/>
          <w:bottom w:val="double" w:sz="4" w:space="1" w:color="auto"/>
          <w:right w:val="double" w:sz="4" w:space="4" w:color="auto"/>
        </w:pBdr>
        <w:rPr>
          <w:rFonts w:cs="Arial"/>
        </w:rPr>
      </w:pPr>
      <w:r w:rsidRPr="004D3C26">
        <w:rPr>
          <w:rFonts w:cs="Arial"/>
          <w:b/>
          <w:lang w:eastAsia="en-NZ"/>
        </w:rPr>
        <w:t>Summary</w:t>
      </w:r>
      <w:r w:rsidRPr="004D3C26">
        <w:rPr>
          <w:rFonts w:cs="Arial"/>
          <w:lang w:eastAsia="en-NZ"/>
        </w:rPr>
        <w:t xml:space="preserve">: </w:t>
      </w:r>
      <w:r w:rsidR="00533760">
        <w:rPr>
          <w:rFonts w:cs="Arial"/>
          <w:lang w:eastAsia="en-NZ"/>
        </w:rPr>
        <w:t>M</w:t>
      </w:r>
      <w:r w:rsidR="00533760">
        <w:rPr>
          <w:rFonts w:cs="Arial"/>
          <w:lang w:val="en-US"/>
        </w:rPr>
        <w:t>ā</w:t>
      </w:r>
      <w:proofErr w:type="spellStart"/>
      <w:r w:rsidR="00533760">
        <w:rPr>
          <w:rFonts w:cs="Arial"/>
          <w:lang w:eastAsia="en-NZ"/>
        </w:rPr>
        <w:t>ori</w:t>
      </w:r>
      <w:proofErr w:type="spellEnd"/>
      <w:r w:rsidR="00533760">
        <w:rPr>
          <w:rFonts w:cs="Arial"/>
          <w:lang w:eastAsia="en-NZ"/>
        </w:rPr>
        <w:t xml:space="preserve"> and Pacific </w:t>
      </w:r>
      <w:r w:rsidR="00533760">
        <w:rPr>
          <w:rFonts w:cs="Arial"/>
        </w:rPr>
        <w:t xml:space="preserve">BSP participants interviewed </w:t>
      </w:r>
      <w:r w:rsidR="009F4045">
        <w:rPr>
          <w:rFonts w:cs="Arial"/>
        </w:rPr>
        <w:t>had</w:t>
      </w:r>
      <w:r w:rsidR="00533760">
        <w:rPr>
          <w:rFonts w:cs="Arial"/>
        </w:rPr>
        <w:t xml:space="preserve"> a very positive experience when on the screening pathway.  The BSP is seen as important health check, which is </w:t>
      </w:r>
      <w:r w:rsidR="00E52FB1">
        <w:rPr>
          <w:rFonts w:cs="Arial"/>
        </w:rPr>
        <w:t xml:space="preserve">described as easy, </w:t>
      </w:r>
      <w:r w:rsidR="00533760">
        <w:rPr>
          <w:rFonts w:cs="Arial"/>
        </w:rPr>
        <w:t>timely</w:t>
      </w:r>
      <w:r w:rsidR="00E52FB1">
        <w:rPr>
          <w:rFonts w:cs="Arial"/>
        </w:rPr>
        <w:t xml:space="preserve"> and free</w:t>
      </w:r>
      <w:r w:rsidR="00533760">
        <w:rPr>
          <w:rFonts w:cs="Arial"/>
        </w:rPr>
        <w:t xml:space="preserve">.  </w:t>
      </w:r>
    </w:p>
    <w:p w14:paraId="0A0FC63B" w14:textId="77777777" w:rsidR="00E52FB1" w:rsidRDefault="00E52FB1" w:rsidP="00533760">
      <w:pPr>
        <w:pBdr>
          <w:top w:val="double" w:sz="4" w:space="1" w:color="auto"/>
          <w:left w:val="double" w:sz="4" w:space="4" w:color="auto"/>
          <w:bottom w:val="double" w:sz="4" w:space="1" w:color="auto"/>
          <w:right w:val="double" w:sz="4" w:space="4" w:color="auto"/>
        </w:pBdr>
        <w:rPr>
          <w:rFonts w:cs="Arial"/>
        </w:rPr>
      </w:pPr>
      <w:r>
        <w:rPr>
          <w:rFonts w:cs="Arial"/>
        </w:rPr>
        <w:t>Aversion</w:t>
      </w:r>
      <w:r w:rsidR="00533760">
        <w:rPr>
          <w:rFonts w:cs="Arial"/>
        </w:rPr>
        <w:t xml:space="preserve"> to doing faecal samples in the home and posting them </w:t>
      </w:r>
      <w:r>
        <w:rPr>
          <w:rFonts w:cs="Arial"/>
        </w:rPr>
        <w:t xml:space="preserve">are marked for </w:t>
      </w:r>
      <w:r w:rsidR="00533760">
        <w:rPr>
          <w:rFonts w:cs="Arial"/>
        </w:rPr>
        <w:t>M</w:t>
      </w:r>
      <w:r w:rsidR="00533760">
        <w:rPr>
          <w:rFonts w:cs="Arial"/>
          <w:lang w:val="en-US"/>
        </w:rPr>
        <w:t>ā</w:t>
      </w:r>
      <w:proofErr w:type="spellStart"/>
      <w:r w:rsidR="00533760">
        <w:rPr>
          <w:rFonts w:cs="Arial"/>
        </w:rPr>
        <w:t>ori</w:t>
      </w:r>
      <w:proofErr w:type="spellEnd"/>
      <w:r w:rsidR="00533760">
        <w:rPr>
          <w:rFonts w:cs="Arial"/>
        </w:rPr>
        <w:t xml:space="preserve"> and Pacific BSP participants. </w:t>
      </w:r>
      <w:r>
        <w:rPr>
          <w:rFonts w:cs="Arial"/>
        </w:rPr>
        <w:t xml:space="preserve"> As a result</w:t>
      </w:r>
      <w:r w:rsidR="00E22E10">
        <w:rPr>
          <w:rFonts w:cs="Arial"/>
        </w:rPr>
        <w:t>,</w:t>
      </w:r>
      <w:r>
        <w:rPr>
          <w:rFonts w:cs="Arial"/>
        </w:rPr>
        <w:t xml:space="preserve"> those people who struggle </w:t>
      </w:r>
      <w:r w:rsidR="009B5662">
        <w:rPr>
          <w:rFonts w:cs="Arial"/>
        </w:rPr>
        <w:t xml:space="preserve">to </w:t>
      </w:r>
      <w:r>
        <w:rPr>
          <w:rFonts w:cs="Arial"/>
        </w:rPr>
        <w:t xml:space="preserve">complete the BSP kit will not ask for family/ </w:t>
      </w:r>
      <w:proofErr w:type="spellStart"/>
      <w:r>
        <w:rPr>
          <w:rFonts w:cs="Arial"/>
        </w:rPr>
        <w:t>whānau</w:t>
      </w:r>
      <w:proofErr w:type="spellEnd"/>
      <w:r>
        <w:rPr>
          <w:rFonts w:cs="Arial"/>
        </w:rPr>
        <w:t xml:space="preserve"> assistance; this is especially pertinent for those with a disability. For Pacific participants</w:t>
      </w:r>
      <w:r w:rsidR="00E22E10">
        <w:rPr>
          <w:rFonts w:cs="Arial"/>
        </w:rPr>
        <w:t>,</w:t>
      </w:r>
      <w:r>
        <w:rPr>
          <w:rFonts w:cs="Arial"/>
        </w:rPr>
        <w:t xml:space="preserve"> </w:t>
      </w:r>
      <w:r w:rsidR="005849C7">
        <w:rPr>
          <w:rFonts w:cs="Arial"/>
        </w:rPr>
        <w:t>taking part</w:t>
      </w:r>
      <w:r>
        <w:rPr>
          <w:rFonts w:cs="Arial"/>
        </w:rPr>
        <w:t xml:space="preserve"> may be impeded by a lack of understanding, fears of cancer and embarrassment about colonoscopies.  </w:t>
      </w:r>
      <w:r w:rsidR="00533760">
        <w:rPr>
          <w:rFonts w:cs="Arial"/>
        </w:rPr>
        <w:t xml:space="preserve"> </w:t>
      </w:r>
    </w:p>
    <w:p w14:paraId="1A346BE0" w14:textId="77777777" w:rsidR="00533760" w:rsidRPr="00533760" w:rsidRDefault="00533760" w:rsidP="00266CA2">
      <w:pPr>
        <w:pBdr>
          <w:top w:val="double" w:sz="4" w:space="1" w:color="auto"/>
          <w:left w:val="double" w:sz="4" w:space="4" w:color="auto"/>
          <w:bottom w:val="double" w:sz="4" w:space="1" w:color="auto"/>
          <w:right w:val="double" w:sz="4" w:space="4" w:color="auto"/>
        </w:pBdr>
        <w:rPr>
          <w:rFonts w:cs="Arial"/>
        </w:rPr>
      </w:pPr>
      <w:r>
        <w:rPr>
          <w:rFonts w:cs="Arial"/>
        </w:rPr>
        <w:t xml:space="preserve">The process of receiving a positive </w:t>
      </w:r>
      <w:proofErr w:type="spellStart"/>
      <w:r>
        <w:rPr>
          <w:rFonts w:cs="Arial"/>
        </w:rPr>
        <w:t>iFOBT</w:t>
      </w:r>
      <w:proofErr w:type="spellEnd"/>
      <w:r>
        <w:rPr>
          <w:rFonts w:cs="Arial"/>
        </w:rPr>
        <w:t xml:space="preserve"> result via general practice or </w:t>
      </w:r>
      <w:r w:rsidR="0097150B">
        <w:rPr>
          <w:rFonts w:cs="Arial"/>
        </w:rPr>
        <w:t xml:space="preserve">the </w:t>
      </w:r>
      <w:r w:rsidR="009E3E09">
        <w:rPr>
          <w:rFonts w:cs="Arial"/>
        </w:rPr>
        <w:t>Endoscopy Unit</w:t>
      </w:r>
      <w:r w:rsidR="0097150B">
        <w:rPr>
          <w:rFonts w:cs="Arial"/>
        </w:rPr>
        <w:t xml:space="preserve"> </w:t>
      </w:r>
      <w:r>
        <w:rPr>
          <w:rFonts w:cs="Arial"/>
        </w:rPr>
        <w:t xml:space="preserve">is a positive one – being timely, reassuring and ensuring the next step on the screening pathway. </w:t>
      </w:r>
      <w:r w:rsidR="00E52FB1">
        <w:rPr>
          <w:rFonts w:cs="Arial"/>
        </w:rPr>
        <w:t xml:space="preserve"> </w:t>
      </w:r>
      <w:r>
        <w:rPr>
          <w:rFonts w:cs="Arial"/>
        </w:rPr>
        <w:t>BSP participants are comfort</w:t>
      </w:r>
      <w:r w:rsidR="00C7695D">
        <w:rPr>
          <w:rFonts w:cs="Arial"/>
        </w:rPr>
        <w:t xml:space="preserve">able receiving the </w:t>
      </w:r>
      <w:proofErr w:type="spellStart"/>
      <w:r w:rsidR="00C7695D">
        <w:rPr>
          <w:rFonts w:cs="Arial"/>
        </w:rPr>
        <w:t>iFOBT</w:t>
      </w:r>
      <w:proofErr w:type="spellEnd"/>
      <w:r w:rsidR="00C7695D">
        <w:rPr>
          <w:rFonts w:cs="Arial"/>
        </w:rPr>
        <w:t xml:space="preserve"> results via the </w:t>
      </w:r>
      <w:r w:rsidR="009E3E09">
        <w:rPr>
          <w:rFonts w:cs="Arial"/>
        </w:rPr>
        <w:t>Endoscopy Unit</w:t>
      </w:r>
      <w:r w:rsidR="00C7695D">
        <w:rPr>
          <w:rFonts w:cs="Arial"/>
        </w:rPr>
        <w:t>’s CNS</w:t>
      </w:r>
      <w:r>
        <w:rPr>
          <w:rFonts w:cs="Arial"/>
        </w:rPr>
        <w:t xml:space="preserve"> and see this process as more convenient, potentially cheaper, timely and aligned with the next</w:t>
      </w:r>
      <w:r w:rsidR="00266CA2">
        <w:rPr>
          <w:rFonts w:cs="Arial"/>
        </w:rPr>
        <w:t xml:space="preserve"> step to having a colonoscopy; although it is critical for their GP to be aware of the result. </w:t>
      </w:r>
      <w:r w:rsidR="00E52FB1">
        <w:rPr>
          <w:rFonts w:cs="Arial"/>
        </w:rPr>
        <w:t xml:space="preserve"> </w:t>
      </w:r>
      <w:r>
        <w:rPr>
          <w:rFonts w:cs="Arial"/>
        </w:rPr>
        <w:t>In contrast BSP participants w</w:t>
      </w:r>
      <w:r w:rsidR="00266CA2">
        <w:rPr>
          <w:rFonts w:cs="Arial"/>
        </w:rPr>
        <w:t xml:space="preserve">ith existing </w:t>
      </w:r>
      <w:r w:rsidR="00C7695D">
        <w:rPr>
          <w:rFonts w:cs="Arial"/>
        </w:rPr>
        <w:t xml:space="preserve">health </w:t>
      </w:r>
      <w:r w:rsidR="00266CA2">
        <w:rPr>
          <w:rFonts w:cs="Arial"/>
        </w:rPr>
        <w:t>condition</w:t>
      </w:r>
      <w:r w:rsidR="00C7695D">
        <w:rPr>
          <w:rFonts w:cs="Arial"/>
        </w:rPr>
        <w:t>s</w:t>
      </w:r>
      <w:r w:rsidR="00266CA2">
        <w:rPr>
          <w:rFonts w:cs="Arial"/>
        </w:rPr>
        <w:t xml:space="preserve">, </w:t>
      </w:r>
      <w:r w:rsidR="00C7695D">
        <w:rPr>
          <w:rFonts w:cs="Arial"/>
        </w:rPr>
        <w:t xml:space="preserve">those </w:t>
      </w:r>
      <w:r w:rsidR="00266CA2">
        <w:rPr>
          <w:rFonts w:cs="Arial"/>
        </w:rPr>
        <w:t xml:space="preserve">very </w:t>
      </w:r>
      <w:r w:rsidR="00E52FB1">
        <w:rPr>
          <w:rFonts w:cs="Arial"/>
        </w:rPr>
        <w:t>anxious</w:t>
      </w:r>
      <w:r>
        <w:rPr>
          <w:rFonts w:cs="Arial"/>
        </w:rPr>
        <w:t xml:space="preserve"> about the result or </w:t>
      </w:r>
      <w:r w:rsidR="00266CA2">
        <w:rPr>
          <w:rFonts w:cs="Arial"/>
        </w:rPr>
        <w:t>having a colonoscopy appreciate the</w:t>
      </w:r>
      <w:r w:rsidR="00C7695D">
        <w:rPr>
          <w:rFonts w:cs="Arial"/>
        </w:rPr>
        <w:t>ir</w:t>
      </w:r>
      <w:r w:rsidR="00266CA2">
        <w:rPr>
          <w:rFonts w:cs="Arial"/>
        </w:rPr>
        <w:t xml:space="preserve"> GP consult. </w:t>
      </w:r>
    </w:p>
    <w:p w14:paraId="681B2AD1" w14:textId="77777777" w:rsidR="00C64168" w:rsidRDefault="00C64168">
      <w:pPr>
        <w:spacing w:before="0"/>
        <w:ind w:left="0"/>
        <w:rPr>
          <w:lang w:val="en-US"/>
        </w:rPr>
      </w:pPr>
      <w:r>
        <w:rPr>
          <w:lang w:val="en-US"/>
        </w:rPr>
        <w:br w:type="page"/>
      </w:r>
    </w:p>
    <w:p w14:paraId="754687D6" w14:textId="77777777" w:rsidR="00C64168" w:rsidRDefault="00C64168" w:rsidP="00C64168">
      <w:pPr>
        <w:pStyle w:val="Heading1"/>
        <w:rPr>
          <w:lang w:val="en-US"/>
        </w:rPr>
      </w:pPr>
      <w:bookmarkStart w:id="60" w:name="_Toc380424712"/>
      <w:r>
        <w:rPr>
          <w:lang w:val="en-US"/>
        </w:rPr>
        <w:lastRenderedPageBreak/>
        <w:t>6.</w:t>
      </w:r>
      <w:r>
        <w:rPr>
          <w:lang w:val="en-US"/>
        </w:rPr>
        <w:tab/>
        <w:t>General Practices’ Delivery and Preferences</w:t>
      </w:r>
      <w:bookmarkEnd w:id="60"/>
    </w:p>
    <w:p w14:paraId="2DD61CDF" w14:textId="77777777" w:rsidR="008965D8" w:rsidRDefault="004D6AE5" w:rsidP="004D6AE5">
      <w:pPr>
        <w:rPr>
          <w:lang w:val="en-US"/>
        </w:rPr>
      </w:pPr>
      <w:r>
        <w:rPr>
          <w:lang w:val="en-US"/>
        </w:rPr>
        <w:t xml:space="preserve">This section </w:t>
      </w:r>
      <w:r w:rsidR="008965D8">
        <w:rPr>
          <w:lang w:val="en-US"/>
        </w:rPr>
        <w:t xml:space="preserve">summaries the awareness and knowledge of general practice </w:t>
      </w:r>
      <w:r w:rsidR="00CF2B53">
        <w:rPr>
          <w:lang w:val="en-US"/>
        </w:rPr>
        <w:t>about</w:t>
      </w:r>
      <w:r w:rsidR="008965D8">
        <w:rPr>
          <w:lang w:val="en-US"/>
        </w:rPr>
        <w:t xml:space="preserve"> their role in the BSP.  It </w:t>
      </w:r>
      <w:r w:rsidR="00FE6801">
        <w:rPr>
          <w:lang w:val="en-US"/>
        </w:rPr>
        <w:t xml:space="preserve">uses the feedback from ten general practices to </w:t>
      </w:r>
      <w:r w:rsidR="008965D8">
        <w:rPr>
          <w:lang w:val="en-US"/>
        </w:rPr>
        <w:t xml:space="preserve">describe how </w:t>
      </w:r>
      <w:r w:rsidR="00FE6801">
        <w:rPr>
          <w:lang w:val="en-US"/>
        </w:rPr>
        <w:t>they implement these roles</w:t>
      </w:r>
      <w:r w:rsidR="008965D8">
        <w:rPr>
          <w:lang w:val="en-US"/>
        </w:rPr>
        <w:t xml:space="preserve">, and </w:t>
      </w:r>
      <w:r w:rsidR="00FE6801">
        <w:rPr>
          <w:lang w:val="en-US"/>
        </w:rPr>
        <w:t>presents t</w:t>
      </w:r>
      <w:r w:rsidR="008965D8">
        <w:rPr>
          <w:lang w:val="en-US"/>
        </w:rPr>
        <w:t xml:space="preserve">heir perceptions of the value of general practice in the BSP. </w:t>
      </w:r>
    </w:p>
    <w:p w14:paraId="0A1E61DE" w14:textId="77777777" w:rsidR="00C64168" w:rsidRDefault="00C64168" w:rsidP="00C64168">
      <w:pPr>
        <w:pStyle w:val="Heading2"/>
        <w:rPr>
          <w:lang w:val="en-US"/>
        </w:rPr>
      </w:pPr>
      <w:bookmarkStart w:id="61" w:name="_Toc380424713"/>
      <w:r>
        <w:rPr>
          <w:lang w:val="en-US"/>
        </w:rPr>
        <w:t>6.1</w:t>
      </w:r>
      <w:r>
        <w:rPr>
          <w:lang w:val="en-US"/>
        </w:rPr>
        <w:tab/>
      </w:r>
      <w:r w:rsidR="00B514DE">
        <w:rPr>
          <w:lang w:val="en-US"/>
        </w:rPr>
        <w:t>Awareness and knowledge of the</w:t>
      </w:r>
      <w:r w:rsidR="000B6694">
        <w:rPr>
          <w:lang w:val="en-US"/>
        </w:rPr>
        <w:t xml:space="preserve"> </w:t>
      </w:r>
      <w:r>
        <w:rPr>
          <w:lang w:val="en-US"/>
        </w:rPr>
        <w:t>BSP</w:t>
      </w:r>
      <w:bookmarkEnd w:id="61"/>
    </w:p>
    <w:p w14:paraId="4A9D46BB" w14:textId="77777777" w:rsidR="00B514DE" w:rsidRPr="00375A28" w:rsidRDefault="00B514DE" w:rsidP="00B514DE">
      <w:pPr>
        <w:rPr>
          <w:lang w:val="en-US"/>
        </w:rPr>
      </w:pPr>
      <w:r w:rsidRPr="00375A28">
        <w:rPr>
          <w:lang w:val="en-US"/>
        </w:rPr>
        <w:t xml:space="preserve">The following findings </w:t>
      </w:r>
      <w:r w:rsidR="00CF2B53" w:rsidRPr="00375A28">
        <w:rPr>
          <w:lang w:val="en-US"/>
        </w:rPr>
        <w:t xml:space="preserve">from the 2013 follow-up provider survey </w:t>
      </w:r>
      <w:r w:rsidRPr="00375A28">
        <w:rPr>
          <w:lang w:val="en-US"/>
        </w:rPr>
        <w:t xml:space="preserve">show that in the main </w:t>
      </w:r>
      <w:r w:rsidR="00CF2B53" w:rsidRPr="00375A28">
        <w:rPr>
          <w:lang w:val="en-US"/>
        </w:rPr>
        <w:t>GPs and practice nurses and managers</w:t>
      </w:r>
      <w:r w:rsidRPr="00375A28">
        <w:rPr>
          <w:lang w:val="en-US"/>
        </w:rPr>
        <w:t xml:space="preserve"> </w:t>
      </w:r>
      <w:r w:rsidR="00CF2B53" w:rsidRPr="00375A28">
        <w:rPr>
          <w:lang w:val="en-US"/>
        </w:rPr>
        <w:t xml:space="preserve">who completed the survey </w:t>
      </w:r>
      <w:r w:rsidRPr="00375A28">
        <w:rPr>
          <w:lang w:val="en-US"/>
        </w:rPr>
        <w:t>are aware and knowledgeable about their role in the BSP</w:t>
      </w:r>
      <w:r w:rsidR="00CF2B53" w:rsidRPr="00375A28">
        <w:rPr>
          <w:lang w:val="en-US"/>
        </w:rPr>
        <w:t xml:space="preserve"> </w:t>
      </w:r>
      <w:r w:rsidRPr="00375A28">
        <w:rPr>
          <w:lang w:val="en-US"/>
        </w:rPr>
        <w:t>(Litmus 2014</w:t>
      </w:r>
      <w:r w:rsidR="00CF2B53" w:rsidRPr="00375A28">
        <w:rPr>
          <w:lang w:val="en-US"/>
        </w:rPr>
        <w:t>b</w:t>
      </w:r>
      <w:r w:rsidRPr="00375A28">
        <w:rPr>
          <w:lang w:val="en-US"/>
        </w:rPr>
        <w:t>):</w:t>
      </w:r>
    </w:p>
    <w:p w14:paraId="0EAF5FE9" w14:textId="77777777" w:rsidR="000B6694" w:rsidRPr="000B6694" w:rsidRDefault="009C2120" w:rsidP="00CC5733">
      <w:pPr>
        <w:numPr>
          <w:ilvl w:val="0"/>
          <w:numId w:val="6"/>
        </w:numPr>
        <w:autoSpaceDE w:val="0"/>
        <w:autoSpaceDN w:val="0"/>
        <w:adjustRightInd w:val="0"/>
        <w:spacing w:before="120" w:after="120"/>
        <w:ind w:left="1134" w:hanging="425"/>
      </w:pPr>
      <w:r>
        <w:t xml:space="preserve">All </w:t>
      </w:r>
      <w:r w:rsidR="00CF2B53">
        <w:t>are</w:t>
      </w:r>
      <w:r>
        <w:t xml:space="preserve"> aware of </w:t>
      </w:r>
      <w:r w:rsidRPr="000B6196">
        <w:t>the BSP</w:t>
      </w:r>
      <w:r w:rsidR="000B6196" w:rsidRPr="000B6196">
        <w:t xml:space="preserve"> and </w:t>
      </w:r>
      <w:r w:rsidR="000B6196" w:rsidRPr="000B6196">
        <w:rPr>
          <w:rFonts w:cs="Arial"/>
        </w:rPr>
        <w:t xml:space="preserve">view New Zealand’s bowel cancer death rate as a significant health concern. </w:t>
      </w:r>
      <w:r w:rsidR="000B6694">
        <w:rPr>
          <w:rFonts w:cs="Arial"/>
        </w:rPr>
        <w:t xml:space="preserve"> </w:t>
      </w:r>
    </w:p>
    <w:p w14:paraId="78FF174D" w14:textId="77777777" w:rsidR="000B6694" w:rsidRPr="000B6196" w:rsidRDefault="00FE6801" w:rsidP="00CC5733">
      <w:pPr>
        <w:numPr>
          <w:ilvl w:val="0"/>
          <w:numId w:val="6"/>
        </w:numPr>
        <w:autoSpaceDE w:val="0"/>
        <w:autoSpaceDN w:val="0"/>
        <w:adjustRightInd w:val="0"/>
        <w:spacing w:before="120" w:after="120"/>
        <w:ind w:left="1134" w:hanging="425"/>
      </w:pPr>
      <w:r>
        <w:rPr>
          <w:rFonts w:cs="Arial"/>
        </w:rPr>
        <w:t>There is n</w:t>
      </w:r>
      <w:r w:rsidR="000B6694" w:rsidRPr="000B6196">
        <w:rPr>
          <w:rFonts w:cs="Arial"/>
        </w:rPr>
        <w:t>ear universal support for the BSP in WDHB and for a national bowel screening programme</w:t>
      </w:r>
      <w:r w:rsidR="00CF2B53">
        <w:rPr>
          <w:rFonts w:cs="Arial"/>
        </w:rPr>
        <w:t xml:space="preserve">, and </w:t>
      </w:r>
      <w:r w:rsidR="000B6694" w:rsidRPr="000B6196">
        <w:rPr>
          <w:rFonts w:cs="Arial"/>
        </w:rPr>
        <w:t xml:space="preserve">strong support for use of the </w:t>
      </w:r>
      <w:proofErr w:type="spellStart"/>
      <w:r w:rsidR="000B6694" w:rsidRPr="000B6196">
        <w:rPr>
          <w:rFonts w:cs="Arial"/>
        </w:rPr>
        <w:t>iFOBT</w:t>
      </w:r>
      <w:proofErr w:type="spellEnd"/>
      <w:r w:rsidR="000B6694" w:rsidRPr="000B6196">
        <w:rPr>
          <w:rFonts w:cs="Arial"/>
        </w:rPr>
        <w:t>.</w:t>
      </w:r>
    </w:p>
    <w:p w14:paraId="6D2DE4DF" w14:textId="77777777" w:rsidR="00CF2B53" w:rsidRPr="000B6196" w:rsidRDefault="00CF2B53" w:rsidP="00CF2B53">
      <w:pPr>
        <w:numPr>
          <w:ilvl w:val="0"/>
          <w:numId w:val="6"/>
        </w:numPr>
        <w:autoSpaceDE w:val="0"/>
        <w:autoSpaceDN w:val="0"/>
        <w:adjustRightInd w:val="0"/>
        <w:spacing w:before="120" w:after="120"/>
        <w:ind w:left="1134" w:hanging="425"/>
      </w:pPr>
      <w:r>
        <w:rPr>
          <w:rFonts w:cs="Arial"/>
        </w:rPr>
        <w:t>M</w:t>
      </w:r>
      <w:r w:rsidRPr="000B6196">
        <w:rPr>
          <w:rFonts w:cs="Arial"/>
        </w:rPr>
        <w:t xml:space="preserve">ost </w:t>
      </w:r>
      <w:r>
        <w:rPr>
          <w:rFonts w:cs="Arial"/>
        </w:rPr>
        <w:t xml:space="preserve">believe </w:t>
      </w:r>
      <w:r w:rsidRPr="000B6196">
        <w:rPr>
          <w:rFonts w:cs="Arial"/>
        </w:rPr>
        <w:t>they have an important role in the BSP</w:t>
      </w:r>
      <w:r>
        <w:rPr>
          <w:rFonts w:cs="Arial"/>
        </w:rPr>
        <w:t xml:space="preserve">, and </w:t>
      </w:r>
      <w:r w:rsidRPr="000B6196">
        <w:rPr>
          <w:rFonts w:cs="Arial"/>
        </w:rPr>
        <w:t xml:space="preserve">feel increasingly confident explaining the BSP to </w:t>
      </w:r>
      <w:r w:rsidR="00FE6801">
        <w:rPr>
          <w:rFonts w:cs="Arial"/>
        </w:rPr>
        <w:t xml:space="preserve">their </w:t>
      </w:r>
      <w:r w:rsidRPr="000B6196">
        <w:rPr>
          <w:rFonts w:cs="Arial"/>
        </w:rPr>
        <w:t>patients.</w:t>
      </w:r>
    </w:p>
    <w:p w14:paraId="14B2419D" w14:textId="77777777" w:rsidR="00E54918" w:rsidRPr="00E54918" w:rsidRDefault="00FE6801" w:rsidP="00CC5733">
      <w:pPr>
        <w:numPr>
          <w:ilvl w:val="0"/>
          <w:numId w:val="6"/>
        </w:numPr>
        <w:autoSpaceDE w:val="0"/>
        <w:autoSpaceDN w:val="0"/>
        <w:adjustRightInd w:val="0"/>
        <w:spacing w:before="120" w:after="120"/>
        <w:ind w:left="1134" w:hanging="425"/>
      </w:pPr>
      <w:r w:rsidRPr="00E54918">
        <w:rPr>
          <w:rFonts w:cs="Arial"/>
          <w:lang w:eastAsia="en-NZ"/>
        </w:rPr>
        <w:t>There is s</w:t>
      </w:r>
      <w:r w:rsidR="00B514DE" w:rsidRPr="00E54918">
        <w:rPr>
          <w:rFonts w:cs="Arial"/>
          <w:lang w:eastAsia="en-NZ"/>
        </w:rPr>
        <w:t xml:space="preserve">trong agreement that it is the role of GPs to inform BSP participants of positive </w:t>
      </w:r>
      <w:proofErr w:type="spellStart"/>
      <w:r w:rsidR="00B514DE" w:rsidRPr="00E54918">
        <w:rPr>
          <w:rFonts w:cs="Arial"/>
          <w:lang w:eastAsia="en-NZ"/>
        </w:rPr>
        <w:t>iFOBT</w:t>
      </w:r>
      <w:proofErr w:type="spellEnd"/>
      <w:r w:rsidR="00B514DE" w:rsidRPr="00E54918">
        <w:rPr>
          <w:rFonts w:cs="Arial"/>
          <w:lang w:eastAsia="en-NZ"/>
        </w:rPr>
        <w:t xml:space="preserve"> results; although </w:t>
      </w:r>
      <w:r w:rsidR="00CF2B53" w:rsidRPr="00E54918">
        <w:rPr>
          <w:rFonts w:cs="Arial"/>
          <w:lang w:eastAsia="en-NZ"/>
        </w:rPr>
        <w:t xml:space="preserve">one in 20 </w:t>
      </w:r>
      <w:r w:rsidR="00B514DE" w:rsidRPr="00E54918">
        <w:rPr>
          <w:rFonts w:cs="Arial"/>
          <w:lang w:eastAsia="en-NZ"/>
        </w:rPr>
        <w:t xml:space="preserve">continue to disagree this is not their role. </w:t>
      </w:r>
      <w:r w:rsidR="00CF2B53" w:rsidRPr="00E54918">
        <w:rPr>
          <w:rFonts w:cs="Arial"/>
          <w:lang w:eastAsia="en-NZ"/>
        </w:rPr>
        <w:t xml:space="preserve"> </w:t>
      </w:r>
    </w:p>
    <w:p w14:paraId="158BEE97" w14:textId="77777777" w:rsidR="00CF2B53" w:rsidRDefault="00CF2B53" w:rsidP="00CC5733">
      <w:pPr>
        <w:numPr>
          <w:ilvl w:val="0"/>
          <w:numId w:val="6"/>
        </w:numPr>
        <w:autoSpaceDE w:val="0"/>
        <w:autoSpaceDN w:val="0"/>
        <w:adjustRightInd w:val="0"/>
        <w:spacing w:before="120" w:after="120"/>
        <w:ind w:left="1134" w:hanging="425"/>
      </w:pPr>
      <w:r>
        <w:t>T</w:t>
      </w:r>
      <w:r w:rsidR="00B514DE" w:rsidRPr="000B6196">
        <w:t>he majority of general practice staff reported their workload</w:t>
      </w:r>
      <w:r w:rsidR="000B6196" w:rsidRPr="000B6196">
        <w:t xml:space="preserve"> </w:t>
      </w:r>
      <w:r w:rsidR="00B514DE" w:rsidRPr="000B6196">
        <w:t xml:space="preserve">increased due to the BSP, </w:t>
      </w:r>
      <w:r>
        <w:t xml:space="preserve">although the </w:t>
      </w:r>
      <w:r w:rsidR="00B514DE" w:rsidRPr="000B6196">
        <w:t>impact</w:t>
      </w:r>
      <w:r>
        <w:t xml:space="preserve"> is lower than </w:t>
      </w:r>
      <w:r w:rsidR="00B514DE" w:rsidRPr="000B6196">
        <w:t xml:space="preserve">expected </w:t>
      </w:r>
      <w:r>
        <w:t xml:space="preserve">before the Pilot commenced in 2012. </w:t>
      </w:r>
    </w:p>
    <w:p w14:paraId="344CE66E" w14:textId="77777777" w:rsidR="00CF2B53" w:rsidRDefault="00CF2B53" w:rsidP="00CF2B53">
      <w:pPr>
        <w:numPr>
          <w:ilvl w:val="0"/>
          <w:numId w:val="6"/>
        </w:numPr>
        <w:autoSpaceDE w:val="0"/>
        <w:autoSpaceDN w:val="0"/>
        <w:adjustRightInd w:val="0"/>
        <w:spacing w:before="120" w:after="120"/>
        <w:ind w:left="1134" w:hanging="425"/>
      </w:pPr>
      <w:r>
        <w:t>P</w:t>
      </w:r>
      <w:r w:rsidR="00B514DE" w:rsidRPr="000B6196">
        <w:t>erformance</w:t>
      </w:r>
      <w:r>
        <w:t xml:space="preserve"> in</w:t>
      </w:r>
      <w:r w:rsidR="00B514DE" w:rsidRPr="000B6196">
        <w:t xml:space="preserve"> delivering relevant BSP activities </w:t>
      </w:r>
      <w:r>
        <w:t>is rated fairly well.  A</w:t>
      </w:r>
      <w:r w:rsidR="00B514DE" w:rsidRPr="000B6196">
        <w:t>reas where performance was not rated as highly were referring</w:t>
      </w:r>
      <w:r w:rsidR="00B514DE" w:rsidRPr="007972D2">
        <w:t xml:space="preserve"> patients with family history of bowel cancer to the New Zealand Familial Gastrointestinal Cancer Registry, and liaising with the BSP Coordination Centre when unable to contact patients with positive </w:t>
      </w:r>
      <w:proofErr w:type="spellStart"/>
      <w:r w:rsidR="00B514DE" w:rsidRPr="007972D2">
        <w:t>iFOBT</w:t>
      </w:r>
      <w:proofErr w:type="spellEnd"/>
      <w:r w:rsidR="00B514DE" w:rsidRPr="007972D2">
        <w:t xml:space="preserve"> results.</w:t>
      </w:r>
      <w:r w:rsidR="00B514DE">
        <w:t xml:space="preserve">  </w:t>
      </w:r>
    </w:p>
    <w:p w14:paraId="0530E00F" w14:textId="77777777" w:rsidR="00C64168" w:rsidRDefault="00C64168" w:rsidP="00C64168">
      <w:pPr>
        <w:pStyle w:val="Heading2"/>
        <w:rPr>
          <w:lang w:val="en-US"/>
        </w:rPr>
      </w:pPr>
      <w:bookmarkStart w:id="62" w:name="_Toc380424714"/>
      <w:r>
        <w:rPr>
          <w:lang w:val="en-US"/>
        </w:rPr>
        <w:t>6.2</w:t>
      </w:r>
      <w:r>
        <w:rPr>
          <w:lang w:val="en-US"/>
        </w:rPr>
        <w:tab/>
      </w:r>
      <w:r w:rsidR="00BA351B">
        <w:rPr>
          <w:lang w:val="en-US"/>
        </w:rPr>
        <w:t>Description of service delivery</w:t>
      </w:r>
      <w:bookmarkEnd w:id="62"/>
      <w:r w:rsidR="000B6694">
        <w:rPr>
          <w:lang w:val="en-US"/>
        </w:rPr>
        <w:t xml:space="preserve"> </w:t>
      </w:r>
    </w:p>
    <w:p w14:paraId="3F10479C" w14:textId="115DCAB8" w:rsidR="00BA351B" w:rsidRDefault="00484A50" w:rsidP="00484A50">
      <w:pPr>
        <w:rPr>
          <w:lang w:val="en-US"/>
        </w:rPr>
      </w:pPr>
      <w:r>
        <w:rPr>
          <w:lang w:val="en-US"/>
        </w:rPr>
        <w:t>Discussion</w:t>
      </w:r>
      <w:r w:rsidR="00BA351B">
        <w:rPr>
          <w:lang w:val="en-US"/>
        </w:rPr>
        <w:t>s</w:t>
      </w:r>
      <w:r>
        <w:rPr>
          <w:lang w:val="en-US"/>
        </w:rPr>
        <w:t xml:space="preserve"> with </w:t>
      </w:r>
      <w:r w:rsidR="00BA351B">
        <w:rPr>
          <w:lang w:val="en-US"/>
        </w:rPr>
        <w:t xml:space="preserve">GPs, practice nurses and managers </w:t>
      </w:r>
      <w:r w:rsidR="00FE6801">
        <w:rPr>
          <w:lang w:val="en-US"/>
        </w:rPr>
        <w:t xml:space="preserve">across 10 general practices </w:t>
      </w:r>
      <w:r w:rsidR="00BA351B">
        <w:rPr>
          <w:lang w:val="en-US"/>
        </w:rPr>
        <w:t>in</w:t>
      </w:r>
      <w:r>
        <w:rPr>
          <w:lang w:val="en-US"/>
        </w:rPr>
        <w:t xml:space="preserve"> the 2013 immersion visit </w:t>
      </w:r>
      <w:r w:rsidR="00BA351B">
        <w:rPr>
          <w:lang w:val="en-US"/>
        </w:rPr>
        <w:t>focused on understanding how the BSP was being implemented within their practice.  Across the interviews</w:t>
      </w:r>
      <w:r w:rsidR="00347BF0">
        <w:rPr>
          <w:lang w:val="en-US"/>
        </w:rPr>
        <w:t>,</w:t>
      </w:r>
      <w:r w:rsidR="00BA351B">
        <w:rPr>
          <w:lang w:val="en-US"/>
        </w:rPr>
        <w:t xml:space="preserve"> a number of core functions emerged</w:t>
      </w:r>
      <w:r w:rsidR="00347BF0">
        <w:rPr>
          <w:lang w:val="en-US"/>
        </w:rPr>
        <w:t>,</w:t>
      </w:r>
      <w:r w:rsidR="00BA351B">
        <w:rPr>
          <w:lang w:val="en-US"/>
        </w:rPr>
        <w:t xml:space="preserve"> which align with the expected </w:t>
      </w:r>
      <w:r w:rsidR="00FE6801">
        <w:rPr>
          <w:lang w:val="en-US"/>
        </w:rPr>
        <w:t xml:space="preserve">BSP </w:t>
      </w:r>
      <w:r w:rsidR="00BA351B">
        <w:rPr>
          <w:lang w:val="en-US"/>
        </w:rPr>
        <w:t xml:space="preserve">screening pathway: </w:t>
      </w:r>
    </w:p>
    <w:p w14:paraId="6E98134C" w14:textId="77777777" w:rsidR="00BA351B" w:rsidRDefault="00BA351B" w:rsidP="00BA351B">
      <w:pPr>
        <w:pStyle w:val="Heading4"/>
        <w:rPr>
          <w:lang w:val="en-US"/>
        </w:rPr>
      </w:pPr>
      <w:r>
        <w:rPr>
          <w:lang w:val="en-US"/>
        </w:rPr>
        <w:t>P</w:t>
      </w:r>
      <w:r w:rsidR="00484A50">
        <w:rPr>
          <w:lang w:val="en-US"/>
        </w:rPr>
        <w:t xml:space="preserve">romotion </w:t>
      </w:r>
      <w:r w:rsidR="00E72EC1">
        <w:rPr>
          <w:lang w:val="en-US"/>
        </w:rPr>
        <w:t xml:space="preserve">of and education about </w:t>
      </w:r>
      <w:r w:rsidR="00484A50">
        <w:rPr>
          <w:lang w:val="en-US"/>
        </w:rPr>
        <w:t xml:space="preserve">the BSP </w:t>
      </w:r>
    </w:p>
    <w:p w14:paraId="5B292C77" w14:textId="77777777" w:rsidR="00E72EC1" w:rsidRPr="009B5662" w:rsidRDefault="00484A50" w:rsidP="00E72EC1">
      <w:pPr>
        <w:rPr>
          <w:lang w:val="en-US"/>
        </w:rPr>
      </w:pPr>
      <w:r w:rsidRPr="009B5662">
        <w:rPr>
          <w:lang w:val="en-US"/>
        </w:rPr>
        <w:t xml:space="preserve">General practice </w:t>
      </w:r>
      <w:proofErr w:type="gramStart"/>
      <w:r w:rsidRPr="009B5662">
        <w:rPr>
          <w:lang w:val="en-US"/>
        </w:rPr>
        <w:t>staff note</w:t>
      </w:r>
      <w:proofErr w:type="gramEnd"/>
      <w:r w:rsidRPr="009B5662">
        <w:rPr>
          <w:lang w:val="en-US"/>
        </w:rPr>
        <w:t xml:space="preserve"> that the </w:t>
      </w:r>
      <w:r w:rsidR="00497A19" w:rsidRPr="009B5662">
        <w:rPr>
          <w:lang w:val="en-US"/>
        </w:rPr>
        <w:t>BSP</w:t>
      </w:r>
      <w:r w:rsidRPr="009B5662">
        <w:rPr>
          <w:lang w:val="en-US"/>
        </w:rPr>
        <w:t xml:space="preserve"> is </w:t>
      </w:r>
      <w:r w:rsidR="00E72EC1" w:rsidRPr="009B5662">
        <w:rPr>
          <w:lang w:val="en-US"/>
        </w:rPr>
        <w:t>not</w:t>
      </w:r>
      <w:r w:rsidRPr="009B5662">
        <w:rPr>
          <w:lang w:val="en-US"/>
        </w:rPr>
        <w:t xml:space="preserve"> </w:t>
      </w:r>
      <w:r w:rsidR="00FE6801" w:rsidRPr="009B5662">
        <w:rPr>
          <w:lang w:val="en-US"/>
        </w:rPr>
        <w:t xml:space="preserve">actively </w:t>
      </w:r>
      <w:r w:rsidRPr="009B5662">
        <w:rPr>
          <w:lang w:val="en-US"/>
        </w:rPr>
        <w:t>promoted</w:t>
      </w:r>
      <w:r w:rsidR="00FE6801" w:rsidRPr="009B5662">
        <w:rPr>
          <w:lang w:val="en-US"/>
        </w:rPr>
        <w:t xml:space="preserve">.  Promotion tends to be opportunistic prompted by patients queries </w:t>
      </w:r>
      <w:r w:rsidR="00826B6F" w:rsidRPr="009B5662">
        <w:rPr>
          <w:lang w:val="en-US"/>
        </w:rPr>
        <w:t xml:space="preserve">on when they will receive their </w:t>
      </w:r>
      <w:r w:rsidR="00C97C7C" w:rsidRPr="009B5662">
        <w:rPr>
          <w:lang w:val="en-US"/>
        </w:rPr>
        <w:t xml:space="preserve">BSP </w:t>
      </w:r>
      <w:r w:rsidR="00826B6F" w:rsidRPr="009B5662">
        <w:rPr>
          <w:lang w:val="en-US"/>
        </w:rPr>
        <w:t xml:space="preserve">kit or </w:t>
      </w:r>
      <w:r w:rsidR="00FE6801" w:rsidRPr="009B5662">
        <w:rPr>
          <w:lang w:val="en-US"/>
        </w:rPr>
        <w:t xml:space="preserve">whether or not they should complete the test.  </w:t>
      </w:r>
      <w:r w:rsidR="00E72EC1" w:rsidRPr="009B5662">
        <w:rPr>
          <w:lang w:val="en-US"/>
        </w:rPr>
        <w:t xml:space="preserve">Those with existing health conditions </w:t>
      </w:r>
      <w:r w:rsidR="00A7635E" w:rsidRPr="009B5662">
        <w:rPr>
          <w:lang w:val="en-US"/>
        </w:rPr>
        <w:t xml:space="preserve">or other special needs </w:t>
      </w:r>
      <w:r w:rsidR="00E72EC1" w:rsidRPr="009B5662">
        <w:rPr>
          <w:lang w:val="en-US"/>
        </w:rPr>
        <w:t xml:space="preserve">were mentioned as more likely to discuss the BSP, usually when visiting their GP on other health matters.  A practice with a high Pacific patient population noted some of their patients will make an appointment to discuss whether and how to complete the BSP kit.  Most patients however complete the BSP kit without discussing any aspect with general practice staff.  </w:t>
      </w:r>
    </w:p>
    <w:p w14:paraId="559BB3C3" w14:textId="5B5F3BED" w:rsidR="00484A50" w:rsidRPr="009B5662" w:rsidRDefault="00484A50" w:rsidP="00BA351B">
      <w:pPr>
        <w:rPr>
          <w:lang w:val="en-US"/>
        </w:rPr>
      </w:pPr>
      <w:r w:rsidRPr="009B5662">
        <w:rPr>
          <w:lang w:val="en-US"/>
        </w:rPr>
        <w:lastRenderedPageBreak/>
        <w:t xml:space="preserve">The lack of active promotion reflects the </w:t>
      </w:r>
      <w:r w:rsidR="00347BF0">
        <w:rPr>
          <w:lang w:val="en-US"/>
        </w:rPr>
        <w:t xml:space="preserve">busy workload </w:t>
      </w:r>
      <w:r w:rsidR="00436414" w:rsidRPr="009B5662">
        <w:rPr>
          <w:lang w:val="en-US"/>
        </w:rPr>
        <w:t>of general practice</w:t>
      </w:r>
      <w:r w:rsidR="00436414">
        <w:rPr>
          <w:lang w:val="en-US"/>
        </w:rPr>
        <w:t xml:space="preserve"> including the demands of </w:t>
      </w:r>
      <w:r w:rsidR="004B7F3E" w:rsidRPr="00436414">
        <w:rPr>
          <w:lang w:val="en-US"/>
        </w:rPr>
        <w:t xml:space="preserve">other screening </w:t>
      </w:r>
      <w:proofErr w:type="spellStart"/>
      <w:r w:rsidR="004B7F3E" w:rsidRPr="00436414">
        <w:rPr>
          <w:lang w:val="en-US"/>
        </w:rPr>
        <w:t>programme</w:t>
      </w:r>
      <w:r w:rsidR="00436414" w:rsidRPr="00436414">
        <w:rPr>
          <w:lang w:val="en-US"/>
        </w:rPr>
        <w:t>s</w:t>
      </w:r>
      <w:proofErr w:type="spellEnd"/>
      <w:r w:rsidR="00436414">
        <w:rPr>
          <w:lang w:val="en-US"/>
        </w:rPr>
        <w:t xml:space="preserve">, </w:t>
      </w:r>
      <w:r w:rsidR="00C97C7C" w:rsidRPr="009B5662">
        <w:rPr>
          <w:lang w:val="en-US"/>
        </w:rPr>
        <w:t>and</w:t>
      </w:r>
      <w:r w:rsidR="00E72EC1" w:rsidRPr="009B5662">
        <w:rPr>
          <w:lang w:val="en-US"/>
        </w:rPr>
        <w:t xml:space="preserve"> the detailed information in the BSP communications sent </w:t>
      </w:r>
      <w:r w:rsidR="005C2839" w:rsidRPr="009B5662">
        <w:rPr>
          <w:lang w:val="en-US"/>
        </w:rPr>
        <w:t xml:space="preserve">directly </w:t>
      </w:r>
      <w:r w:rsidR="00E72EC1" w:rsidRPr="009B5662">
        <w:rPr>
          <w:lang w:val="en-US"/>
        </w:rPr>
        <w:t>to eligible</w:t>
      </w:r>
      <w:r w:rsidR="00C97C7C" w:rsidRPr="009B5662">
        <w:rPr>
          <w:lang w:val="en-US"/>
        </w:rPr>
        <w:t xml:space="preserve"> participants.</w:t>
      </w:r>
      <w:r w:rsidR="00436414">
        <w:rPr>
          <w:lang w:val="en-US"/>
        </w:rPr>
        <w:t xml:space="preserve"> </w:t>
      </w:r>
    </w:p>
    <w:p w14:paraId="514C1435" w14:textId="5B9FA978" w:rsidR="00E72EC1" w:rsidRPr="009B5662" w:rsidRDefault="00E72EC1" w:rsidP="00E72EC1">
      <w:pPr>
        <w:pStyle w:val="Quote"/>
      </w:pPr>
      <w:r w:rsidRPr="009B5662">
        <w:t>With the bowel screening issue in the media</w:t>
      </w:r>
      <w:r w:rsidR="00347BF0">
        <w:t>,</w:t>
      </w:r>
      <w:r w:rsidRPr="009B5662">
        <w:t xml:space="preserve"> we have mainly just been giving information to patients when they have been requesting it from us. Well they are very keen to know how they can get on the programme and we just explain that it goes by date of birth and name and that their time will come. They are happy with that</w:t>
      </w:r>
      <w:r w:rsidR="00347BF0">
        <w:t>,</w:t>
      </w:r>
      <w:r w:rsidRPr="009B5662">
        <w:t xml:space="preserve"> and then other times</w:t>
      </w:r>
      <w:r w:rsidR="00347BF0">
        <w:t>,</w:t>
      </w:r>
      <w:r w:rsidRPr="009B5662">
        <w:t xml:space="preserve"> people may come in when they have received the kit and they want to talk about the pros and cons of doing it and whether they should and things like that. There have been a handful of those, which I think you would expect. It’s a human nature thing that some people still want to run it by their doctor even though they have all the information in the packs. Most people are quite happy to do it and have done it. (GP)</w:t>
      </w:r>
    </w:p>
    <w:p w14:paraId="6EB02352" w14:textId="77777777" w:rsidR="002B3159" w:rsidRDefault="00DC02D2" w:rsidP="00E72EC1">
      <w:pPr>
        <w:rPr>
          <w:lang w:val="en-US"/>
        </w:rPr>
      </w:pPr>
      <w:r w:rsidRPr="009B5662">
        <w:rPr>
          <w:lang w:val="en-US"/>
        </w:rPr>
        <w:t xml:space="preserve">GPs have </w:t>
      </w:r>
      <w:r w:rsidR="002B3159" w:rsidRPr="009B5662">
        <w:rPr>
          <w:lang w:val="en-US"/>
        </w:rPr>
        <w:t xml:space="preserve">had </w:t>
      </w:r>
      <w:r w:rsidRPr="009B5662">
        <w:rPr>
          <w:lang w:val="en-US"/>
        </w:rPr>
        <w:t>success in supporting people</w:t>
      </w:r>
      <w:r w:rsidR="002B3159" w:rsidRPr="009B5662">
        <w:rPr>
          <w:lang w:val="en-US"/>
        </w:rPr>
        <w:t xml:space="preserve"> </w:t>
      </w:r>
      <w:r w:rsidR="005C2839" w:rsidRPr="009B5662">
        <w:rPr>
          <w:lang w:val="en-US"/>
        </w:rPr>
        <w:t xml:space="preserve">who had initially declined </w:t>
      </w:r>
      <w:r w:rsidRPr="009B5662">
        <w:rPr>
          <w:lang w:val="en-US"/>
        </w:rPr>
        <w:t>to take part</w:t>
      </w:r>
      <w:r w:rsidR="002B3159" w:rsidRPr="009B5662">
        <w:rPr>
          <w:lang w:val="en-US"/>
        </w:rPr>
        <w:t xml:space="preserve"> in the BSP</w:t>
      </w:r>
      <w:r w:rsidRPr="009B5662">
        <w:rPr>
          <w:lang w:val="en-US"/>
        </w:rPr>
        <w:t xml:space="preserve">.  </w:t>
      </w:r>
      <w:r w:rsidR="002B3159" w:rsidRPr="009B5662">
        <w:rPr>
          <w:lang w:val="en-US"/>
        </w:rPr>
        <w:t xml:space="preserve">The success was due to explaining the benefits of bowel screening and what it involved. </w:t>
      </w:r>
      <w:r w:rsidR="00497A19" w:rsidRPr="009B5662">
        <w:rPr>
          <w:lang w:val="en-US"/>
        </w:rPr>
        <w:t xml:space="preserve"> </w:t>
      </w:r>
      <w:r w:rsidR="002B3159" w:rsidRPr="009B5662">
        <w:rPr>
          <w:lang w:val="en-US"/>
        </w:rPr>
        <w:t xml:space="preserve">Due to the distribution process of the </w:t>
      </w:r>
      <w:r w:rsidR="006228C4" w:rsidRPr="009B5662">
        <w:rPr>
          <w:lang w:val="en-US"/>
        </w:rPr>
        <w:t xml:space="preserve">FOBT </w:t>
      </w:r>
      <w:r w:rsidR="002B3159" w:rsidRPr="009B5662">
        <w:rPr>
          <w:lang w:val="en-US"/>
        </w:rPr>
        <w:t xml:space="preserve">kit, GPs are not aware which of their patients have received and not completed </w:t>
      </w:r>
      <w:r w:rsidR="00761A03">
        <w:rPr>
          <w:lang w:val="en-US"/>
        </w:rPr>
        <w:t xml:space="preserve">a </w:t>
      </w:r>
      <w:r w:rsidR="002B3159" w:rsidRPr="009B5662">
        <w:rPr>
          <w:lang w:val="en-US"/>
        </w:rPr>
        <w:t>kit.  Consequently</w:t>
      </w:r>
      <w:r w:rsidR="00C97C7C" w:rsidRPr="009B5662">
        <w:rPr>
          <w:lang w:val="en-US"/>
        </w:rPr>
        <w:t>,</w:t>
      </w:r>
      <w:r w:rsidR="002B3159" w:rsidRPr="009B5662">
        <w:rPr>
          <w:lang w:val="en-US"/>
        </w:rPr>
        <w:t xml:space="preserve"> they are unable to discuss non-completion when they </w:t>
      </w:r>
      <w:r w:rsidR="00497A19" w:rsidRPr="009B5662">
        <w:rPr>
          <w:lang w:val="en-US"/>
        </w:rPr>
        <w:t>come</w:t>
      </w:r>
      <w:r w:rsidR="002B3159" w:rsidRPr="009B5662">
        <w:rPr>
          <w:lang w:val="en-US"/>
        </w:rPr>
        <w:t xml:space="preserve"> in for other appointments.  Most i</w:t>
      </w:r>
      <w:r w:rsidR="00E54918">
        <w:rPr>
          <w:lang w:val="en-US"/>
        </w:rPr>
        <w:t>ndicated that this was an area where</w:t>
      </w:r>
      <w:r w:rsidR="002B3159" w:rsidRPr="009B5662">
        <w:rPr>
          <w:lang w:val="en-US"/>
        </w:rPr>
        <w:t xml:space="preserve"> general practice could further</w:t>
      </w:r>
      <w:r w:rsidR="002B3159">
        <w:rPr>
          <w:lang w:val="en-US"/>
        </w:rPr>
        <w:t xml:space="preserve"> support the BSP, particularly for M</w:t>
      </w:r>
      <w:r w:rsidR="002B3159">
        <w:rPr>
          <w:rFonts w:cs="Arial"/>
          <w:lang w:val="en-US"/>
        </w:rPr>
        <w:t>ā</w:t>
      </w:r>
      <w:r w:rsidR="002B3159">
        <w:rPr>
          <w:lang w:val="en-US"/>
        </w:rPr>
        <w:t>ori and Pacific people eligible to take part.</w:t>
      </w:r>
    </w:p>
    <w:p w14:paraId="7647FA78" w14:textId="77777777" w:rsidR="002B3159" w:rsidRDefault="00DC02D2" w:rsidP="00E72EC1">
      <w:pPr>
        <w:rPr>
          <w:lang w:val="en-US"/>
        </w:rPr>
      </w:pPr>
      <w:r w:rsidRPr="00BA351B">
        <w:rPr>
          <w:lang w:val="en-US"/>
        </w:rPr>
        <w:t xml:space="preserve">GPs </w:t>
      </w:r>
      <w:r w:rsidR="002B3159">
        <w:rPr>
          <w:lang w:val="en-US"/>
        </w:rPr>
        <w:t xml:space="preserve">have also supported BSP participants with positive </w:t>
      </w:r>
      <w:proofErr w:type="spellStart"/>
      <w:r w:rsidR="002B3159">
        <w:rPr>
          <w:lang w:val="en-US"/>
        </w:rPr>
        <w:t>iFOBT</w:t>
      </w:r>
      <w:proofErr w:type="spellEnd"/>
      <w:r w:rsidR="002B3159">
        <w:rPr>
          <w:lang w:val="en-US"/>
        </w:rPr>
        <w:t xml:space="preserve"> who were reluctant to have a colonoscopy to complete this test.  </w:t>
      </w:r>
    </w:p>
    <w:p w14:paraId="4260CD32" w14:textId="77777777" w:rsidR="002B3159" w:rsidRDefault="002B3159" w:rsidP="002B3159">
      <w:pPr>
        <w:pStyle w:val="Quote"/>
      </w:pPr>
      <w:r>
        <w:t xml:space="preserve">A couple of patients said they didn’t want to do it and when they came for something else I explained what it was and then they chose to do it. So that might be an area that we could improve, there will be people who decline who maybe don’t understand the practicality of it because it just comes in the mail. I guess there will be people who work it out but my feeling is that if they’re non-responders then maybe it’s time to let the primary physician know so that we could address that. One patient I had took the test and it came out positive and when it came to her having a colonoscopy she turned around and cancelled it, but she came here and I encouraged her to do it and she did. </w:t>
      </w:r>
      <w:r w:rsidR="002F75EB">
        <w:t>(GP)</w:t>
      </w:r>
    </w:p>
    <w:p w14:paraId="16ACDDE5" w14:textId="77777777" w:rsidR="00BA351B" w:rsidRPr="00BA351B" w:rsidRDefault="00BA351B" w:rsidP="00BA351B">
      <w:pPr>
        <w:pStyle w:val="Heading4"/>
        <w:rPr>
          <w:lang w:val="en-US"/>
        </w:rPr>
      </w:pPr>
      <w:r>
        <w:rPr>
          <w:lang w:val="en-US"/>
        </w:rPr>
        <w:t xml:space="preserve">Informing participants of positive </w:t>
      </w:r>
      <w:proofErr w:type="spellStart"/>
      <w:r>
        <w:rPr>
          <w:lang w:val="en-US"/>
        </w:rPr>
        <w:t>iFOBT</w:t>
      </w:r>
      <w:proofErr w:type="spellEnd"/>
      <w:r>
        <w:rPr>
          <w:lang w:val="en-US"/>
        </w:rPr>
        <w:t xml:space="preserve"> results </w:t>
      </w:r>
    </w:p>
    <w:p w14:paraId="00C94ECC" w14:textId="6F8AC956" w:rsidR="00C215A7" w:rsidRPr="009B5662" w:rsidRDefault="004C466A" w:rsidP="00497A19">
      <w:pPr>
        <w:rPr>
          <w:lang w:val="en-US"/>
        </w:rPr>
      </w:pPr>
      <w:r w:rsidRPr="009B5662">
        <w:rPr>
          <w:lang w:val="en-US"/>
        </w:rPr>
        <w:t xml:space="preserve">Informing BSP participants when they have a positive </w:t>
      </w:r>
      <w:proofErr w:type="spellStart"/>
      <w:r w:rsidRPr="009B5662">
        <w:rPr>
          <w:lang w:val="en-US"/>
        </w:rPr>
        <w:t>iFOBT</w:t>
      </w:r>
      <w:proofErr w:type="spellEnd"/>
      <w:r w:rsidR="00497A19" w:rsidRPr="009B5662">
        <w:rPr>
          <w:lang w:val="en-US"/>
        </w:rPr>
        <w:t xml:space="preserve"> is </w:t>
      </w:r>
      <w:proofErr w:type="spellStart"/>
      <w:r w:rsidR="00497A19" w:rsidRPr="009B5662">
        <w:rPr>
          <w:lang w:val="en-US"/>
        </w:rPr>
        <w:t>recognised</w:t>
      </w:r>
      <w:proofErr w:type="spellEnd"/>
      <w:r w:rsidR="00497A19" w:rsidRPr="009B5662">
        <w:rPr>
          <w:lang w:val="en-US"/>
        </w:rPr>
        <w:t xml:space="preserve"> as a key role for general practice.  GPs receive the results via e</w:t>
      </w:r>
      <w:r w:rsidR="0009207F">
        <w:rPr>
          <w:lang w:val="en-US"/>
        </w:rPr>
        <w:t>-referrals</w:t>
      </w:r>
      <w:r w:rsidR="00497A19" w:rsidRPr="009B5662">
        <w:rPr>
          <w:lang w:val="en-US"/>
        </w:rPr>
        <w:t xml:space="preserve"> from </w:t>
      </w:r>
      <w:proofErr w:type="spellStart"/>
      <w:r w:rsidR="00497A19" w:rsidRPr="009B5662">
        <w:rPr>
          <w:lang w:val="en-US"/>
        </w:rPr>
        <w:t>HealthLink</w:t>
      </w:r>
      <w:proofErr w:type="spellEnd"/>
      <w:r w:rsidR="00497A19" w:rsidRPr="009B5662">
        <w:rPr>
          <w:lang w:val="en-US"/>
        </w:rPr>
        <w:t xml:space="preserve"> which </w:t>
      </w:r>
      <w:r w:rsidR="008F08E1" w:rsidRPr="009B5662">
        <w:rPr>
          <w:lang w:val="en-US"/>
        </w:rPr>
        <w:t xml:space="preserve">across the </w:t>
      </w:r>
      <w:r w:rsidR="009719A4">
        <w:rPr>
          <w:lang w:val="en-US"/>
        </w:rPr>
        <w:t xml:space="preserve">ten </w:t>
      </w:r>
      <w:r w:rsidR="008F08E1" w:rsidRPr="009B5662">
        <w:rPr>
          <w:lang w:val="en-US"/>
        </w:rPr>
        <w:t xml:space="preserve">general practices interviewed </w:t>
      </w:r>
      <w:r w:rsidR="00497A19" w:rsidRPr="009B5662">
        <w:rPr>
          <w:lang w:val="en-US"/>
        </w:rPr>
        <w:t>triggers one of the following f</w:t>
      </w:r>
      <w:r w:rsidR="00C215A7" w:rsidRPr="009B5662">
        <w:rPr>
          <w:lang w:val="en-US"/>
        </w:rPr>
        <w:t>our models of service delivery</w:t>
      </w:r>
      <w:r w:rsidR="008F08E1" w:rsidRPr="009B5662">
        <w:rPr>
          <w:lang w:val="en-US"/>
        </w:rPr>
        <w:t>:</w:t>
      </w:r>
      <w:r w:rsidR="00C215A7" w:rsidRPr="009B5662">
        <w:rPr>
          <w:lang w:val="en-US"/>
        </w:rPr>
        <w:t xml:space="preserve"> </w:t>
      </w:r>
    </w:p>
    <w:p w14:paraId="45E088DA" w14:textId="4CF8CA8F" w:rsidR="00C215A7" w:rsidRPr="009B5662" w:rsidRDefault="00C215A7" w:rsidP="00CC5733">
      <w:pPr>
        <w:numPr>
          <w:ilvl w:val="0"/>
          <w:numId w:val="15"/>
        </w:numPr>
        <w:autoSpaceDE w:val="0"/>
        <w:autoSpaceDN w:val="0"/>
        <w:adjustRightInd w:val="0"/>
        <w:spacing w:before="120" w:after="120"/>
        <w:rPr>
          <w:lang w:val="en-US"/>
        </w:rPr>
      </w:pPr>
      <w:r w:rsidRPr="009B5662">
        <w:rPr>
          <w:lang w:val="en-US"/>
        </w:rPr>
        <w:t xml:space="preserve">Nurse calls and informs participant of the positive </w:t>
      </w:r>
      <w:proofErr w:type="spellStart"/>
      <w:r w:rsidRPr="009B5662">
        <w:rPr>
          <w:lang w:val="en-US"/>
        </w:rPr>
        <w:t>iFOBT</w:t>
      </w:r>
      <w:proofErr w:type="spellEnd"/>
      <w:r w:rsidRPr="009B5662">
        <w:rPr>
          <w:lang w:val="en-US"/>
        </w:rPr>
        <w:t xml:space="preserve"> results and </w:t>
      </w:r>
      <w:r w:rsidRPr="009B5662">
        <w:rPr>
          <w:u w:val="single"/>
          <w:lang w:val="en-US"/>
        </w:rPr>
        <w:t>always</w:t>
      </w:r>
      <w:r w:rsidRPr="009B5662">
        <w:rPr>
          <w:lang w:val="en-US"/>
        </w:rPr>
        <w:t xml:space="preserve"> makes an appointment for participant to have a consultation with the GP (</w:t>
      </w:r>
      <w:r w:rsidR="009719A4">
        <w:rPr>
          <w:lang w:val="en-US"/>
        </w:rPr>
        <w:t>four</w:t>
      </w:r>
      <w:r w:rsidR="009719A4" w:rsidRPr="009B5662">
        <w:rPr>
          <w:lang w:val="en-US"/>
        </w:rPr>
        <w:t xml:space="preserve"> </w:t>
      </w:r>
      <w:r w:rsidRPr="009B5662">
        <w:rPr>
          <w:lang w:val="en-US"/>
        </w:rPr>
        <w:t xml:space="preserve">out of the </w:t>
      </w:r>
      <w:r w:rsidR="009719A4">
        <w:rPr>
          <w:lang w:val="en-US"/>
        </w:rPr>
        <w:t xml:space="preserve">ten </w:t>
      </w:r>
      <w:r w:rsidRPr="009B5662">
        <w:rPr>
          <w:lang w:val="en-US"/>
        </w:rPr>
        <w:t>practices)</w:t>
      </w:r>
      <w:r w:rsidR="00497A19" w:rsidRPr="009B5662">
        <w:rPr>
          <w:lang w:val="en-US"/>
        </w:rPr>
        <w:t xml:space="preserve">.  Informing BSP participants of test </w:t>
      </w:r>
      <w:r w:rsidR="00E54918">
        <w:rPr>
          <w:lang w:val="en-US"/>
        </w:rPr>
        <w:t>results</w:t>
      </w:r>
      <w:r w:rsidR="00497A19" w:rsidRPr="009B5662">
        <w:rPr>
          <w:lang w:val="en-US"/>
        </w:rPr>
        <w:t xml:space="preserve"> tends to be undertake</w:t>
      </w:r>
      <w:r w:rsidR="00BA2B81" w:rsidRPr="009B5662">
        <w:rPr>
          <w:lang w:val="en-US"/>
        </w:rPr>
        <w:t>n</w:t>
      </w:r>
      <w:r w:rsidR="00497A19" w:rsidRPr="009B5662">
        <w:rPr>
          <w:lang w:val="en-US"/>
        </w:rPr>
        <w:t xml:space="preserve"> with </w:t>
      </w:r>
      <w:r w:rsidR="00BA2B81" w:rsidRPr="009B5662">
        <w:rPr>
          <w:lang w:val="en-US"/>
        </w:rPr>
        <w:t>the practice nurses</w:t>
      </w:r>
      <w:r w:rsidR="005C2839" w:rsidRPr="009B5662">
        <w:rPr>
          <w:lang w:val="en-US"/>
        </w:rPr>
        <w:t>’</w:t>
      </w:r>
      <w:r w:rsidR="00BA2B81" w:rsidRPr="009B5662">
        <w:rPr>
          <w:lang w:val="en-US"/>
        </w:rPr>
        <w:t xml:space="preserve"> </w:t>
      </w:r>
      <w:r w:rsidR="00497A19" w:rsidRPr="009B5662">
        <w:rPr>
          <w:lang w:val="en-US"/>
        </w:rPr>
        <w:t>other recalls.</w:t>
      </w:r>
    </w:p>
    <w:p w14:paraId="51EEFB7F" w14:textId="60F1CCEC" w:rsidR="00C215A7" w:rsidRPr="009B5662" w:rsidRDefault="00C215A7" w:rsidP="00CC5733">
      <w:pPr>
        <w:numPr>
          <w:ilvl w:val="0"/>
          <w:numId w:val="15"/>
        </w:numPr>
        <w:autoSpaceDE w:val="0"/>
        <w:autoSpaceDN w:val="0"/>
        <w:adjustRightInd w:val="0"/>
        <w:spacing w:before="120" w:after="120"/>
        <w:rPr>
          <w:lang w:val="en-US"/>
        </w:rPr>
      </w:pPr>
      <w:r w:rsidRPr="009B5662">
        <w:rPr>
          <w:lang w:val="en-US"/>
        </w:rPr>
        <w:t xml:space="preserve">Nurse calls and informs participant of the positive </w:t>
      </w:r>
      <w:proofErr w:type="spellStart"/>
      <w:r w:rsidRPr="009B5662">
        <w:rPr>
          <w:lang w:val="en-US"/>
        </w:rPr>
        <w:t>iFOBT</w:t>
      </w:r>
      <w:proofErr w:type="spellEnd"/>
      <w:r w:rsidRPr="009B5662">
        <w:rPr>
          <w:lang w:val="en-US"/>
        </w:rPr>
        <w:t xml:space="preserve"> results and </w:t>
      </w:r>
      <w:r w:rsidRPr="009B5662">
        <w:rPr>
          <w:u w:val="single"/>
          <w:lang w:val="en-US"/>
        </w:rPr>
        <w:t>if deemed necessary</w:t>
      </w:r>
      <w:r w:rsidRPr="009B5662">
        <w:rPr>
          <w:lang w:val="en-US"/>
        </w:rPr>
        <w:t xml:space="preserve"> </w:t>
      </w:r>
      <w:r w:rsidR="00497A19" w:rsidRPr="009B5662">
        <w:rPr>
          <w:lang w:val="en-US"/>
        </w:rPr>
        <w:t xml:space="preserve">the nurse makes </w:t>
      </w:r>
      <w:r w:rsidRPr="009B5662">
        <w:rPr>
          <w:lang w:val="en-US"/>
        </w:rPr>
        <w:t xml:space="preserve">an appointment for </w:t>
      </w:r>
      <w:r w:rsidR="008F08E1" w:rsidRPr="009B5662">
        <w:rPr>
          <w:lang w:val="en-US"/>
        </w:rPr>
        <w:t xml:space="preserve">the </w:t>
      </w:r>
      <w:r w:rsidRPr="009B5662">
        <w:rPr>
          <w:lang w:val="en-US"/>
        </w:rPr>
        <w:t>participant to have a consultation with the GP (</w:t>
      </w:r>
      <w:r w:rsidR="009719A4">
        <w:rPr>
          <w:lang w:val="en-US"/>
        </w:rPr>
        <w:t>two</w:t>
      </w:r>
      <w:r w:rsidR="009719A4" w:rsidRPr="009B5662">
        <w:rPr>
          <w:lang w:val="en-US"/>
        </w:rPr>
        <w:t xml:space="preserve"> </w:t>
      </w:r>
      <w:r w:rsidRPr="009B5662">
        <w:rPr>
          <w:lang w:val="en-US"/>
        </w:rPr>
        <w:t xml:space="preserve">out of the </w:t>
      </w:r>
      <w:r w:rsidR="009719A4">
        <w:rPr>
          <w:lang w:val="en-US"/>
        </w:rPr>
        <w:t>ten</w:t>
      </w:r>
      <w:r w:rsidR="009719A4" w:rsidRPr="009B5662">
        <w:rPr>
          <w:lang w:val="en-US"/>
        </w:rPr>
        <w:t xml:space="preserve"> </w:t>
      </w:r>
      <w:r w:rsidRPr="009B5662">
        <w:rPr>
          <w:lang w:val="en-US"/>
        </w:rPr>
        <w:t>practices)</w:t>
      </w:r>
    </w:p>
    <w:p w14:paraId="58331672" w14:textId="77777777" w:rsidR="00C215A7" w:rsidRPr="009B5662" w:rsidRDefault="00C215A7" w:rsidP="0077722F">
      <w:pPr>
        <w:keepNext/>
        <w:keepLines/>
        <w:numPr>
          <w:ilvl w:val="0"/>
          <w:numId w:val="15"/>
        </w:numPr>
        <w:autoSpaceDE w:val="0"/>
        <w:autoSpaceDN w:val="0"/>
        <w:adjustRightInd w:val="0"/>
        <w:spacing w:before="120" w:after="120"/>
        <w:ind w:left="1491" w:hanging="357"/>
        <w:rPr>
          <w:lang w:val="en-US"/>
        </w:rPr>
      </w:pPr>
      <w:r w:rsidRPr="009B5662">
        <w:rPr>
          <w:lang w:val="en-US"/>
        </w:rPr>
        <w:lastRenderedPageBreak/>
        <w:t xml:space="preserve">GP calls all the </w:t>
      </w:r>
      <w:r w:rsidR="00497A19" w:rsidRPr="009B5662">
        <w:rPr>
          <w:lang w:val="en-US"/>
        </w:rPr>
        <w:t xml:space="preserve">participants with positive </w:t>
      </w:r>
      <w:r w:rsidR="005C2839" w:rsidRPr="009B5662">
        <w:rPr>
          <w:lang w:val="en-US"/>
        </w:rPr>
        <w:t xml:space="preserve">result </w:t>
      </w:r>
      <w:r w:rsidRPr="009B5662">
        <w:rPr>
          <w:lang w:val="en-US"/>
        </w:rPr>
        <w:t>and discusses the results over the phone. If deemed appropriate the participa</w:t>
      </w:r>
      <w:r w:rsidR="00497A19" w:rsidRPr="009B5662">
        <w:rPr>
          <w:lang w:val="en-US"/>
        </w:rPr>
        <w:t>nt is invited to have a face-to-</w:t>
      </w:r>
      <w:r w:rsidRPr="009B5662">
        <w:rPr>
          <w:lang w:val="en-US"/>
        </w:rPr>
        <w:t xml:space="preserve">face consult. </w:t>
      </w:r>
      <w:r w:rsidR="00497A19" w:rsidRPr="009B5662">
        <w:rPr>
          <w:lang w:val="en-US"/>
        </w:rPr>
        <w:t xml:space="preserve"> </w:t>
      </w:r>
      <w:proofErr w:type="gramStart"/>
      <w:r w:rsidR="00497A19" w:rsidRPr="009B5662">
        <w:rPr>
          <w:lang w:val="en-US"/>
        </w:rPr>
        <w:t>Participants</w:t>
      </w:r>
      <w:proofErr w:type="gramEnd"/>
      <w:r w:rsidR="00497A19" w:rsidRPr="009B5662">
        <w:rPr>
          <w:lang w:val="en-US"/>
        </w:rPr>
        <w:t xml:space="preserve"> who are particularly anxious, not kee</w:t>
      </w:r>
      <w:r w:rsidR="008F08E1" w:rsidRPr="009B5662">
        <w:rPr>
          <w:lang w:val="en-US"/>
        </w:rPr>
        <w:t>n to have a colonoscopy or have</w:t>
      </w:r>
      <w:r w:rsidR="00497A19" w:rsidRPr="009B5662">
        <w:rPr>
          <w:lang w:val="en-US"/>
        </w:rPr>
        <w:t xml:space="preserve"> other existing </w:t>
      </w:r>
      <w:r w:rsidR="005C2839" w:rsidRPr="009B5662">
        <w:rPr>
          <w:lang w:val="en-US"/>
        </w:rPr>
        <w:t xml:space="preserve">health </w:t>
      </w:r>
      <w:r w:rsidR="00497A19" w:rsidRPr="009B5662">
        <w:rPr>
          <w:lang w:val="en-US"/>
        </w:rPr>
        <w:t>conditions are more likely to be</w:t>
      </w:r>
      <w:r w:rsidR="00BA2B81" w:rsidRPr="009B5662">
        <w:rPr>
          <w:lang w:val="en-US"/>
        </w:rPr>
        <w:t xml:space="preserve"> invited in for a face-to-face consult.</w:t>
      </w:r>
    </w:p>
    <w:p w14:paraId="3AF0EF0D" w14:textId="77777777" w:rsidR="00497A19" w:rsidRPr="009B5662" w:rsidRDefault="00497A19" w:rsidP="00CC5733">
      <w:pPr>
        <w:numPr>
          <w:ilvl w:val="0"/>
          <w:numId w:val="15"/>
        </w:numPr>
        <w:autoSpaceDE w:val="0"/>
        <w:autoSpaceDN w:val="0"/>
        <w:adjustRightInd w:val="0"/>
        <w:spacing w:before="120" w:after="120"/>
        <w:rPr>
          <w:lang w:val="en-US"/>
        </w:rPr>
      </w:pPr>
      <w:r w:rsidRPr="009B5662">
        <w:rPr>
          <w:lang w:val="en-US"/>
        </w:rPr>
        <w:t>A mixed in</w:t>
      </w:r>
      <w:r w:rsidR="008F08E1" w:rsidRPr="009B5662">
        <w:rPr>
          <w:lang w:val="en-US"/>
        </w:rPr>
        <w:t>-</w:t>
      </w:r>
      <w:r w:rsidRPr="009B5662">
        <w:rPr>
          <w:lang w:val="en-US"/>
        </w:rPr>
        <w:t>house model that is delivered according to the preferences of GPs within the practice (three practices).  For example, the nurse calls</w:t>
      </w:r>
      <w:r w:rsidR="005C2839" w:rsidRPr="009B5662">
        <w:rPr>
          <w:lang w:val="en-US"/>
        </w:rPr>
        <w:t xml:space="preserve"> to inform the</w:t>
      </w:r>
      <w:r w:rsidRPr="009B5662">
        <w:rPr>
          <w:lang w:val="en-US"/>
        </w:rPr>
        <w:t xml:space="preserve"> participant of </w:t>
      </w:r>
      <w:r w:rsidR="008F08E1" w:rsidRPr="009B5662">
        <w:rPr>
          <w:lang w:val="en-US"/>
        </w:rPr>
        <w:t xml:space="preserve">their </w:t>
      </w:r>
      <w:r w:rsidRPr="009B5662">
        <w:rPr>
          <w:lang w:val="en-US"/>
        </w:rPr>
        <w:t>result and makes an appointment with the GP or the GP calls to inform of results and will only see the participant if they deem it necessary</w:t>
      </w:r>
      <w:r w:rsidR="00BA2B81" w:rsidRPr="009B5662">
        <w:rPr>
          <w:lang w:val="en-US"/>
        </w:rPr>
        <w:t>.</w:t>
      </w:r>
    </w:p>
    <w:p w14:paraId="480FA52E" w14:textId="18E70AAE" w:rsidR="005C2839" w:rsidRPr="009B5662" w:rsidRDefault="00BA2B81" w:rsidP="002E0264">
      <w:pPr>
        <w:rPr>
          <w:lang w:val="en-US"/>
        </w:rPr>
      </w:pPr>
      <w:r w:rsidRPr="009B5662">
        <w:rPr>
          <w:lang w:val="en-US"/>
        </w:rPr>
        <w:t xml:space="preserve">All interviewed are aware they have </w:t>
      </w:r>
      <w:r w:rsidR="00497A19" w:rsidRPr="009B5662">
        <w:rPr>
          <w:lang w:val="en-US"/>
        </w:rPr>
        <w:t xml:space="preserve">to </w:t>
      </w:r>
      <w:r w:rsidR="00375A28">
        <w:rPr>
          <w:lang w:val="en-US"/>
        </w:rPr>
        <w:t>refer</w:t>
      </w:r>
      <w:r w:rsidR="00497A19" w:rsidRPr="009B5662">
        <w:rPr>
          <w:lang w:val="en-US"/>
        </w:rPr>
        <w:t xml:space="preserve"> </w:t>
      </w:r>
      <w:r w:rsidRPr="009B5662">
        <w:rPr>
          <w:lang w:val="en-US"/>
        </w:rPr>
        <w:t xml:space="preserve">BSP </w:t>
      </w:r>
      <w:r w:rsidR="00497A19" w:rsidRPr="009B5662">
        <w:rPr>
          <w:lang w:val="en-US"/>
        </w:rPr>
        <w:t xml:space="preserve">participants </w:t>
      </w:r>
      <w:r w:rsidRPr="009B5662">
        <w:rPr>
          <w:lang w:val="en-US"/>
        </w:rPr>
        <w:t xml:space="preserve">of a positive </w:t>
      </w:r>
      <w:proofErr w:type="spellStart"/>
      <w:r w:rsidRPr="009B5662">
        <w:rPr>
          <w:lang w:val="en-US"/>
        </w:rPr>
        <w:t>iFOBT</w:t>
      </w:r>
      <w:proofErr w:type="spellEnd"/>
      <w:r w:rsidRPr="009B5662">
        <w:rPr>
          <w:lang w:val="en-US"/>
        </w:rPr>
        <w:t xml:space="preserve"> result </w:t>
      </w:r>
      <w:r w:rsidR="00497A19" w:rsidRPr="009B5662">
        <w:rPr>
          <w:lang w:val="en-US"/>
        </w:rPr>
        <w:t xml:space="preserve">within </w:t>
      </w:r>
      <w:r w:rsidR="009719A4">
        <w:rPr>
          <w:lang w:val="en-US"/>
        </w:rPr>
        <w:t>ten</w:t>
      </w:r>
      <w:r w:rsidR="009719A4" w:rsidRPr="009B5662">
        <w:rPr>
          <w:lang w:val="en-US"/>
        </w:rPr>
        <w:t xml:space="preserve"> </w:t>
      </w:r>
      <w:r w:rsidR="00497A19" w:rsidRPr="009B5662">
        <w:rPr>
          <w:lang w:val="en-US"/>
        </w:rPr>
        <w:t xml:space="preserve">days of receiving the results.  </w:t>
      </w:r>
      <w:proofErr w:type="gramStart"/>
      <w:r w:rsidR="00497A19" w:rsidRPr="009B5662">
        <w:rPr>
          <w:lang w:val="en-US"/>
        </w:rPr>
        <w:t xml:space="preserve">Perceptions on the </w:t>
      </w:r>
      <w:r w:rsidR="009719A4">
        <w:rPr>
          <w:lang w:val="en-US"/>
        </w:rPr>
        <w:t>ten</w:t>
      </w:r>
      <w:r w:rsidR="009719A4" w:rsidRPr="009B5662">
        <w:rPr>
          <w:lang w:val="en-US"/>
        </w:rPr>
        <w:t xml:space="preserve"> </w:t>
      </w:r>
      <w:r w:rsidR="00497A19" w:rsidRPr="009B5662">
        <w:rPr>
          <w:lang w:val="en-US"/>
        </w:rPr>
        <w:t xml:space="preserve">day window </w:t>
      </w:r>
      <w:r w:rsidRPr="009B5662">
        <w:rPr>
          <w:lang w:val="en-US"/>
        </w:rPr>
        <w:t>i</w:t>
      </w:r>
      <w:r w:rsidR="00497A19" w:rsidRPr="009B5662">
        <w:rPr>
          <w:lang w:val="en-US"/>
        </w:rPr>
        <w:t>s</w:t>
      </w:r>
      <w:proofErr w:type="gramEnd"/>
      <w:r w:rsidR="00497A19" w:rsidRPr="009B5662">
        <w:rPr>
          <w:lang w:val="en-US"/>
        </w:rPr>
        <w:t xml:space="preserve"> mixed with </w:t>
      </w:r>
      <w:r w:rsidRPr="009B5662">
        <w:rPr>
          <w:lang w:val="en-US"/>
        </w:rPr>
        <w:t xml:space="preserve">some feeling the timeframe is manageable as they are able to inform </w:t>
      </w:r>
      <w:r w:rsidR="008F08E1" w:rsidRPr="009B5662">
        <w:rPr>
          <w:lang w:val="en-US"/>
        </w:rPr>
        <w:t xml:space="preserve">participants </w:t>
      </w:r>
      <w:r w:rsidR="005C2839" w:rsidRPr="009B5662">
        <w:rPr>
          <w:lang w:val="en-US"/>
        </w:rPr>
        <w:t xml:space="preserve">within </w:t>
      </w:r>
      <w:r w:rsidRPr="009B5662">
        <w:rPr>
          <w:lang w:val="en-US"/>
        </w:rPr>
        <w:t xml:space="preserve">two to three days. </w:t>
      </w:r>
      <w:r w:rsidR="008F08E1" w:rsidRPr="009B5662">
        <w:rPr>
          <w:lang w:val="en-US"/>
        </w:rPr>
        <w:t xml:space="preserve"> </w:t>
      </w:r>
      <w:r w:rsidRPr="009B5662">
        <w:rPr>
          <w:lang w:val="en-US"/>
        </w:rPr>
        <w:t xml:space="preserve">In contrast others feel that </w:t>
      </w:r>
      <w:r w:rsidR="009719A4">
        <w:rPr>
          <w:lang w:val="en-US"/>
        </w:rPr>
        <w:t>ten</w:t>
      </w:r>
      <w:r w:rsidR="009719A4" w:rsidRPr="009B5662">
        <w:rPr>
          <w:lang w:val="en-US"/>
        </w:rPr>
        <w:t xml:space="preserve"> </w:t>
      </w:r>
      <w:r w:rsidRPr="009B5662">
        <w:rPr>
          <w:lang w:val="en-US"/>
        </w:rPr>
        <w:t>days is too short particularl</w:t>
      </w:r>
      <w:r w:rsidR="005C2839" w:rsidRPr="009B5662">
        <w:rPr>
          <w:lang w:val="en-US"/>
        </w:rPr>
        <w:t xml:space="preserve">y </w:t>
      </w:r>
      <w:r w:rsidR="00E54918">
        <w:rPr>
          <w:lang w:val="en-US"/>
        </w:rPr>
        <w:t xml:space="preserve">for </w:t>
      </w:r>
      <w:r w:rsidR="005C2839" w:rsidRPr="009B5662">
        <w:rPr>
          <w:lang w:val="en-US"/>
        </w:rPr>
        <w:t xml:space="preserve">those practices </w:t>
      </w:r>
      <w:r w:rsidR="00881638">
        <w:rPr>
          <w:lang w:val="en-US"/>
        </w:rPr>
        <w:t>with</w:t>
      </w:r>
      <w:r w:rsidR="005C2839" w:rsidRPr="009B5662">
        <w:rPr>
          <w:lang w:val="en-US"/>
        </w:rPr>
        <w:t xml:space="preserve"> </w:t>
      </w:r>
      <w:r w:rsidR="00881638" w:rsidRPr="009B5662">
        <w:rPr>
          <w:lang w:val="en-US"/>
        </w:rPr>
        <w:t>patients</w:t>
      </w:r>
      <w:r w:rsidR="00881638">
        <w:rPr>
          <w:lang w:val="en-US"/>
        </w:rPr>
        <w:t xml:space="preserve"> who are challenging to contact due to their change of address or phone</w:t>
      </w:r>
      <w:r w:rsidRPr="009B5662">
        <w:rPr>
          <w:lang w:val="en-US"/>
        </w:rPr>
        <w:t xml:space="preserve">.  </w:t>
      </w:r>
    </w:p>
    <w:p w14:paraId="1B40BF4A" w14:textId="454853A6" w:rsidR="003D7A76" w:rsidRDefault="00BA2B81" w:rsidP="002E0264">
      <w:r>
        <w:rPr>
          <w:lang w:val="en-US"/>
        </w:rPr>
        <w:t>All practices used a range of standard recall mechanisms to inform participants of their results including</w:t>
      </w:r>
      <w:r w:rsidR="002E0264">
        <w:rPr>
          <w:lang w:val="en-US"/>
        </w:rPr>
        <w:t xml:space="preserve"> m</w:t>
      </w:r>
      <w:proofErr w:type="spellStart"/>
      <w:r w:rsidR="002E0264">
        <w:t>ultiple</w:t>
      </w:r>
      <w:proofErr w:type="spellEnd"/>
      <w:r w:rsidR="002E0264">
        <w:t xml:space="preserve"> calls to land and mobile phones, and t</w:t>
      </w:r>
      <w:r w:rsidR="003D7A76" w:rsidRPr="00BA2B81">
        <w:t>ext</w:t>
      </w:r>
      <w:r w:rsidR="002E0264">
        <w:t>s</w:t>
      </w:r>
      <w:r w:rsidR="003D7A76" w:rsidRPr="00BA2B81">
        <w:t xml:space="preserve"> to inform </w:t>
      </w:r>
      <w:r w:rsidR="002E0264">
        <w:t xml:space="preserve">participants that their </w:t>
      </w:r>
      <w:r w:rsidR="003D7A76" w:rsidRPr="00BA2B81">
        <w:t xml:space="preserve">results </w:t>
      </w:r>
      <w:r w:rsidR="002E0264">
        <w:t xml:space="preserve">are </w:t>
      </w:r>
      <w:r w:rsidR="003D7A76" w:rsidRPr="00BA2B81">
        <w:t xml:space="preserve">back and </w:t>
      </w:r>
      <w:r w:rsidR="002E0264">
        <w:t xml:space="preserve">to contact the practice.  </w:t>
      </w:r>
      <w:r w:rsidR="003D7A76" w:rsidRPr="00BA2B81">
        <w:t xml:space="preserve">In one practice where patients </w:t>
      </w:r>
      <w:r w:rsidR="008F08E1">
        <w:t xml:space="preserve">are mobile and </w:t>
      </w:r>
      <w:r w:rsidR="003D7A76" w:rsidRPr="00BA2B81">
        <w:t>have high needs</w:t>
      </w:r>
      <w:r w:rsidR="009719A4">
        <w:t>,</w:t>
      </w:r>
      <w:r w:rsidR="003D7A76" w:rsidRPr="00BA2B81">
        <w:t xml:space="preserve"> there is </w:t>
      </w:r>
      <w:r w:rsidR="008F08E1">
        <w:t>an escalating process of follow-</w:t>
      </w:r>
      <w:r w:rsidR="002E0264">
        <w:t xml:space="preserve">up </w:t>
      </w:r>
      <w:r w:rsidR="003D7A76" w:rsidRPr="00BA2B81">
        <w:t>including u</w:t>
      </w:r>
      <w:r w:rsidR="008F08E1">
        <w:t>sing a family tree of contact</w:t>
      </w:r>
      <w:r w:rsidR="005C2839">
        <w:t>s to</w:t>
      </w:r>
      <w:r w:rsidR="003D7A76" w:rsidRPr="00BA2B81">
        <w:t xml:space="preserve"> other family members and </w:t>
      </w:r>
      <w:r w:rsidR="002E0264">
        <w:t>in the end</w:t>
      </w:r>
      <w:r w:rsidR="009719A4">
        <w:t>,</w:t>
      </w:r>
      <w:r w:rsidR="002E0264">
        <w:t xml:space="preserve"> </w:t>
      </w:r>
      <w:r w:rsidR="003D7A76" w:rsidRPr="00BA2B81">
        <w:t>going to the</w:t>
      </w:r>
      <w:r w:rsidR="002E0264">
        <w:t xml:space="preserve"> participant’s</w:t>
      </w:r>
      <w:r w:rsidR="003D7A76" w:rsidRPr="00BA2B81">
        <w:t xml:space="preserve"> home. </w:t>
      </w:r>
    </w:p>
    <w:p w14:paraId="1DF72ABD" w14:textId="77777777" w:rsidR="00952CA7" w:rsidRDefault="00952CA7" w:rsidP="00952CA7">
      <w:pPr>
        <w:pStyle w:val="Quote"/>
      </w:pPr>
      <w:r>
        <w:t>It takes me three or four days to get to the result, which I think is entirely reasonable because it is not an emergency situation and then it takes me three or four days to get the patient in, or to contact the patient, and then it takes them another week to actually come in. I could do it all over the phone but I think particularly for people with English as a Second Language that is actually not appropriate and I think you will get better engagement if you explain what is going to happen to them. (GP)</w:t>
      </w:r>
    </w:p>
    <w:p w14:paraId="2E2F589F" w14:textId="77777777" w:rsidR="00C35313" w:rsidRPr="00C35313" w:rsidRDefault="00C35313" w:rsidP="00C35313">
      <w:pPr>
        <w:pStyle w:val="Heading4"/>
        <w:rPr>
          <w:lang w:val="en-US"/>
        </w:rPr>
      </w:pPr>
      <w:r w:rsidRPr="00C35313">
        <w:rPr>
          <w:lang w:val="en-US"/>
        </w:rPr>
        <w:t xml:space="preserve">Referral for colonoscopy </w:t>
      </w:r>
    </w:p>
    <w:p w14:paraId="69679BEF" w14:textId="77777777" w:rsidR="00C35313" w:rsidRDefault="000C265C" w:rsidP="00C35313">
      <w:r>
        <w:t xml:space="preserve">Once BSP participants have been informed about the positive </w:t>
      </w:r>
      <w:proofErr w:type="spellStart"/>
      <w:r>
        <w:t>iFOBT</w:t>
      </w:r>
      <w:proofErr w:type="spellEnd"/>
      <w:r>
        <w:t xml:space="preserve">, GPs are required to </w:t>
      </w:r>
      <w:r w:rsidRPr="009B5662">
        <w:t xml:space="preserve">refer </w:t>
      </w:r>
      <w:r w:rsidR="003373BD" w:rsidRPr="009B5662">
        <w:t xml:space="preserve">the participant </w:t>
      </w:r>
      <w:r w:rsidRPr="009B5662">
        <w:t xml:space="preserve">to the </w:t>
      </w:r>
      <w:r w:rsidR="009E3E09">
        <w:t>Endoscopy Unit</w:t>
      </w:r>
      <w:r w:rsidRPr="009B5662">
        <w:t xml:space="preserve"> for a </w:t>
      </w:r>
      <w:r w:rsidR="008F08E1" w:rsidRPr="009B5662">
        <w:t>colonoscopy.  Standard referral</w:t>
      </w:r>
      <w:r w:rsidRPr="009B5662">
        <w:t xml:space="preserve"> process</w:t>
      </w:r>
      <w:r w:rsidR="008F08E1" w:rsidRPr="009B5662">
        <w:t>es</w:t>
      </w:r>
      <w:r w:rsidR="0009207F">
        <w:t xml:space="preserve"> are used either by fax or e</w:t>
      </w:r>
      <w:r w:rsidR="00DE42AD">
        <w:t>-</w:t>
      </w:r>
      <w:r w:rsidR="00C97C7C" w:rsidRPr="009B5662">
        <w:t>referrals.  For some the use of e-referrals is</w:t>
      </w:r>
      <w:r w:rsidR="00C97C7C">
        <w:t xml:space="preserve"> fairly recent so there are some teething problems as GPs become more adept at using this tool. </w:t>
      </w:r>
    </w:p>
    <w:p w14:paraId="46D6074D" w14:textId="77777777" w:rsidR="00C97C7C" w:rsidRDefault="00C97C7C" w:rsidP="00C97C7C">
      <w:pPr>
        <w:pStyle w:val="Quote"/>
      </w:pPr>
      <w:r>
        <w:t>I just copy and paste the result that comes up and then their profile which is their current and past medical problems, medications, smoking status etc. All the background information, but I don’t write anything on them. They receive all the information though, and it’s good because it’s just a click of the mouse and a copy and paste so it’s only 60 seconds. (GP)</w:t>
      </w:r>
    </w:p>
    <w:p w14:paraId="1BE2E8E5" w14:textId="77777777" w:rsidR="00675EA9" w:rsidRDefault="00675EA9" w:rsidP="00675EA9">
      <w:pPr>
        <w:rPr>
          <w:lang w:val="en-US"/>
        </w:rPr>
      </w:pPr>
      <w:r>
        <w:t xml:space="preserve">Feedback from the endoscopy unit staff indicate that most referrals sent follow the agreed pathway, although a few are sent to symptomatic or surgical services.  Endoscopy staff also note the variation in the </w:t>
      </w:r>
      <w:r>
        <w:rPr>
          <w:lang w:val="en-US"/>
        </w:rPr>
        <w:t xml:space="preserve">quality and completeness of GP referral information to endoscopy.  Some GPs provide the required information, while others simply refer with little relevant information.  The introduction of e-referrals in 2013 has </w:t>
      </w:r>
      <w:proofErr w:type="spellStart"/>
      <w:r>
        <w:rPr>
          <w:lang w:val="en-US"/>
        </w:rPr>
        <w:t>standardi</w:t>
      </w:r>
      <w:r w:rsidR="00375A28">
        <w:rPr>
          <w:lang w:val="en-US"/>
        </w:rPr>
        <w:t>s</w:t>
      </w:r>
      <w:r>
        <w:rPr>
          <w:lang w:val="en-US"/>
        </w:rPr>
        <w:t>ed</w:t>
      </w:r>
      <w:proofErr w:type="spellEnd"/>
      <w:r>
        <w:rPr>
          <w:lang w:val="en-US"/>
        </w:rPr>
        <w:t xml:space="preserve"> information received and improved the quality of referrals. </w:t>
      </w:r>
    </w:p>
    <w:p w14:paraId="6B0D5D73" w14:textId="77777777" w:rsidR="009A289F" w:rsidRDefault="00C215A7" w:rsidP="00BA351B">
      <w:pPr>
        <w:pStyle w:val="Heading4"/>
        <w:rPr>
          <w:lang w:val="en-US"/>
        </w:rPr>
      </w:pPr>
      <w:r>
        <w:rPr>
          <w:lang w:val="en-US"/>
        </w:rPr>
        <w:lastRenderedPageBreak/>
        <w:t xml:space="preserve">Supporting </w:t>
      </w:r>
      <w:r w:rsidR="009A289F">
        <w:rPr>
          <w:lang w:val="en-US"/>
        </w:rPr>
        <w:t xml:space="preserve">participants diagnosed with cancer </w:t>
      </w:r>
    </w:p>
    <w:p w14:paraId="7AC6F0D2" w14:textId="77777777" w:rsidR="003F2B92" w:rsidRDefault="003F2B92" w:rsidP="00BA351B">
      <w:pPr>
        <w:rPr>
          <w:lang w:eastAsia="ar-SA"/>
        </w:rPr>
      </w:pPr>
      <w:r>
        <w:rPr>
          <w:lang w:val="en-US"/>
        </w:rPr>
        <w:t xml:space="preserve">GPs </w:t>
      </w:r>
      <w:r w:rsidR="00C215A7">
        <w:rPr>
          <w:lang w:val="en-US"/>
        </w:rPr>
        <w:t>appreciate</w:t>
      </w:r>
      <w:r>
        <w:rPr>
          <w:lang w:val="en-US"/>
        </w:rPr>
        <w:t xml:space="preserve"> that the </w:t>
      </w:r>
      <w:r>
        <w:rPr>
          <w:lang w:val="mi-NZ"/>
        </w:rPr>
        <w:t xml:space="preserve">WDHB </w:t>
      </w:r>
      <w:r w:rsidRPr="00E078D0">
        <w:rPr>
          <w:lang w:eastAsia="ar-SA"/>
        </w:rPr>
        <w:t>BSP Clinical Director</w:t>
      </w:r>
      <w:r>
        <w:rPr>
          <w:lang w:eastAsia="ar-SA"/>
        </w:rPr>
        <w:t xml:space="preserve"> calls if a cancer is diagnosed. </w:t>
      </w:r>
    </w:p>
    <w:p w14:paraId="3D11A5CB" w14:textId="77777777" w:rsidR="005C445D" w:rsidRDefault="00E54918" w:rsidP="005C445D">
      <w:pPr>
        <w:pStyle w:val="Quote"/>
      </w:pPr>
      <w:r>
        <w:t>I do remember I think</w:t>
      </w:r>
      <w:r w:rsidR="005C445D">
        <w:t xml:space="preserve"> [BSP Clinical Director] rung me for at least two of the patients that I had and was reassuring. We get rung by breast screening too, so I guess it’s a similar protocol to that and I think it’s great. The benefit for us is that we’re very much involved and so for whatever reason the patient might call us then we are informed and we know what’s going on. It makes the patient feel more comfortable too, makes it feel more like teamwork. (GP)</w:t>
      </w:r>
    </w:p>
    <w:p w14:paraId="6912402C" w14:textId="77777777" w:rsidR="004C466A" w:rsidRDefault="004C466A" w:rsidP="00BA351B">
      <w:pPr>
        <w:pStyle w:val="Heading4"/>
        <w:rPr>
          <w:lang w:val="en-US"/>
        </w:rPr>
      </w:pPr>
      <w:r w:rsidRPr="00BA351B">
        <w:rPr>
          <w:lang w:val="en-US"/>
        </w:rPr>
        <w:t xml:space="preserve">Recalling BSP </w:t>
      </w:r>
      <w:r w:rsidR="009A289F">
        <w:rPr>
          <w:lang w:val="en-US"/>
        </w:rPr>
        <w:t xml:space="preserve">surveillance </w:t>
      </w:r>
      <w:r w:rsidRPr="00BA351B">
        <w:rPr>
          <w:lang w:val="en-US"/>
        </w:rPr>
        <w:t xml:space="preserve">participants </w:t>
      </w:r>
    </w:p>
    <w:p w14:paraId="7C34D99B" w14:textId="72916157" w:rsidR="009A289F" w:rsidRDefault="002312D9" w:rsidP="009A289F">
      <w:pPr>
        <w:rPr>
          <w:lang w:val="en-US"/>
        </w:rPr>
      </w:pPr>
      <w:r>
        <w:rPr>
          <w:lang w:val="en-US"/>
        </w:rPr>
        <w:t xml:space="preserve">Discussions with </w:t>
      </w:r>
      <w:r w:rsidR="00C35313" w:rsidRPr="009B5662">
        <w:rPr>
          <w:lang w:val="en-US"/>
        </w:rPr>
        <w:t xml:space="preserve">GPs </w:t>
      </w:r>
      <w:r>
        <w:rPr>
          <w:lang w:val="en-US"/>
        </w:rPr>
        <w:t xml:space="preserve">highlight they </w:t>
      </w:r>
      <w:r w:rsidR="000C265C" w:rsidRPr="009B5662">
        <w:rPr>
          <w:lang w:val="en-US"/>
        </w:rPr>
        <w:t xml:space="preserve">are using their practice’s standard process for </w:t>
      </w:r>
      <w:r w:rsidR="00C35313" w:rsidRPr="009B5662">
        <w:rPr>
          <w:lang w:val="en-US"/>
        </w:rPr>
        <w:t xml:space="preserve">participants </w:t>
      </w:r>
      <w:r w:rsidR="000C265C" w:rsidRPr="009B5662">
        <w:rPr>
          <w:lang w:val="en-US"/>
        </w:rPr>
        <w:t xml:space="preserve">who </w:t>
      </w:r>
      <w:r w:rsidR="008F08E1" w:rsidRPr="009B5662">
        <w:rPr>
          <w:lang w:val="en-US"/>
        </w:rPr>
        <w:t>need</w:t>
      </w:r>
      <w:r w:rsidR="000C265C" w:rsidRPr="009B5662">
        <w:rPr>
          <w:lang w:val="en-US"/>
        </w:rPr>
        <w:t xml:space="preserve"> to be </w:t>
      </w:r>
      <w:r w:rsidR="00C35313" w:rsidRPr="009B5662">
        <w:rPr>
          <w:lang w:val="en-US"/>
        </w:rPr>
        <w:t>recalled for surveillance colonoscop</w:t>
      </w:r>
      <w:r w:rsidR="005C2839" w:rsidRPr="009B5662">
        <w:rPr>
          <w:lang w:val="en-US"/>
        </w:rPr>
        <w:t>ies</w:t>
      </w:r>
      <w:r w:rsidR="00C35313" w:rsidRPr="009B5662">
        <w:rPr>
          <w:lang w:val="en-US"/>
        </w:rPr>
        <w:t xml:space="preserve">.  </w:t>
      </w:r>
      <w:r w:rsidR="000C265C" w:rsidRPr="009B5662">
        <w:rPr>
          <w:lang w:val="en-US"/>
        </w:rPr>
        <w:t xml:space="preserve">In the main, the recall processes are seen to be working well as they align with other screening </w:t>
      </w:r>
      <w:proofErr w:type="spellStart"/>
      <w:r w:rsidR="000C265C" w:rsidRPr="009B5662">
        <w:rPr>
          <w:lang w:val="en-US"/>
        </w:rPr>
        <w:t>programmes</w:t>
      </w:r>
      <w:proofErr w:type="spellEnd"/>
      <w:r w:rsidR="009719A4">
        <w:rPr>
          <w:lang w:val="en-US"/>
        </w:rPr>
        <w:t xml:space="preserve"> </w:t>
      </w:r>
      <w:r w:rsidR="000C265C" w:rsidRPr="009B5662">
        <w:rPr>
          <w:lang w:val="en-US"/>
        </w:rPr>
        <w:t>such as breast and cervical screening.  A few perceive there is room for error within their recall processes as they are not automated or they are uncertain whether the recall responsibility lies with the</w:t>
      </w:r>
      <w:r w:rsidR="000C265C">
        <w:rPr>
          <w:lang w:val="en-US"/>
        </w:rPr>
        <w:t xml:space="preserve"> </w:t>
      </w:r>
      <w:r w:rsidR="009E3E09">
        <w:rPr>
          <w:lang w:val="en-US"/>
        </w:rPr>
        <w:t>Endoscopy Unit</w:t>
      </w:r>
      <w:r w:rsidR="000C265C">
        <w:rPr>
          <w:lang w:val="en-US"/>
        </w:rPr>
        <w:t xml:space="preserve"> or the GP.</w:t>
      </w:r>
      <w:r>
        <w:rPr>
          <w:lang w:val="en-US"/>
        </w:rPr>
        <w:t xml:space="preserve">   </w:t>
      </w:r>
    </w:p>
    <w:p w14:paraId="128D18A8" w14:textId="77777777" w:rsidR="00FB2C77" w:rsidRDefault="00FB2C77" w:rsidP="009A289F">
      <w:pPr>
        <w:rPr>
          <w:lang w:val="en-US"/>
        </w:rPr>
      </w:pPr>
      <w:r>
        <w:rPr>
          <w:lang w:val="en-US"/>
        </w:rPr>
        <w:t xml:space="preserve">There is little awareness of the changes to the management of appointments for surveillance colonoscopies which reflects this is only a recent change. </w:t>
      </w:r>
    </w:p>
    <w:p w14:paraId="49F7968F" w14:textId="77777777" w:rsidR="00C35313" w:rsidRDefault="00C35313" w:rsidP="00C35313">
      <w:pPr>
        <w:pStyle w:val="Quote"/>
      </w:pPr>
      <w:r>
        <w:t xml:space="preserve">The histology results come from </w:t>
      </w:r>
      <w:r w:rsidR="006228C4">
        <w:t>[</w:t>
      </w:r>
      <w:r w:rsidR="006228C4">
        <w:rPr>
          <w:lang w:eastAsia="ar-SA"/>
        </w:rPr>
        <w:t xml:space="preserve">WDHB BSP </w:t>
      </w:r>
      <w:r w:rsidR="006228C4" w:rsidRPr="00E078D0">
        <w:rPr>
          <w:lang w:eastAsia="ar-SA"/>
        </w:rPr>
        <w:t xml:space="preserve">Lead </w:t>
      </w:r>
      <w:proofErr w:type="spellStart"/>
      <w:r w:rsidR="006228C4" w:rsidRPr="00E078D0">
        <w:rPr>
          <w:lang w:eastAsia="ar-SA"/>
        </w:rPr>
        <w:t>Endoscopist</w:t>
      </w:r>
      <w:proofErr w:type="spellEnd"/>
      <w:r w:rsidR="006228C4">
        <w:rPr>
          <w:lang w:eastAsia="ar-SA"/>
        </w:rPr>
        <w:t>]</w:t>
      </w:r>
      <w:r>
        <w:t xml:space="preserve">, a report comes into our inbox and we will usually get a letter from </w:t>
      </w:r>
      <w:r w:rsidR="006228C4">
        <w:t>[</w:t>
      </w:r>
      <w:r w:rsidR="006228C4" w:rsidRPr="00E078D0">
        <w:rPr>
          <w:lang w:eastAsia="ar-SA"/>
        </w:rPr>
        <w:t xml:space="preserve">Lead </w:t>
      </w:r>
      <w:proofErr w:type="spellStart"/>
      <w:r w:rsidR="006228C4" w:rsidRPr="00E078D0">
        <w:rPr>
          <w:lang w:eastAsia="ar-SA"/>
        </w:rPr>
        <w:t>Endoscopist</w:t>
      </w:r>
      <w:proofErr w:type="spellEnd"/>
      <w:r w:rsidR="006228C4">
        <w:t>]</w:t>
      </w:r>
      <w:r>
        <w:t xml:space="preserve"> as well with his recommendations so he might say they need </w:t>
      </w:r>
      <w:proofErr w:type="spellStart"/>
      <w:r>
        <w:t>rescoping</w:t>
      </w:r>
      <w:proofErr w:type="spellEnd"/>
      <w:r>
        <w:t xml:space="preserve"> for surveillance or something. That process is working well, we already have recall systems in place for smears and mammograms so the surveillance recalls are not a major. (GP)</w:t>
      </w:r>
    </w:p>
    <w:p w14:paraId="3A57C843" w14:textId="77777777" w:rsidR="000C265C" w:rsidRDefault="000C265C" w:rsidP="000C265C">
      <w:pPr>
        <w:pStyle w:val="Quote"/>
      </w:pPr>
      <w:r>
        <w:t>We put it on our own recall but</w:t>
      </w:r>
      <w:r w:rsidR="008C1D62">
        <w:t xml:space="preserve"> I think it happens with Bowel S</w:t>
      </w:r>
      <w:r>
        <w:t>creening too, at least I hope they’re doing it. I think that if a patient needs to go back for a colonoscopy in three years’ time or something I think personally Bowel Screening needs to have that too because a patient could change GPs or something, it’s just so there’s not</w:t>
      </w:r>
      <w:r w:rsidR="005C2839">
        <w:t>hing</w:t>
      </w:r>
      <w:r>
        <w:t xml:space="preserve"> that</w:t>
      </w:r>
      <w:r w:rsidR="005C2839">
        <w:t xml:space="preserve"> is</w:t>
      </w:r>
      <w:r>
        <w:t xml:space="preserve"> missing out. Our system is not that great, although it’s getting better. So if I do recall but that patie</w:t>
      </w:r>
      <w:r w:rsidR="008C1D62">
        <w:t>nt is no longer with our practic</w:t>
      </w:r>
      <w:r>
        <w:t>e or something</w:t>
      </w:r>
      <w:r w:rsidR="008C1D62">
        <w:t xml:space="preserve"> it may not work so there’s</w:t>
      </w:r>
      <w:r>
        <w:t xml:space="preserve"> room for error. So that’s an important aspe</w:t>
      </w:r>
      <w:r w:rsidR="008C1D62">
        <w:t>ct I think, particularly for a n</w:t>
      </w:r>
      <w:r>
        <w:t>ational roll out. (GP)</w:t>
      </w:r>
    </w:p>
    <w:p w14:paraId="54AA83C9" w14:textId="77777777" w:rsidR="00C64168" w:rsidRDefault="00C64168" w:rsidP="00C64168">
      <w:pPr>
        <w:pStyle w:val="Heading2"/>
        <w:rPr>
          <w:lang w:val="en-US"/>
        </w:rPr>
      </w:pPr>
      <w:bookmarkStart w:id="63" w:name="_Toc380424715"/>
      <w:r>
        <w:rPr>
          <w:lang w:val="en-US"/>
        </w:rPr>
        <w:t>6.3</w:t>
      </w:r>
      <w:r>
        <w:rPr>
          <w:lang w:val="en-US"/>
        </w:rPr>
        <w:tab/>
      </w:r>
      <w:r w:rsidR="003D7A76">
        <w:rPr>
          <w:lang w:val="en-US"/>
        </w:rPr>
        <w:t>Perceptions of the BSP</w:t>
      </w:r>
      <w:bookmarkEnd w:id="63"/>
      <w:r w:rsidR="003D7A76">
        <w:rPr>
          <w:lang w:val="en-US"/>
        </w:rPr>
        <w:t xml:space="preserve"> </w:t>
      </w:r>
    </w:p>
    <w:p w14:paraId="2C8EA0DE" w14:textId="02A9B893" w:rsidR="00D2242B" w:rsidRPr="009B5662" w:rsidRDefault="00D2242B" w:rsidP="00D2242B">
      <w:pPr>
        <w:rPr>
          <w:lang w:val="en-US"/>
        </w:rPr>
      </w:pPr>
      <w:r w:rsidRPr="009B5662">
        <w:rPr>
          <w:lang w:val="en-US"/>
        </w:rPr>
        <w:t xml:space="preserve">Similar to the </w:t>
      </w:r>
      <w:r w:rsidR="00A7635E" w:rsidRPr="009B5662">
        <w:rPr>
          <w:lang w:val="en-US"/>
        </w:rPr>
        <w:t>provider survey findings (Litmus 2014b), general practice staff interviewed are</w:t>
      </w:r>
      <w:r w:rsidR="009719A4">
        <w:rPr>
          <w:lang w:val="en-US"/>
        </w:rPr>
        <w:t>,</w:t>
      </w:r>
      <w:r w:rsidR="00A7635E" w:rsidRPr="009B5662">
        <w:rPr>
          <w:lang w:val="en-US"/>
        </w:rPr>
        <w:t xml:space="preserve"> in the main positive</w:t>
      </w:r>
      <w:r w:rsidR="009719A4">
        <w:rPr>
          <w:lang w:val="en-US"/>
        </w:rPr>
        <w:t>,</w:t>
      </w:r>
      <w:r w:rsidR="00A7635E" w:rsidRPr="009B5662">
        <w:rPr>
          <w:lang w:val="en-US"/>
        </w:rPr>
        <w:t xml:space="preserve"> about the BSP.  They describe the Pilot as </w:t>
      </w:r>
      <w:r w:rsidR="009878BA" w:rsidRPr="009B5662">
        <w:rPr>
          <w:lang w:val="en-US"/>
        </w:rPr>
        <w:t xml:space="preserve">well explained to primary care, </w:t>
      </w:r>
      <w:r w:rsidR="00A7635E" w:rsidRPr="009B5662">
        <w:rPr>
          <w:lang w:val="en-US"/>
        </w:rPr>
        <w:t xml:space="preserve">easy for their patients to </w:t>
      </w:r>
      <w:r w:rsidR="009878BA" w:rsidRPr="009B5662">
        <w:rPr>
          <w:lang w:val="en-US"/>
        </w:rPr>
        <w:t xml:space="preserve">take part in, and timely in the scheduling of colonoscopies. </w:t>
      </w:r>
      <w:r w:rsidR="00A7635E" w:rsidRPr="009B5662">
        <w:rPr>
          <w:lang w:val="en-US"/>
        </w:rPr>
        <w:t xml:space="preserve"> </w:t>
      </w:r>
    </w:p>
    <w:p w14:paraId="76BE3F3C" w14:textId="441AA2EA" w:rsidR="00A7635E" w:rsidRDefault="00A7635E" w:rsidP="00A7635E">
      <w:pPr>
        <w:pStyle w:val="Quote"/>
      </w:pPr>
      <w:r>
        <w:t>I think it is incredibly easy becau</w:t>
      </w:r>
      <w:r w:rsidR="009878BA">
        <w:t>se it is all supplied and a non-</w:t>
      </w:r>
      <w:r>
        <w:t>medical person can understand easily what they need to do. I don’t know what happens when they need a colonoscopy</w:t>
      </w:r>
      <w:r w:rsidR="009719A4">
        <w:t>,</w:t>
      </w:r>
      <w:r>
        <w:t xml:space="preserve"> I presume they get another information pack but most people seem to know what that is. (Practice Manager)</w:t>
      </w:r>
    </w:p>
    <w:p w14:paraId="7B8CD1C9" w14:textId="77777777" w:rsidR="00C64168" w:rsidRDefault="00D97AD0" w:rsidP="0077722F">
      <w:pPr>
        <w:keepNext/>
        <w:keepLines/>
        <w:rPr>
          <w:lang w:val="en-US"/>
        </w:rPr>
      </w:pPr>
      <w:r w:rsidRPr="009B5662">
        <w:rPr>
          <w:lang w:val="en-US"/>
        </w:rPr>
        <w:lastRenderedPageBreak/>
        <w:t>Across general practice staff interviewed there is a perception that the BSP is impacting adversely on the timely availability of symptomatic services, particularly with regard to the delay</w:t>
      </w:r>
      <w:r w:rsidR="005C2839" w:rsidRPr="009B5662">
        <w:rPr>
          <w:lang w:val="en-US"/>
        </w:rPr>
        <w:t xml:space="preserve">s faced by symptomatic patients to have a </w:t>
      </w:r>
      <w:r w:rsidRPr="009B5662">
        <w:rPr>
          <w:lang w:val="en-US"/>
        </w:rPr>
        <w:t>colonoscop</w:t>
      </w:r>
      <w:r w:rsidR="005C2839" w:rsidRPr="009B5662">
        <w:rPr>
          <w:lang w:val="en-US"/>
        </w:rPr>
        <w:t>y</w:t>
      </w:r>
      <w:r w:rsidRPr="009B5662">
        <w:rPr>
          <w:lang w:val="en-US"/>
        </w:rPr>
        <w:t>.  For some this is ethically unacceptable as people with no symptoms are perceived as receiving a superior service</w:t>
      </w:r>
      <w:r>
        <w:rPr>
          <w:lang w:val="en-US"/>
        </w:rPr>
        <w:t xml:space="preserve"> than those with symptoms.  </w:t>
      </w:r>
    </w:p>
    <w:p w14:paraId="645908EC" w14:textId="77777777" w:rsidR="00A41E5A" w:rsidRDefault="00A41E5A" w:rsidP="00A41E5A">
      <w:pPr>
        <w:pStyle w:val="Quote"/>
      </w:pPr>
      <w:r>
        <w:t>I think our usual referral for a colonoscopy is very delayed, it takes a long time for them to get an appointment, two years sometimes. I think this bowel screening is affecting the normal referrals. I have a patient who was referred for (symptomatic) bowel screening for one year, he didn’t get an appointment but he got on the bowel screening programme</w:t>
      </w:r>
      <w:r w:rsidR="005C2839">
        <w:t>. I</w:t>
      </w:r>
      <w:r>
        <w:t>t was positive and it was cancer and he is on chemotherapy now. He was waiting for the public system and then he got bowel screening in the mail and was seen within four weeks from his positive test kit. Prior to that he had been waiting in the public system for a year. I was thinking he needed to go private to do it because he had anaemia and was getting positive tests here. Luckily the bowel screening project he got in on.  I think the BSP is very good but I don’t think it should affect the usual pathway for symptomatic. It is good because you are doing screening for everyone in the area but if it is affecting the normal referrals that is not good. (GP)</w:t>
      </w:r>
    </w:p>
    <w:p w14:paraId="46B83E25" w14:textId="77777777" w:rsidR="00A41E5A" w:rsidRDefault="00A41E5A" w:rsidP="00A41E5A">
      <w:pPr>
        <w:pStyle w:val="Quote"/>
      </w:pPr>
      <w:r>
        <w:t xml:space="preserve">I think it is really good but, there is a huge problem with waiting lists for gastro procedures at </w:t>
      </w:r>
      <w:proofErr w:type="spellStart"/>
      <w:r w:rsidR="003277DA">
        <w:t>Waitematā</w:t>
      </w:r>
      <w:proofErr w:type="spellEnd"/>
      <w:r>
        <w:t>. People with symptoms and signs of bowel cancer should be treated, or investigated before people without symptoms and that is not happening. When we do a referral for the bowel screening they are seen relatively quickly for their colonoscopy, whereas if we refer someone through with rectal bleeding they are seen in nine months. That wait time is getting worse. I don’t know if that is a result of BSP. (GP)</w:t>
      </w:r>
    </w:p>
    <w:p w14:paraId="2534E750" w14:textId="77777777" w:rsidR="00D97AD0" w:rsidRDefault="00D97AD0" w:rsidP="00D97AD0">
      <w:pPr>
        <w:rPr>
          <w:lang w:val="en-US"/>
        </w:rPr>
      </w:pPr>
      <w:r>
        <w:rPr>
          <w:lang w:val="en-US"/>
        </w:rPr>
        <w:t xml:space="preserve">For a few GPs there is confusion about where to send patients with bowel cancer symptoms.  One GP commented that they have advised patients with symptoms to do the BSP test to enable them to receive a colonoscopy faster than in the symptomatic service. </w:t>
      </w:r>
    </w:p>
    <w:p w14:paraId="799AA1AE" w14:textId="77777777" w:rsidR="00DE53DE" w:rsidRDefault="00DE53DE" w:rsidP="00DE53DE">
      <w:pPr>
        <w:pStyle w:val="Quote"/>
      </w:pPr>
      <w:r>
        <w:t>I think it is better now where it actually goes to but there was some confusion around if they have had a positive FOB</w:t>
      </w:r>
      <w:r w:rsidR="003277DA">
        <w:t>T</w:t>
      </w:r>
      <w:r>
        <w:t xml:space="preserve"> previous to the bowel screening, and then whether the referral goes to bowel screen or symptomatic. My initial misunderstanding was that it was the same test and the one we could do overlapped it but it is obviously not the same test. I have been told now they are nothing to do with each other</w:t>
      </w:r>
      <w:r w:rsidR="003277DA">
        <w:t xml:space="preserve">. </w:t>
      </w:r>
      <w:r>
        <w:t xml:space="preserve">I cannot actively get someone into bowel screening if I have a positive test, and they must wait for the kit to arrive in the mail. That was the initial problem we had. The bowel screening is not something we can initiate ourselves. If we have a patient who has a positive FOB blood test then we have to refer this patient to gastroenterology in the public system and not to bowel screen, they might actually get a colonoscopy much later than the bowel screen patient. </w:t>
      </w:r>
      <w:r w:rsidR="006228C4">
        <w:t>(GP)</w:t>
      </w:r>
    </w:p>
    <w:p w14:paraId="3C398433" w14:textId="77777777" w:rsidR="003D7A76" w:rsidRDefault="00D97AD0" w:rsidP="00D97AD0">
      <w:pPr>
        <w:rPr>
          <w:lang w:val="en-US"/>
        </w:rPr>
      </w:pPr>
      <w:r>
        <w:rPr>
          <w:lang w:val="en-US"/>
        </w:rPr>
        <w:t>GPs are also appreciative that they are receiving payment for their role in the BSP.</w:t>
      </w:r>
    </w:p>
    <w:p w14:paraId="05917943" w14:textId="77777777" w:rsidR="009878BA" w:rsidRDefault="009878BA" w:rsidP="009878BA">
      <w:pPr>
        <w:pStyle w:val="Quote"/>
      </w:pPr>
      <w:r>
        <w:t>We get paid for positive referrals. As primary care we always end up having to do a whole lot of stuff that we don’t get funded for. Everything takes time. (Practice Manager)</w:t>
      </w:r>
    </w:p>
    <w:p w14:paraId="38E5C5EC" w14:textId="77777777" w:rsidR="00C64168" w:rsidRDefault="00C64168" w:rsidP="00C64168">
      <w:pPr>
        <w:pStyle w:val="Heading2"/>
        <w:rPr>
          <w:lang w:val="en-US"/>
        </w:rPr>
      </w:pPr>
      <w:bookmarkStart w:id="64" w:name="_Toc380424716"/>
      <w:r>
        <w:rPr>
          <w:lang w:val="en-US"/>
        </w:rPr>
        <w:lastRenderedPageBreak/>
        <w:t>6.4</w:t>
      </w:r>
      <w:r>
        <w:rPr>
          <w:lang w:val="en-US"/>
        </w:rPr>
        <w:tab/>
        <w:t>Value of general practice in the BSP</w:t>
      </w:r>
      <w:bookmarkEnd w:id="64"/>
    </w:p>
    <w:p w14:paraId="61E6CC9E" w14:textId="77777777" w:rsidR="003E2CD6" w:rsidRPr="003E2CD6" w:rsidRDefault="003E2CD6" w:rsidP="003E2CD6">
      <w:pPr>
        <w:pStyle w:val="Heading3"/>
        <w:rPr>
          <w:lang w:val="en-US"/>
        </w:rPr>
      </w:pPr>
      <w:r>
        <w:rPr>
          <w:lang w:val="en-US"/>
        </w:rPr>
        <w:t xml:space="preserve">Adds significant </w:t>
      </w:r>
      <w:r w:rsidR="005C2839">
        <w:rPr>
          <w:lang w:val="en-US"/>
        </w:rPr>
        <w:t>value</w:t>
      </w:r>
    </w:p>
    <w:p w14:paraId="6E44BA17" w14:textId="77777777" w:rsidR="003D5316" w:rsidRDefault="00975183" w:rsidP="003D5316">
      <w:pPr>
        <w:rPr>
          <w:lang w:val="en-US"/>
        </w:rPr>
      </w:pPr>
      <w:r w:rsidRPr="009B5662">
        <w:rPr>
          <w:lang w:val="en-US"/>
        </w:rPr>
        <w:t>Most general practice staff interviewed (</w:t>
      </w:r>
      <w:r w:rsidR="005C2839" w:rsidRPr="009B5662">
        <w:rPr>
          <w:lang w:val="en-US"/>
        </w:rPr>
        <w:t>seven</w:t>
      </w:r>
      <w:r w:rsidRPr="009B5662">
        <w:rPr>
          <w:lang w:val="en-US"/>
        </w:rPr>
        <w:t xml:space="preserve"> out of the ten practices) stated that general practice has an important role in the BSP</w:t>
      </w:r>
      <w:r w:rsidR="003D5316" w:rsidRPr="009B5662">
        <w:rPr>
          <w:lang w:val="en-US"/>
        </w:rPr>
        <w:t xml:space="preserve"> in particular increasing participation and enhancing participant experience</w:t>
      </w:r>
      <w:r w:rsidRPr="009B5662">
        <w:rPr>
          <w:lang w:val="en-US"/>
        </w:rPr>
        <w:t>.  The following were identified as the key areas where</w:t>
      </w:r>
      <w:r>
        <w:rPr>
          <w:lang w:val="en-US"/>
        </w:rPr>
        <w:t xml:space="preserve"> general practice adds value to participant experience within the BSP: </w:t>
      </w:r>
    </w:p>
    <w:p w14:paraId="5DA3E563" w14:textId="77777777" w:rsidR="00305E29" w:rsidRPr="009B5662" w:rsidRDefault="00305E29" w:rsidP="003D5316">
      <w:pPr>
        <w:numPr>
          <w:ilvl w:val="0"/>
          <w:numId w:val="6"/>
        </w:numPr>
        <w:autoSpaceDE w:val="0"/>
        <w:autoSpaceDN w:val="0"/>
        <w:adjustRightInd w:val="0"/>
        <w:spacing w:before="120" w:after="120"/>
        <w:ind w:left="1134" w:hanging="425"/>
      </w:pPr>
      <w:r w:rsidRPr="009B5662">
        <w:t xml:space="preserve">Promoting and educating eligible participants about the BSP and encouraging them to take part.  This role is seen to offer particular value for Pacific people, those with existing </w:t>
      </w:r>
      <w:r w:rsidR="005C2839" w:rsidRPr="009B5662">
        <w:t xml:space="preserve">health </w:t>
      </w:r>
      <w:r w:rsidRPr="009B5662">
        <w:t xml:space="preserve">conditions, those who are anxious or have other special needs. </w:t>
      </w:r>
    </w:p>
    <w:p w14:paraId="73A3E97E" w14:textId="77777777" w:rsidR="0053782E" w:rsidRPr="009B5662" w:rsidRDefault="0053782E" w:rsidP="005C2839">
      <w:pPr>
        <w:pStyle w:val="Quote"/>
        <w:ind w:left="1418"/>
      </w:pPr>
      <w:r w:rsidRPr="009B5662">
        <w:t>I think patients are more likely to go along with it if it is practice based, they will be less suspicious of it, and there is no cost to them. (GP)</w:t>
      </w:r>
    </w:p>
    <w:p w14:paraId="72418181" w14:textId="2EAE72B0" w:rsidR="00305E29" w:rsidRPr="009B5662" w:rsidRDefault="003D5316" w:rsidP="00975183">
      <w:pPr>
        <w:numPr>
          <w:ilvl w:val="0"/>
          <w:numId w:val="6"/>
        </w:numPr>
        <w:autoSpaceDE w:val="0"/>
        <w:autoSpaceDN w:val="0"/>
        <w:adjustRightInd w:val="0"/>
        <w:spacing w:before="120" w:after="120"/>
        <w:ind w:left="1134" w:hanging="425"/>
      </w:pPr>
      <w:r w:rsidRPr="009B5662">
        <w:t>Using general practice</w:t>
      </w:r>
      <w:r w:rsidR="00305E29" w:rsidRPr="009B5662">
        <w:t xml:space="preserve"> systems and processes to contact participants </w:t>
      </w:r>
      <w:r w:rsidR="00881638">
        <w:t>t</w:t>
      </w:r>
      <w:r w:rsidR="00305E29" w:rsidRPr="009B5662">
        <w:t xml:space="preserve">o inform them of a positive </w:t>
      </w:r>
      <w:proofErr w:type="spellStart"/>
      <w:r w:rsidR="00305E29" w:rsidRPr="009B5662">
        <w:t>iFOBT</w:t>
      </w:r>
      <w:proofErr w:type="spellEnd"/>
      <w:r w:rsidR="00305E29" w:rsidRPr="009B5662">
        <w:t xml:space="preserve"> results</w:t>
      </w:r>
      <w:r w:rsidR="00C05AE1">
        <w:t>.</w:t>
      </w:r>
    </w:p>
    <w:p w14:paraId="56122015" w14:textId="77777777" w:rsidR="0053782E" w:rsidRPr="009B5662" w:rsidRDefault="0053782E" w:rsidP="005C2839">
      <w:pPr>
        <w:pStyle w:val="Quote"/>
        <w:ind w:left="1418"/>
      </w:pPr>
      <w:r w:rsidRPr="009B5662">
        <w:t>We know the clients, we know their history, we are good at contacting them because if we can’t get in touch with them we know who the neighbour is to go around and knock on the door so we have the relationship and hopefully a trusted relationship. I think that helps them moving through to the colonoscopy. (Practice Nurse)</w:t>
      </w:r>
    </w:p>
    <w:p w14:paraId="1065A6F7" w14:textId="75728414" w:rsidR="00265417" w:rsidRPr="009B5662" w:rsidRDefault="00305E29" w:rsidP="00975183">
      <w:pPr>
        <w:numPr>
          <w:ilvl w:val="0"/>
          <w:numId w:val="6"/>
        </w:numPr>
        <w:autoSpaceDE w:val="0"/>
        <w:autoSpaceDN w:val="0"/>
        <w:adjustRightInd w:val="0"/>
        <w:spacing w:before="120" w:after="120"/>
        <w:ind w:left="1134" w:hanging="425"/>
      </w:pPr>
      <w:r w:rsidRPr="009B5662">
        <w:t xml:space="preserve">Reassuring BSP participants at all stages of the screening pathway and particularly when they have a positive </w:t>
      </w:r>
      <w:proofErr w:type="spellStart"/>
      <w:r w:rsidRPr="009B5662">
        <w:t>iFOBT</w:t>
      </w:r>
      <w:proofErr w:type="spellEnd"/>
      <w:r w:rsidRPr="009B5662">
        <w:t xml:space="preserve"> result</w:t>
      </w:r>
      <w:r w:rsidR="0053782E" w:rsidRPr="009B5662">
        <w:t xml:space="preserve"> throug</w:t>
      </w:r>
      <w:r w:rsidR="003D5316" w:rsidRPr="009B5662">
        <w:t>h</w:t>
      </w:r>
      <w:r w:rsidR="0053782E" w:rsidRPr="009B5662">
        <w:t xml:space="preserve"> offering pastoral support from trusted and known health professionals</w:t>
      </w:r>
      <w:r w:rsidR="00C05AE1">
        <w:t>.</w:t>
      </w:r>
    </w:p>
    <w:p w14:paraId="26C30356" w14:textId="77777777" w:rsidR="0053782E" w:rsidRPr="009B5662" w:rsidRDefault="0053782E" w:rsidP="005C2839">
      <w:pPr>
        <w:pStyle w:val="Quote"/>
        <w:ind w:left="1418"/>
      </w:pPr>
      <w:r w:rsidRPr="009B5662">
        <w:t xml:space="preserve">The people who come in for the explanation want the reassurance from people who know them. It is that face-to-face contact that they don’t get from a letter in the post that tells them to do the kit and what else. It is the personal touch. </w:t>
      </w:r>
      <w:r w:rsidRPr="009B5662">
        <w:rPr>
          <w:i w:val="0"/>
        </w:rPr>
        <w:t>[If there was no GP role?]</w:t>
      </w:r>
      <w:r w:rsidRPr="009B5662">
        <w:t xml:space="preserve"> Well, I don’t know but I feel people might be more suspicious of it. There might be less pick up of people doing it, there might be less numbers, where a large corporation sends something through the post they might not feel comfortable, people don’t always like being handled like that. (GP)</w:t>
      </w:r>
    </w:p>
    <w:p w14:paraId="2263B729" w14:textId="4541F1AB" w:rsidR="00265417" w:rsidRPr="009B5662" w:rsidRDefault="003D5316" w:rsidP="00975183">
      <w:pPr>
        <w:numPr>
          <w:ilvl w:val="0"/>
          <w:numId w:val="6"/>
        </w:numPr>
        <w:autoSpaceDE w:val="0"/>
        <w:autoSpaceDN w:val="0"/>
        <w:adjustRightInd w:val="0"/>
        <w:spacing w:before="120" w:after="120"/>
        <w:ind w:left="1134" w:hanging="425"/>
      </w:pPr>
      <w:r w:rsidRPr="009B5662">
        <w:t>Being aware</w:t>
      </w:r>
      <w:r w:rsidR="0053782E" w:rsidRPr="009B5662">
        <w:t xml:space="preserve"> of the patients</w:t>
      </w:r>
      <w:r w:rsidRPr="009B5662">
        <w:t>’</w:t>
      </w:r>
      <w:r w:rsidR="0053782E" w:rsidRPr="009B5662">
        <w:t xml:space="preserve"> medical history which enables the appropriate management </w:t>
      </w:r>
      <w:r w:rsidR="00265417" w:rsidRPr="009B5662">
        <w:t xml:space="preserve">of </w:t>
      </w:r>
      <w:r w:rsidR="0053782E" w:rsidRPr="009B5662">
        <w:t xml:space="preserve">their </w:t>
      </w:r>
      <w:r w:rsidR="00265417" w:rsidRPr="009B5662">
        <w:t xml:space="preserve">health </w:t>
      </w:r>
      <w:r w:rsidR="00305E29" w:rsidRPr="009B5662">
        <w:t>if diagnosed with cancer or needing ongoing surveillance</w:t>
      </w:r>
      <w:r w:rsidR="00C05AE1">
        <w:t>.</w:t>
      </w:r>
      <w:r w:rsidR="00305E29" w:rsidRPr="009B5662">
        <w:t xml:space="preserve"> </w:t>
      </w:r>
    </w:p>
    <w:p w14:paraId="66766D38" w14:textId="77777777" w:rsidR="0074368F" w:rsidRPr="009B5662" w:rsidRDefault="0053782E" w:rsidP="005C2839">
      <w:pPr>
        <w:pStyle w:val="Quote"/>
        <w:ind w:left="1418"/>
      </w:pPr>
      <w:r w:rsidRPr="009B5662">
        <w:t>I think it makes it more personal. The doctors or nurses may be able to suggest, like if they know the patient has haemorrhoids or something they might be able to ease their worries and say look well it might just be this. And they have the opportunity to talk to their own doctor about it rather than someone they are not familiar with.  I think it is important to have some sort of loop with recalling them at appropriate times and if they have treatment we will have the ongoing care so…(Practice Manager)</w:t>
      </w:r>
    </w:p>
    <w:p w14:paraId="6848E890" w14:textId="77777777" w:rsidR="00941684" w:rsidRPr="009B5662" w:rsidRDefault="003E2CD6" w:rsidP="00941684">
      <w:r w:rsidRPr="009B5662">
        <w:t>Following up with non-responders</w:t>
      </w:r>
      <w:r w:rsidR="00AD271D" w:rsidRPr="009B5662">
        <w:t>,</w:t>
      </w:r>
      <w:r w:rsidRPr="009B5662">
        <w:t xml:space="preserve"> particularly M</w:t>
      </w:r>
      <w:r w:rsidRPr="009B5662">
        <w:rPr>
          <w:rFonts w:cs="Arial"/>
        </w:rPr>
        <w:t>ā</w:t>
      </w:r>
      <w:r w:rsidRPr="009B5662">
        <w:t>ori and Pacific people</w:t>
      </w:r>
      <w:r w:rsidR="00AD271D" w:rsidRPr="009B5662">
        <w:t>,</w:t>
      </w:r>
      <w:r w:rsidRPr="009B5662">
        <w:t xml:space="preserve"> was identified as an area where general practice could add further value to the BSP</w:t>
      </w:r>
      <w:r w:rsidR="003D5316" w:rsidRPr="009B5662">
        <w:t>, if they received the list of non-responders for their practice</w:t>
      </w:r>
      <w:r w:rsidRPr="009B5662">
        <w:t xml:space="preserve">.  </w:t>
      </w:r>
    </w:p>
    <w:p w14:paraId="500ED9BE" w14:textId="77777777" w:rsidR="00941684" w:rsidRDefault="00941684" w:rsidP="0077722F">
      <w:pPr>
        <w:pStyle w:val="Quote"/>
        <w:keepNext/>
        <w:keepLines/>
      </w:pPr>
      <w:r>
        <w:lastRenderedPageBreak/>
        <w:t>We have predominantly M</w:t>
      </w:r>
      <w:r>
        <w:rPr>
          <w:rFonts w:cs="Arial"/>
        </w:rPr>
        <w:t>ā</w:t>
      </w:r>
      <w:r>
        <w:t xml:space="preserve">ori and Pacific at the practice so the predominant responses will be from those patients. I have heard things from some patients like, ‘I didn’t think it was important because it didn’t come from you’, ‘if I needed to have this done you would have given it to me before wouldn’t you doctor?’ So I have definitely heard that and that would be a very Pacific response in that a lot of them will place their absolute trust in you and you are the only source of healthcare for them and if you haven’t said to do it then it is not important for them. We talk to patients all the time about other screening activities and this one might be a little outside of that I think, that might be their perception. We talk about breast screening and cervical screening and people know that they have to get those things done. Our rates are very high for Pacific patients for those things, so I am not sure why it would be so low for this. The personality of a letter rather than an explanation from someone they know and trust might be an underlying reason. I have also heard that it didn’t come from you and so I </w:t>
      </w:r>
      <w:proofErr w:type="spellStart"/>
      <w:r>
        <w:t>chucked</w:t>
      </w:r>
      <w:proofErr w:type="spellEnd"/>
      <w:r>
        <w:t xml:space="preserve"> it out but now what can I do about it and that is very difficult to get them to reengage once they have not engaged. (GP)</w:t>
      </w:r>
    </w:p>
    <w:p w14:paraId="64C42A68" w14:textId="77777777" w:rsidR="00190EF7" w:rsidRDefault="00190EF7" w:rsidP="00190EF7">
      <w:pPr>
        <w:rPr>
          <w:lang w:val="en-US"/>
        </w:rPr>
      </w:pPr>
      <w:r>
        <w:rPr>
          <w:lang w:val="en-US"/>
        </w:rPr>
        <w:t>For general practice’s role to be effective, financial barriers need to be remove</w:t>
      </w:r>
      <w:r w:rsidR="00B4682C">
        <w:rPr>
          <w:lang w:val="en-US"/>
        </w:rPr>
        <w:t>d to enable participant a</w:t>
      </w:r>
      <w:r>
        <w:rPr>
          <w:lang w:val="en-US"/>
        </w:rPr>
        <w:t xml:space="preserve">ccess.  </w:t>
      </w:r>
    </w:p>
    <w:p w14:paraId="549BD68F" w14:textId="77777777" w:rsidR="00190EF7" w:rsidRDefault="00190EF7" w:rsidP="00190EF7">
      <w:pPr>
        <w:pStyle w:val="Quote"/>
      </w:pPr>
      <w:r>
        <w:t>With our patients we’re lucky because they get funding for the visits, but coming to the GPs that’s not always the case and you don’t want there to be that financial barrier, particularly because we have a low socio-economic community. (GP)</w:t>
      </w:r>
    </w:p>
    <w:p w14:paraId="798312AC" w14:textId="77777777" w:rsidR="003E2CD6" w:rsidRDefault="00B4682C" w:rsidP="003E2CD6">
      <w:pPr>
        <w:pStyle w:val="Heading3"/>
      </w:pPr>
      <w:r>
        <w:t>Informed but no active role in screening pathway</w:t>
      </w:r>
    </w:p>
    <w:p w14:paraId="347051D0" w14:textId="77777777" w:rsidR="003E2CD6" w:rsidRDefault="003E2CD6" w:rsidP="003E2CD6">
      <w:r>
        <w:t xml:space="preserve">Staff from two general practices did not believe that general practices needed to be involved in the BSP, provided they were kept informed of their patients’ </w:t>
      </w:r>
      <w:proofErr w:type="spellStart"/>
      <w:r>
        <w:t>iFOBT</w:t>
      </w:r>
      <w:proofErr w:type="spellEnd"/>
      <w:r>
        <w:t xml:space="preserve"> and colonoscopy results, and any treatment or interventions arising.  The current role of general practice was seen as confusing what should be a more streamlined process and potentially </w:t>
      </w:r>
      <w:r w:rsidR="00AD271D">
        <w:t xml:space="preserve">was </w:t>
      </w:r>
      <w:r>
        <w:t xml:space="preserve">creating delays.  </w:t>
      </w:r>
    </w:p>
    <w:p w14:paraId="53FF5FD2" w14:textId="77777777" w:rsidR="00B4682C" w:rsidRDefault="00B4682C" w:rsidP="00B4682C">
      <w:pPr>
        <w:pStyle w:val="Quote"/>
      </w:pPr>
      <w:r>
        <w:t>I would say BSP could work as a national screening program</w:t>
      </w:r>
      <w:r w:rsidR="00AD271D">
        <w:t>me</w:t>
      </w:r>
      <w:r>
        <w:t xml:space="preserve"> independent from GPs and we could just be informed about the results. I don’t see our role as particularly important. The role of GPs could just be support for the patient and staying informed about positive tests and colonoscopies. (GP)</w:t>
      </w:r>
    </w:p>
    <w:p w14:paraId="070BCB2B" w14:textId="60E18E29" w:rsidR="00C64168" w:rsidRPr="00C64168" w:rsidRDefault="003E2CD6" w:rsidP="00C64168">
      <w:pPr>
        <w:rPr>
          <w:lang w:val="en-US"/>
        </w:rPr>
      </w:pPr>
      <w:r>
        <w:t xml:space="preserve">One </w:t>
      </w:r>
      <w:r w:rsidR="00B4682C">
        <w:t>GP</w:t>
      </w:r>
      <w:r>
        <w:t xml:space="preserve"> felt that general practice did not need to be involved for all participants, but should focus more on those where they could add th</w:t>
      </w:r>
      <w:r w:rsidR="00B4682C">
        <w:t>e greatest value</w:t>
      </w:r>
      <w:r w:rsidR="00E54918">
        <w:t xml:space="preserve"> (e</w:t>
      </w:r>
      <w:r w:rsidR="00C05AE1">
        <w:t>.</w:t>
      </w:r>
      <w:r w:rsidR="00E54918">
        <w:t>g</w:t>
      </w:r>
      <w:r w:rsidR="00C05AE1">
        <w:t>.</w:t>
      </w:r>
      <w:r w:rsidR="00B4682C">
        <w:t xml:space="preserve"> people who have difficulty understan</w:t>
      </w:r>
      <w:r w:rsidR="00AD271D">
        <w:t>ding the letter, Pacific people</w:t>
      </w:r>
      <w:r w:rsidR="00B4682C">
        <w:t xml:space="preserve"> and those </w:t>
      </w:r>
      <w:r w:rsidR="00E54918">
        <w:t xml:space="preserve">who are </w:t>
      </w:r>
      <w:r w:rsidR="00B4682C">
        <w:t>anxious</w:t>
      </w:r>
      <w:r w:rsidR="00E54918">
        <w:t>)</w:t>
      </w:r>
      <w:r w:rsidR="00B4682C">
        <w:t>.</w:t>
      </w:r>
    </w:p>
    <w:p w14:paraId="6A7DD5DC" w14:textId="77777777" w:rsidR="00AD271D" w:rsidRDefault="000A3067" w:rsidP="000A3067">
      <w:pPr>
        <w:pStyle w:val="Quote"/>
      </w:pPr>
      <w:r>
        <w:t>In terms of having that primary care step, most patients would be fine without it but there will be a select few that want that step, and we can bring them in for a consultation or something and I think we can judge that best. So primary care is important. I think cost-effectiveness would be another arm of it all, what we want is as much</w:t>
      </w:r>
      <w:r w:rsidR="00AD271D">
        <w:t xml:space="preserve"> compliance as possible so the M</w:t>
      </w:r>
      <w:r>
        <w:t>inistry would have to look at that and how the numbers are stacking up and how they want to fund that. (GP)</w:t>
      </w:r>
    </w:p>
    <w:p w14:paraId="78823D53" w14:textId="77777777" w:rsidR="000A3067" w:rsidRDefault="000A3067" w:rsidP="000A3067">
      <w:pPr>
        <w:pStyle w:val="Quote"/>
      </w:pPr>
    </w:p>
    <w:p w14:paraId="37778247" w14:textId="77777777" w:rsidR="005608FD" w:rsidRDefault="00B4682C" w:rsidP="0077722F">
      <w:pPr>
        <w:keepNext/>
        <w:keepLines/>
        <w:pBdr>
          <w:top w:val="double" w:sz="4" w:space="1" w:color="auto"/>
          <w:left w:val="double" w:sz="4" w:space="4" w:color="auto"/>
          <w:bottom w:val="double" w:sz="4" w:space="1" w:color="auto"/>
          <w:right w:val="double" w:sz="4" w:space="4" w:color="auto"/>
        </w:pBdr>
        <w:rPr>
          <w:rFonts w:cs="Arial"/>
          <w:lang w:eastAsia="en-NZ"/>
        </w:rPr>
      </w:pPr>
      <w:r w:rsidRPr="004D3C26">
        <w:rPr>
          <w:rFonts w:cs="Arial"/>
          <w:b/>
          <w:lang w:eastAsia="en-NZ"/>
        </w:rPr>
        <w:lastRenderedPageBreak/>
        <w:t>Summary</w:t>
      </w:r>
      <w:r w:rsidRPr="004D3C26">
        <w:rPr>
          <w:rFonts w:cs="Arial"/>
          <w:lang w:eastAsia="en-NZ"/>
        </w:rPr>
        <w:t xml:space="preserve">: </w:t>
      </w:r>
      <w:r w:rsidR="00061E36">
        <w:rPr>
          <w:rFonts w:cs="Arial"/>
          <w:lang w:eastAsia="en-NZ"/>
        </w:rPr>
        <w:t>General Practice staff have high awareness, knowledge and support of the BSP, although there is concern about the impact of the BSP on symptomatic services particularly wait times for colonoscopy</w:t>
      </w:r>
      <w:r w:rsidR="005608FD">
        <w:rPr>
          <w:rFonts w:cs="Arial"/>
          <w:lang w:eastAsia="en-NZ"/>
        </w:rPr>
        <w:t xml:space="preserve"> for symptomatic patients</w:t>
      </w:r>
      <w:r w:rsidR="00061E36">
        <w:rPr>
          <w:rFonts w:cs="Arial"/>
          <w:lang w:eastAsia="en-NZ"/>
        </w:rPr>
        <w:t xml:space="preserve">. </w:t>
      </w:r>
      <w:r w:rsidR="005608FD">
        <w:rPr>
          <w:rFonts w:cs="Arial"/>
          <w:lang w:eastAsia="en-NZ"/>
        </w:rPr>
        <w:t>Promotion of the BSP by general practice is opportunistic.  Currently practices are unaware of the non-responders in their practice.  A potential enhancement to general practice’s role is following up non-responders.</w:t>
      </w:r>
    </w:p>
    <w:p w14:paraId="7ECDB1A2" w14:textId="4E504648" w:rsidR="005608FD" w:rsidRDefault="00061E36" w:rsidP="00925C4C">
      <w:pPr>
        <w:pBdr>
          <w:top w:val="double" w:sz="4" w:space="1" w:color="auto"/>
          <w:left w:val="double" w:sz="4" w:space="4" w:color="auto"/>
          <w:bottom w:val="double" w:sz="4" w:space="1" w:color="auto"/>
          <w:right w:val="double" w:sz="4" w:space="4" w:color="auto"/>
        </w:pBdr>
        <w:rPr>
          <w:rFonts w:cs="Arial"/>
          <w:lang w:eastAsia="en-NZ"/>
        </w:rPr>
      </w:pPr>
      <w:r>
        <w:rPr>
          <w:rFonts w:cs="Arial"/>
          <w:lang w:eastAsia="en-NZ"/>
        </w:rPr>
        <w:t xml:space="preserve">Most (but not all) GPs are aware of their role to notify participants with positive </w:t>
      </w:r>
      <w:proofErr w:type="spellStart"/>
      <w:r>
        <w:rPr>
          <w:rFonts w:cs="Arial"/>
          <w:lang w:eastAsia="en-NZ"/>
        </w:rPr>
        <w:t>iFOBTs</w:t>
      </w:r>
      <w:proofErr w:type="spellEnd"/>
      <w:r>
        <w:rPr>
          <w:rFonts w:cs="Arial"/>
          <w:lang w:eastAsia="en-NZ"/>
        </w:rPr>
        <w:t xml:space="preserve"> within </w:t>
      </w:r>
      <w:r w:rsidR="00C05AE1">
        <w:rPr>
          <w:rFonts w:cs="Arial"/>
          <w:lang w:eastAsia="en-NZ"/>
        </w:rPr>
        <w:t xml:space="preserve">ten </w:t>
      </w:r>
      <w:r>
        <w:rPr>
          <w:rFonts w:cs="Arial"/>
          <w:lang w:eastAsia="en-NZ"/>
        </w:rPr>
        <w:t>days.  How participants are informed by ge</w:t>
      </w:r>
      <w:r w:rsidR="005608FD">
        <w:rPr>
          <w:rFonts w:cs="Arial"/>
          <w:lang w:eastAsia="en-NZ"/>
        </w:rPr>
        <w:t>neral practice varies from face-to-</w:t>
      </w:r>
      <w:r>
        <w:rPr>
          <w:rFonts w:cs="Arial"/>
          <w:lang w:eastAsia="en-NZ"/>
        </w:rPr>
        <w:t xml:space="preserve">face consult with GP to phone discussion with practice nurse.  </w:t>
      </w:r>
    </w:p>
    <w:p w14:paraId="34249DDF" w14:textId="77777777" w:rsidR="00061E36" w:rsidRPr="00533760" w:rsidRDefault="00061E36" w:rsidP="00925C4C">
      <w:pPr>
        <w:pBdr>
          <w:top w:val="double" w:sz="4" w:space="1" w:color="auto"/>
          <w:left w:val="double" w:sz="4" w:space="4" w:color="auto"/>
          <w:bottom w:val="double" w:sz="4" w:space="1" w:color="auto"/>
          <w:right w:val="double" w:sz="4" w:space="4" w:color="auto"/>
        </w:pBdr>
        <w:rPr>
          <w:rFonts w:cs="Arial"/>
        </w:rPr>
      </w:pPr>
      <w:r>
        <w:rPr>
          <w:rFonts w:cs="Arial"/>
          <w:lang w:eastAsia="en-NZ"/>
        </w:rPr>
        <w:t xml:space="preserve">Most GPs and other staff perceive that having general practice involved in the BSP supports more participants to take part </w:t>
      </w:r>
      <w:r w:rsidR="005608FD">
        <w:rPr>
          <w:rFonts w:cs="Arial"/>
          <w:lang w:eastAsia="en-NZ"/>
        </w:rPr>
        <w:t xml:space="preserve">and enhances participant experience.  In contrast, </w:t>
      </w:r>
      <w:r w:rsidR="00375A28">
        <w:rPr>
          <w:rFonts w:cs="Arial"/>
          <w:lang w:eastAsia="en-NZ"/>
        </w:rPr>
        <w:t>a few</w:t>
      </w:r>
      <w:r w:rsidR="005608FD">
        <w:rPr>
          <w:rFonts w:cs="Arial"/>
          <w:lang w:eastAsia="en-NZ"/>
        </w:rPr>
        <w:t xml:space="preserve"> GPs did not perceive an added value role for general practice, and simply wanted to be kept informed of their patients’ results and interventions.  </w:t>
      </w:r>
    </w:p>
    <w:p w14:paraId="7BC93DF6" w14:textId="77777777" w:rsidR="00D679FA" w:rsidRDefault="00D679FA">
      <w:pPr>
        <w:spacing w:before="0"/>
        <w:ind w:left="0"/>
        <w:rPr>
          <w:lang w:val="en-US"/>
        </w:rPr>
      </w:pPr>
      <w:r>
        <w:rPr>
          <w:lang w:val="en-US"/>
        </w:rPr>
        <w:br w:type="page"/>
      </w:r>
    </w:p>
    <w:p w14:paraId="725B1148" w14:textId="77777777" w:rsidR="00192DD8" w:rsidRDefault="009C4456" w:rsidP="00D679FA">
      <w:pPr>
        <w:pStyle w:val="Heading1"/>
        <w:rPr>
          <w:lang w:val="en-US"/>
        </w:rPr>
      </w:pPr>
      <w:bookmarkStart w:id="65" w:name="_Toc380424717"/>
      <w:r>
        <w:rPr>
          <w:lang w:val="en-US"/>
        </w:rPr>
        <w:lastRenderedPageBreak/>
        <w:t>7</w:t>
      </w:r>
      <w:r w:rsidR="00D679FA">
        <w:rPr>
          <w:lang w:val="en-US"/>
        </w:rPr>
        <w:t>.</w:t>
      </w:r>
      <w:r w:rsidR="00D679FA">
        <w:rPr>
          <w:lang w:val="en-US"/>
        </w:rPr>
        <w:tab/>
      </w:r>
      <w:r w:rsidR="005475D3">
        <w:rPr>
          <w:lang w:val="en-US"/>
        </w:rPr>
        <w:t>Discussion</w:t>
      </w:r>
      <w:bookmarkEnd w:id="65"/>
    </w:p>
    <w:p w14:paraId="2AB2EE5E" w14:textId="77777777" w:rsidR="00AE5E62" w:rsidRDefault="003B2FC7" w:rsidP="00AE5E62">
      <w:r>
        <w:rPr>
          <w:lang w:val="en-US"/>
        </w:rPr>
        <w:t xml:space="preserve">The role of general practice in informing BSP participants of a positive </w:t>
      </w:r>
      <w:proofErr w:type="spellStart"/>
      <w:r>
        <w:rPr>
          <w:lang w:val="en-US"/>
        </w:rPr>
        <w:t>iFOBT</w:t>
      </w:r>
      <w:proofErr w:type="spellEnd"/>
      <w:r>
        <w:rPr>
          <w:lang w:val="en-US"/>
        </w:rPr>
        <w:t xml:space="preserve"> </w:t>
      </w:r>
      <w:r>
        <w:t xml:space="preserve">is a unique element of the BSP.  </w:t>
      </w:r>
      <w:r>
        <w:rPr>
          <w:lang w:val="en-US"/>
        </w:rPr>
        <w:t xml:space="preserve">Internationally, </w:t>
      </w:r>
      <w:r w:rsidRPr="00722841">
        <w:rPr>
          <w:lang w:val="en-US"/>
        </w:rPr>
        <w:t xml:space="preserve">GP involvement in bowel screening has been shown to have a positive impact on </w:t>
      </w:r>
      <w:proofErr w:type="spellStart"/>
      <w:r>
        <w:rPr>
          <w:lang w:val="en-US"/>
        </w:rPr>
        <w:t>i</w:t>
      </w:r>
      <w:r w:rsidRPr="00722841">
        <w:rPr>
          <w:lang w:val="en-US"/>
        </w:rPr>
        <w:t>FOBT</w:t>
      </w:r>
      <w:proofErr w:type="spellEnd"/>
      <w:r w:rsidRPr="00722841">
        <w:rPr>
          <w:lang w:val="en-US"/>
        </w:rPr>
        <w:t xml:space="preserve"> screening participants, although</w:t>
      </w:r>
      <w:r>
        <w:rPr>
          <w:lang w:val="en-US"/>
        </w:rPr>
        <w:t xml:space="preserve"> this is </w:t>
      </w:r>
      <w:r w:rsidRPr="00722841">
        <w:rPr>
          <w:lang w:val="en-US"/>
        </w:rPr>
        <w:t>subject to high variability (</w:t>
      </w:r>
      <w:proofErr w:type="spellStart"/>
      <w:r w:rsidRPr="00722841">
        <w:rPr>
          <w:lang w:val="en-US"/>
        </w:rPr>
        <w:t>Federici</w:t>
      </w:r>
      <w:proofErr w:type="spellEnd"/>
      <w:r w:rsidRPr="00722841">
        <w:rPr>
          <w:lang w:val="en-US"/>
        </w:rPr>
        <w:t xml:space="preserve"> et al 2006, Koo et al 2010, Power et al 2009)</w:t>
      </w:r>
      <w:r>
        <w:rPr>
          <w:lang w:val="en-US"/>
        </w:rPr>
        <w:t>.</w:t>
      </w:r>
      <w:r w:rsidR="0072380F">
        <w:rPr>
          <w:lang w:val="en-US"/>
        </w:rPr>
        <w:t xml:space="preserve">  </w:t>
      </w:r>
      <w:r>
        <w:rPr>
          <w:lang w:val="en-US"/>
        </w:rPr>
        <w:t>Given this unique role and noted variation, this report explored the role and</w:t>
      </w:r>
      <w:r>
        <w:t xml:space="preserve"> value of general practice in the BSP.  </w:t>
      </w:r>
      <w:r w:rsidR="005475D3">
        <w:t>T</w:t>
      </w:r>
      <w:r>
        <w:t>he fol</w:t>
      </w:r>
      <w:r w:rsidR="005475D3">
        <w:t xml:space="preserve">lowing discussion draws across the findings of the report. </w:t>
      </w:r>
      <w:r w:rsidR="00AE5E62">
        <w:t xml:space="preserve"> </w:t>
      </w:r>
    </w:p>
    <w:p w14:paraId="2D6F65B0" w14:textId="77777777" w:rsidR="00594E28" w:rsidRPr="00594E28" w:rsidRDefault="003B2FC7" w:rsidP="00AE5E62">
      <w:pPr>
        <w:rPr>
          <w:rFonts w:cs="Arial"/>
        </w:rPr>
      </w:pPr>
      <w:r>
        <w:t>General practices in WDHB have high levels of awareness, knowledge and support of the BSP, and in the main they are undertaking their role in the BSP as intended</w:t>
      </w:r>
      <w:r w:rsidR="00E93B45">
        <w:t>.</w:t>
      </w:r>
      <w:r w:rsidR="00AE5E62">
        <w:t xml:space="preserve">  </w:t>
      </w:r>
      <w:r>
        <w:t xml:space="preserve">Areas for enhancing knowledge and understanding </w:t>
      </w:r>
      <w:r w:rsidR="00594E28">
        <w:t xml:space="preserve">of general practice roles in the BSP are </w:t>
      </w:r>
      <w:r>
        <w:t>in relation to</w:t>
      </w:r>
      <w:r w:rsidR="00594E28">
        <w:t>:</w:t>
      </w:r>
    </w:p>
    <w:p w14:paraId="259CED1A" w14:textId="77777777" w:rsidR="003B2FC7" w:rsidRPr="00AE5E62" w:rsidRDefault="00594E28" w:rsidP="00AE5E62">
      <w:pPr>
        <w:numPr>
          <w:ilvl w:val="0"/>
          <w:numId w:val="6"/>
        </w:numPr>
        <w:autoSpaceDE w:val="0"/>
        <w:autoSpaceDN w:val="0"/>
        <w:adjustRightInd w:val="0"/>
        <w:spacing w:before="60" w:after="120"/>
        <w:ind w:left="1134" w:hanging="425"/>
      </w:pPr>
      <w:r w:rsidRPr="000B6196">
        <w:t>referring</w:t>
      </w:r>
      <w:r w:rsidRPr="007972D2">
        <w:t xml:space="preserve"> patients with family history of bowel cancer to the New Zealand Familial Gastrointestinal Cancer Registry</w:t>
      </w:r>
    </w:p>
    <w:p w14:paraId="1040C1F5" w14:textId="77777777" w:rsidR="00594E28" w:rsidRPr="00AE5E62" w:rsidRDefault="002C7C29" w:rsidP="00AE5E62">
      <w:pPr>
        <w:numPr>
          <w:ilvl w:val="0"/>
          <w:numId w:val="6"/>
        </w:numPr>
        <w:autoSpaceDE w:val="0"/>
        <w:autoSpaceDN w:val="0"/>
        <w:adjustRightInd w:val="0"/>
        <w:spacing w:before="60" w:after="120"/>
        <w:ind w:left="1134" w:hanging="425"/>
      </w:pPr>
      <w:r w:rsidRPr="00AE5E62">
        <w:t xml:space="preserve">ensuring general </w:t>
      </w:r>
      <w:r w:rsidR="0072380F">
        <w:t xml:space="preserve">practice </w:t>
      </w:r>
      <w:r w:rsidRPr="00AE5E62">
        <w:t>staff new to the WDHB are aware of their role in the BSP</w:t>
      </w:r>
    </w:p>
    <w:p w14:paraId="1F5DA0BC" w14:textId="77777777" w:rsidR="002C7C29" w:rsidRDefault="002C7C29" w:rsidP="00AE5E62">
      <w:pPr>
        <w:numPr>
          <w:ilvl w:val="0"/>
          <w:numId w:val="6"/>
        </w:numPr>
        <w:autoSpaceDE w:val="0"/>
        <w:autoSpaceDN w:val="0"/>
        <w:adjustRightInd w:val="0"/>
        <w:spacing w:before="60" w:after="120"/>
        <w:ind w:left="1134" w:hanging="425"/>
        <w:rPr>
          <w:rFonts w:cs="Arial"/>
        </w:rPr>
      </w:pPr>
      <w:r w:rsidRPr="00AE5E62">
        <w:t>clarifying responsibilities and processes relating to BSP participants requiring recall for</w:t>
      </w:r>
      <w:r>
        <w:rPr>
          <w:rFonts w:cs="Arial"/>
        </w:rPr>
        <w:t xml:space="preserve"> surveillance </w:t>
      </w:r>
      <w:r w:rsidR="003277DA">
        <w:rPr>
          <w:rFonts w:cs="Arial"/>
        </w:rPr>
        <w:t>colonoscopies</w:t>
      </w:r>
      <w:r>
        <w:rPr>
          <w:rFonts w:cs="Arial"/>
        </w:rPr>
        <w:t xml:space="preserve">. </w:t>
      </w:r>
    </w:p>
    <w:p w14:paraId="65EBFFC5" w14:textId="77777777" w:rsidR="005475D3" w:rsidRDefault="00D1687D" w:rsidP="005475D3">
      <w:r>
        <w:t>T</w:t>
      </w:r>
      <w:r w:rsidR="00AE5E62" w:rsidRPr="00AE5E62">
        <w:t xml:space="preserve">he key area of </w:t>
      </w:r>
      <w:r w:rsidR="00AE5E62">
        <w:t xml:space="preserve">debate is the value added by general practice </w:t>
      </w:r>
      <w:r w:rsidR="00AE5E62" w:rsidRPr="00AE5E62">
        <w:t xml:space="preserve">informing BSP participants </w:t>
      </w:r>
      <w:r w:rsidR="005475D3">
        <w:t xml:space="preserve">they have a positive </w:t>
      </w:r>
      <w:proofErr w:type="spellStart"/>
      <w:r w:rsidR="005475D3">
        <w:t>iFOBT</w:t>
      </w:r>
      <w:proofErr w:type="spellEnd"/>
      <w:r w:rsidR="005475D3">
        <w:t xml:space="preserve"> result</w:t>
      </w:r>
      <w:r w:rsidR="00C57A7D">
        <w:t>.  M</w:t>
      </w:r>
      <w:r w:rsidR="001C0150" w:rsidRPr="00AE5E62">
        <w:t xml:space="preserve">ost </w:t>
      </w:r>
      <w:r w:rsidR="002C7C29" w:rsidRPr="00AE5E62">
        <w:t xml:space="preserve">BSP participants do not </w:t>
      </w:r>
      <w:r w:rsidR="00C57A7D">
        <w:t xml:space="preserve">appear to </w:t>
      </w:r>
      <w:r w:rsidR="002C7C29" w:rsidRPr="00AE5E62">
        <w:t xml:space="preserve">have a strong preference </w:t>
      </w:r>
      <w:r>
        <w:t xml:space="preserve">on </w:t>
      </w:r>
      <w:r w:rsidR="002C7C29" w:rsidRPr="00AE5E62">
        <w:t xml:space="preserve">who informs them about a positive </w:t>
      </w:r>
      <w:proofErr w:type="spellStart"/>
      <w:r w:rsidR="002C7C29" w:rsidRPr="00AE5E62">
        <w:t>iFOBT</w:t>
      </w:r>
      <w:proofErr w:type="spellEnd"/>
      <w:r w:rsidR="002C7C29" w:rsidRPr="00AE5E62">
        <w:t xml:space="preserve"> result so long as the</w:t>
      </w:r>
      <w:r w:rsidR="001C0150" w:rsidRPr="00AE5E62">
        <w:t>ir</w:t>
      </w:r>
      <w:r w:rsidR="002C7C29" w:rsidRPr="00AE5E62">
        <w:t xml:space="preserve"> results are timely, convenient, given in a reassuring manner, </w:t>
      </w:r>
      <w:r w:rsidR="00AE2DB5" w:rsidRPr="00AE5E62">
        <w:t xml:space="preserve">their GP is kept informed, </w:t>
      </w:r>
      <w:r w:rsidR="002C7C29" w:rsidRPr="00AE5E62">
        <w:t xml:space="preserve">and the transition to colonoscopy is well explained, timely and streamlined. </w:t>
      </w:r>
      <w:r w:rsidR="00AE2DB5" w:rsidRPr="00AE5E62">
        <w:t xml:space="preserve"> </w:t>
      </w:r>
      <w:r w:rsidR="005475D3">
        <w:t xml:space="preserve">The exception is </w:t>
      </w:r>
      <w:r w:rsidR="00C57A7D">
        <w:t>BSP</w:t>
      </w:r>
      <w:r w:rsidR="005475D3">
        <w:t xml:space="preserve"> </w:t>
      </w:r>
      <w:r w:rsidR="001C0150" w:rsidRPr="00AE5E62">
        <w:t xml:space="preserve">participants </w:t>
      </w:r>
      <w:r w:rsidR="00AE2DB5" w:rsidRPr="00AE5E62">
        <w:t>who are highly anxious</w:t>
      </w:r>
      <w:r w:rsidR="00E93B45" w:rsidRPr="00AE5E62">
        <w:t xml:space="preserve">, </w:t>
      </w:r>
      <w:r w:rsidR="005475D3">
        <w:t>have</w:t>
      </w:r>
      <w:r w:rsidR="00AE2DB5" w:rsidRPr="00AE5E62">
        <w:t xml:space="preserve"> other health conditions</w:t>
      </w:r>
      <w:r>
        <w:t>,</w:t>
      </w:r>
      <w:r w:rsidR="00AE2DB5" w:rsidRPr="00AE5E62">
        <w:t xml:space="preserve"> </w:t>
      </w:r>
      <w:r w:rsidR="00E93B45" w:rsidRPr="00AE5E62">
        <w:t xml:space="preserve">or </w:t>
      </w:r>
      <w:r w:rsidR="00AD271D">
        <w:t xml:space="preserve">are </w:t>
      </w:r>
      <w:r w:rsidR="00E93B45" w:rsidRPr="00AE5E62">
        <w:t xml:space="preserve">reluctant to have a colonoscopy </w:t>
      </w:r>
      <w:r w:rsidR="005475D3">
        <w:t xml:space="preserve">who </w:t>
      </w:r>
      <w:r w:rsidR="00AD271D">
        <w:t xml:space="preserve">feel they </w:t>
      </w:r>
      <w:r w:rsidR="005475D3">
        <w:t>benefit from a consultation with their GP about the</w:t>
      </w:r>
      <w:r w:rsidR="00AD271D">
        <w:t>ir positive result</w:t>
      </w:r>
      <w:r w:rsidR="001C0150" w:rsidRPr="00AE5E62">
        <w:t xml:space="preserve">. </w:t>
      </w:r>
      <w:r w:rsidR="00AE5E62">
        <w:t xml:space="preserve"> </w:t>
      </w:r>
    </w:p>
    <w:p w14:paraId="29C0209A" w14:textId="77777777" w:rsidR="00825E63" w:rsidRDefault="00825E63" w:rsidP="00825E63">
      <w:r>
        <w:t>The consequences of general practice not being involve</w:t>
      </w:r>
      <w:r w:rsidR="003277DA">
        <w:t>d</w:t>
      </w:r>
      <w:r w:rsidR="00D1687D">
        <w:t xml:space="preserve"> in</w:t>
      </w:r>
      <w:r>
        <w:t xml:space="preserve"> </w:t>
      </w:r>
      <w:r w:rsidR="00D1687D" w:rsidRPr="00AE5E62">
        <w:t>informing BSP participants</w:t>
      </w:r>
      <w:r w:rsidR="00375A28">
        <w:t xml:space="preserve"> when</w:t>
      </w:r>
      <w:r w:rsidR="00D1687D" w:rsidRPr="00AE5E62">
        <w:t xml:space="preserve"> </w:t>
      </w:r>
      <w:r w:rsidR="00D1687D">
        <w:t xml:space="preserve">they have a positive </w:t>
      </w:r>
      <w:proofErr w:type="spellStart"/>
      <w:r w:rsidR="00D1687D">
        <w:t>iFOBT</w:t>
      </w:r>
      <w:proofErr w:type="spellEnd"/>
      <w:r w:rsidR="00D1687D">
        <w:t xml:space="preserve"> result </w:t>
      </w:r>
      <w:r>
        <w:t>need</w:t>
      </w:r>
      <w:r w:rsidR="00375A28">
        <w:t>s</w:t>
      </w:r>
      <w:r>
        <w:t xml:space="preserve"> to be </w:t>
      </w:r>
      <w:r w:rsidR="00D1687D">
        <w:t>weighed up</w:t>
      </w:r>
      <w:r>
        <w:t xml:space="preserve">, in particular: </w:t>
      </w:r>
    </w:p>
    <w:p w14:paraId="4AAF8D56" w14:textId="77777777" w:rsidR="00825E63" w:rsidRDefault="00E34162" w:rsidP="00825E63">
      <w:pPr>
        <w:numPr>
          <w:ilvl w:val="0"/>
          <w:numId w:val="23"/>
        </w:numPr>
        <w:autoSpaceDE w:val="0"/>
        <w:autoSpaceDN w:val="0"/>
        <w:adjustRightInd w:val="0"/>
        <w:spacing w:before="60" w:after="120"/>
        <w:ind w:left="1134" w:hanging="425"/>
      </w:pPr>
      <w:r>
        <w:t>the impact on the continuity of care for participants diagnosed with bowel cancer.  It is assumed the impact would be minimal provided GPs are informed about their patients</w:t>
      </w:r>
      <w:r w:rsidR="00AD271D">
        <w:t>’</w:t>
      </w:r>
      <w:r>
        <w:t xml:space="preserve"> results</w:t>
      </w:r>
      <w:r w:rsidR="0072380F">
        <w:t>.</w:t>
      </w:r>
    </w:p>
    <w:p w14:paraId="4BCDEA78" w14:textId="77777777" w:rsidR="00D1687D" w:rsidRPr="00AB7CFB" w:rsidRDefault="00E34162" w:rsidP="00D1687D">
      <w:pPr>
        <w:numPr>
          <w:ilvl w:val="0"/>
          <w:numId w:val="23"/>
        </w:numPr>
        <w:autoSpaceDE w:val="0"/>
        <w:autoSpaceDN w:val="0"/>
        <w:adjustRightInd w:val="0"/>
        <w:spacing w:before="60" w:after="120"/>
        <w:ind w:left="1134" w:hanging="425"/>
        <w:rPr>
          <w:rFonts w:cs="Arial"/>
        </w:rPr>
      </w:pPr>
      <w:r>
        <w:t xml:space="preserve">the impact on general practice’s promotion of the BSP and willingness to follow up non-responders if they no longer have a key role in the pathway.  </w:t>
      </w:r>
      <w:r w:rsidR="00D1687D">
        <w:t>This comment reflects that day-to-day general practice deals with many competing priorities so there is a risk that without this role the BSP may not be top of mind.  Currently the focus for the BSP is on identifying strategies to increase participation by eligible M</w:t>
      </w:r>
      <w:r w:rsidR="00D1687D" w:rsidRPr="00C57A7D">
        <w:t>ā</w:t>
      </w:r>
      <w:r w:rsidR="00D1687D">
        <w:t xml:space="preserve">ori and Pacific people as they are the under-screened population.  General practice could have a role in encouraging non-responders (if made aware of who they are) to take part in the BSP – this may or may not increase participation by </w:t>
      </w:r>
      <w:r w:rsidR="00D1687D" w:rsidRPr="00FD585F">
        <w:t>M</w:t>
      </w:r>
      <w:r w:rsidR="00D1687D" w:rsidRPr="00C57A7D">
        <w:t>ā</w:t>
      </w:r>
      <w:r w:rsidR="00D1687D" w:rsidRPr="00FD585F">
        <w:t>ori</w:t>
      </w:r>
      <w:r w:rsidR="00D1687D">
        <w:t xml:space="preserve"> and Pacific people.  </w:t>
      </w:r>
    </w:p>
    <w:p w14:paraId="35A8C959" w14:textId="77777777" w:rsidR="00D1687D" w:rsidRPr="00D1687D" w:rsidRDefault="00D1687D" w:rsidP="00AE5E62">
      <w:pPr>
        <w:numPr>
          <w:ilvl w:val="0"/>
          <w:numId w:val="23"/>
        </w:numPr>
        <w:autoSpaceDE w:val="0"/>
        <w:autoSpaceDN w:val="0"/>
        <w:adjustRightInd w:val="0"/>
        <w:spacing w:before="60" w:after="120"/>
        <w:ind w:left="1134" w:hanging="425"/>
        <w:rPr>
          <w:rFonts w:cs="Arial"/>
        </w:rPr>
      </w:pPr>
      <w:r>
        <w:t xml:space="preserve">the impact and cost of the Endoscopy Unit’s CNS undertaking this role for all participants with a positive </w:t>
      </w:r>
      <w:proofErr w:type="spellStart"/>
      <w:r>
        <w:t>iFOBT</w:t>
      </w:r>
      <w:proofErr w:type="spellEnd"/>
      <w:r>
        <w:t xml:space="preserve"> result and if not the CNS the acceptability of other BSP staff to participants.</w:t>
      </w:r>
    </w:p>
    <w:p w14:paraId="27412750" w14:textId="77777777" w:rsidR="00192DD8" w:rsidRDefault="00192DD8" w:rsidP="00192DD8">
      <w:pPr>
        <w:spacing w:before="0"/>
        <w:ind w:left="0"/>
        <w:rPr>
          <w:rFonts w:cs="Arial"/>
          <w:b/>
        </w:rPr>
      </w:pPr>
      <w:r>
        <w:rPr>
          <w:rFonts w:cs="Arial"/>
          <w:b/>
        </w:rPr>
        <w:br w:type="page"/>
      </w:r>
    </w:p>
    <w:p w14:paraId="098DE296" w14:textId="77777777" w:rsidR="00EF1D54" w:rsidRDefault="00DC0B42" w:rsidP="00DC0B42">
      <w:pPr>
        <w:pStyle w:val="Heading1"/>
      </w:pPr>
      <w:bookmarkStart w:id="66" w:name="_Toc380424718"/>
      <w:r>
        <w:lastRenderedPageBreak/>
        <w:t>Bibliography</w:t>
      </w:r>
      <w:bookmarkEnd w:id="66"/>
    </w:p>
    <w:p w14:paraId="233A42A6" w14:textId="77777777" w:rsidR="00DC0B42" w:rsidRDefault="00DC0B42" w:rsidP="00DC0B42">
      <w:proofErr w:type="spellStart"/>
      <w:r>
        <w:t>Federici</w:t>
      </w:r>
      <w:proofErr w:type="spellEnd"/>
      <w:r>
        <w:t xml:space="preserve"> A, Giorgi Rossi P, </w:t>
      </w:r>
      <w:proofErr w:type="spellStart"/>
      <w:r>
        <w:t>Bartolozzi</w:t>
      </w:r>
      <w:proofErr w:type="spellEnd"/>
      <w:r>
        <w:t xml:space="preserve"> F, </w:t>
      </w:r>
      <w:proofErr w:type="spellStart"/>
      <w:r>
        <w:t>Farchi</w:t>
      </w:r>
      <w:proofErr w:type="spellEnd"/>
      <w:r>
        <w:t xml:space="preserve"> S, Borgia P, &amp;</w:t>
      </w:r>
      <w:r w:rsidR="00687D7D">
        <w:t xml:space="preserve"> </w:t>
      </w:r>
      <w:proofErr w:type="spellStart"/>
      <w:r>
        <w:t>Guastcchi</w:t>
      </w:r>
      <w:proofErr w:type="spellEnd"/>
      <w:r>
        <w:t xml:space="preserve"> G. 2006. The role of GPs in increasing compliance to colorectal cancer screening: a randomised controlled trial (Italy). Cancer Causes Control, 17(1), 45-52.</w:t>
      </w:r>
    </w:p>
    <w:p w14:paraId="0D1BAFF3" w14:textId="77777777" w:rsidR="00DC0B42" w:rsidRDefault="00DC0B42" w:rsidP="00DC0B42">
      <w:pPr>
        <w:rPr>
          <w:rFonts w:cs="Arial"/>
          <w:szCs w:val="24"/>
          <w:lang w:val="en-GB"/>
        </w:rPr>
      </w:pPr>
      <w:r>
        <w:t>Koo</w:t>
      </w:r>
      <w:r>
        <w:rPr>
          <w:rFonts w:cs="Arial"/>
          <w:szCs w:val="24"/>
          <w:lang w:val="en-GB"/>
        </w:rPr>
        <w:t xml:space="preserve"> J H, </w:t>
      </w:r>
      <w:proofErr w:type="spellStart"/>
      <w:r>
        <w:rPr>
          <w:rFonts w:cs="Arial"/>
          <w:szCs w:val="24"/>
          <w:lang w:val="en-GB"/>
        </w:rPr>
        <w:t>Arasaratnam</w:t>
      </w:r>
      <w:proofErr w:type="spellEnd"/>
      <w:r>
        <w:rPr>
          <w:rFonts w:cs="Arial"/>
          <w:szCs w:val="24"/>
          <w:lang w:val="en-GB"/>
        </w:rPr>
        <w:t xml:space="preserve"> M </w:t>
      </w:r>
      <w:proofErr w:type="spellStart"/>
      <w:r>
        <w:rPr>
          <w:rFonts w:cs="Arial"/>
          <w:szCs w:val="24"/>
          <w:lang w:val="en-GB"/>
        </w:rPr>
        <w:t>M</w:t>
      </w:r>
      <w:proofErr w:type="spellEnd"/>
      <w:r>
        <w:rPr>
          <w:rFonts w:cs="Arial"/>
          <w:szCs w:val="24"/>
          <w:lang w:val="en-GB"/>
        </w:rPr>
        <w:t xml:space="preserve">, Liu K, Redmond D M, Connor S J, Sung J </w:t>
      </w:r>
      <w:proofErr w:type="spellStart"/>
      <w:r>
        <w:rPr>
          <w:rFonts w:cs="Arial"/>
          <w:szCs w:val="24"/>
          <w:lang w:val="en-GB"/>
        </w:rPr>
        <w:t>J</w:t>
      </w:r>
      <w:proofErr w:type="spellEnd"/>
      <w:r>
        <w:rPr>
          <w:rFonts w:cs="Arial"/>
          <w:szCs w:val="24"/>
          <w:lang w:val="en-GB"/>
        </w:rPr>
        <w:t xml:space="preserve"> et al. 2010. Knowledge, perception and practices of colorectal cancer screening in an ethnically diverse population.</w:t>
      </w:r>
      <w:r w:rsidR="00687D7D">
        <w:rPr>
          <w:rFonts w:cs="Arial"/>
          <w:szCs w:val="24"/>
          <w:lang w:val="en-GB"/>
        </w:rPr>
        <w:t xml:space="preserve"> </w:t>
      </w:r>
      <w:r>
        <w:rPr>
          <w:rFonts w:cs="Arial"/>
          <w:i/>
          <w:szCs w:val="24"/>
          <w:lang w:val="en-GB"/>
        </w:rPr>
        <w:t>Cancer Epidemiology</w:t>
      </w:r>
      <w:r>
        <w:rPr>
          <w:rFonts w:cs="Arial"/>
          <w:szCs w:val="24"/>
          <w:lang w:val="en-GB"/>
        </w:rPr>
        <w:t>, 34(5), 604-610.</w:t>
      </w:r>
    </w:p>
    <w:p w14:paraId="7A39C85A" w14:textId="77777777" w:rsidR="00DC0B42" w:rsidRPr="00A113D0" w:rsidRDefault="00DC0B42" w:rsidP="00DC0B42">
      <w:r w:rsidRPr="00A113D0">
        <w:t>Litmus. 201</w:t>
      </w:r>
      <w:r>
        <w:t>1</w:t>
      </w:r>
      <w:r w:rsidRPr="00A113D0">
        <w:t xml:space="preserve">. </w:t>
      </w:r>
      <w:r w:rsidRPr="00A113D0">
        <w:rPr>
          <w:i/>
        </w:rPr>
        <w:t xml:space="preserve">Evaluation Plan for the </w:t>
      </w:r>
      <w:r>
        <w:rPr>
          <w:i/>
        </w:rPr>
        <w:t>Bowel Screening Pilot</w:t>
      </w:r>
      <w:r w:rsidRPr="00A113D0">
        <w:rPr>
          <w:i/>
        </w:rPr>
        <w:t xml:space="preserve"> 2011–2016.</w:t>
      </w:r>
      <w:r w:rsidR="00687D7D">
        <w:rPr>
          <w:i/>
        </w:rPr>
        <w:t xml:space="preserve"> </w:t>
      </w:r>
      <w:r w:rsidRPr="00A113D0">
        <w:t>Prepared for the Ministry of Health. Wellington, New Zealand: Litmus Limited.</w:t>
      </w:r>
    </w:p>
    <w:p w14:paraId="15C8250D" w14:textId="77777777" w:rsidR="00DC0B42" w:rsidRPr="00A113D0" w:rsidRDefault="00DC0B42" w:rsidP="00DC0B42">
      <w:r>
        <w:t xml:space="preserve">Litmus. 2013.  </w:t>
      </w:r>
      <w:r w:rsidRPr="00A800A0">
        <w:rPr>
          <w:i/>
        </w:rPr>
        <w:t>Evaluation of the Bowel Screening Pilot – Findings from 2012 Immersion Visit</w:t>
      </w:r>
      <w:r>
        <w:rPr>
          <w:i/>
        </w:rPr>
        <w:t xml:space="preserve">. </w:t>
      </w:r>
      <w:r w:rsidRPr="00A113D0">
        <w:t>Wellington, New Zealand: Litmus Limited.</w:t>
      </w:r>
    </w:p>
    <w:p w14:paraId="3A421D0B" w14:textId="77777777" w:rsidR="00DC0B42" w:rsidRPr="00A113D0" w:rsidRDefault="00DC0B42" w:rsidP="00DC0B42">
      <w:r>
        <w:t>Litmus.</w:t>
      </w:r>
      <w:r w:rsidR="00687D7D">
        <w:t xml:space="preserve"> </w:t>
      </w:r>
      <w:r>
        <w:t xml:space="preserve">2013a.  </w:t>
      </w:r>
      <w:r>
        <w:rPr>
          <w:i/>
        </w:rPr>
        <w:t>Eligible Population Perspectives</w:t>
      </w:r>
      <w:r w:rsidRPr="007538B5">
        <w:rPr>
          <w:i/>
        </w:rPr>
        <w:t>.</w:t>
      </w:r>
      <w:r w:rsidR="00687D7D">
        <w:rPr>
          <w:i/>
        </w:rPr>
        <w:t xml:space="preserve"> </w:t>
      </w:r>
      <w:r w:rsidRPr="00A113D0">
        <w:t>Wellington, New Zealand: Litmus Limited.</w:t>
      </w:r>
    </w:p>
    <w:p w14:paraId="1561071D" w14:textId="77777777" w:rsidR="00DC0B42" w:rsidRDefault="00DC0B42" w:rsidP="00DC0B42">
      <w:r>
        <w:t xml:space="preserve">Litmus. 2014.  </w:t>
      </w:r>
      <w:r w:rsidRPr="00A800A0">
        <w:rPr>
          <w:i/>
        </w:rPr>
        <w:t>Evaluation of the Bowel Screening Pilot –</w:t>
      </w:r>
      <w:r>
        <w:rPr>
          <w:i/>
        </w:rPr>
        <w:t xml:space="preserve"> Findings from the 2013 </w:t>
      </w:r>
      <w:r w:rsidRPr="00A800A0">
        <w:rPr>
          <w:i/>
        </w:rPr>
        <w:t>Immersion Visit</w:t>
      </w:r>
      <w:r>
        <w:rPr>
          <w:i/>
        </w:rPr>
        <w:t xml:space="preserve">. </w:t>
      </w:r>
      <w:r w:rsidRPr="00A113D0">
        <w:t>Wellington, New Zealand: Litmus Limited.</w:t>
      </w:r>
    </w:p>
    <w:p w14:paraId="465AAE63" w14:textId="77777777" w:rsidR="00DC0B42" w:rsidRDefault="00DC0B42" w:rsidP="00DC0B42">
      <w:r>
        <w:t>Litmus.</w:t>
      </w:r>
      <w:r w:rsidR="00687D7D">
        <w:t xml:space="preserve"> </w:t>
      </w:r>
      <w:r>
        <w:t xml:space="preserve">2014a.  </w:t>
      </w:r>
      <w:r w:rsidRPr="00CD3E07">
        <w:rPr>
          <w:i/>
        </w:rPr>
        <w:t>Evaluation of the Bowel Screening Pilot – Follow-up WDHB Population Survey Findings</w:t>
      </w:r>
      <w:r w:rsidRPr="00DC0B42">
        <w:t xml:space="preserve">. </w:t>
      </w:r>
      <w:r w:rsidRPr="00A113D0">
        <w:t>Wellington, New Zealand: Litmus Limited.</w:t>
      </w:r>
    </w:p>
    <w:p w14:paraId="1FE0F76A" w14:textId="77777777" w:rsidR="00DC0B42" w:rsidRDefault="00DC0B42" w:rsidP="00DC0B42">
      <w:r>
        <w:t>Litmus.</w:t>
      </w:r>
      <w:r w:rsidR="00687D7D">
        <w:t xml:space="preserve"> </w:t>
      </w:r>
      <w:r>
        <w:t xml:space="preserve">2014b.  </w:t>
      </w:r>
      <w:r w:rsidRPr="00A800A0">
        <w:rPr>
          <w:i/>
        </w:rPr>
        <w:t>Evaluation of the Bowel Screening Pilot –</w:t>
      </w:r>
      <w:r w:rsidR="00E96FF5">
        <w:rPr>
          <w:i/>
        </w:rPr>
        <w:t xml:space="preserve"> </w:t>
      </w:r>
      <w:r w:rsidR="00E96FF5" w:rsidRPr="00CD3E07">
        <w:rPr>
          <w:i/>
        </w:rPr>
        <w:t>Follow-up</w:t>
      </w:r>
      <w:r w:rsidRPr="00DC0B42">
        <w:rPr>
          <w:i/>
        </w:rPr>
        <w:t xml:space="preserve"> Provider Survey Findings</w:t>
      </w:r>
      <w:r>
        <w:rPr>
          <w:i/>
        </w:rPr>
        <w:t xml:space="preserve">. </w:t>
      </w:r>
      <w:r w:rsidRPr="00A113D0">
        <w:t>Wellington, New Zealand: Litmus Limited.</w:t>
      </w:r>
    </w:p>
    <w:p w14:paraId="1480631F" w14:textId="77777777" w:rsidR="00753189" w:rsidRDefault="00753189" w:rsidP="00753189">
      <w:pPr>
        <w:rPr>
          <w:lang w:eastAsia="ar-SA"/>
        </w:rPr>
      </w:pPr>
      <w:r>
        <w:rPr>
          <w:lang w:eastAsia="ar-SA"/>
        </w:rPr>
        <w:t>Phoenix.  2013. Communication Testing Research.  Auckland: Phoenix.</w:t>
      </w:r>
    </w:p>
    <w:p w14:paraId="1C6745ED" w14:textId="77777777" w:rsidR="00DC0B42" w:rsidRDefault="00DC0B42" w:rsidP="00DC0B42">
      <w:pPr>
        <w:rPr>
          <w:rFonts w:cs="Arial"/>
          <w:szCs w:val="24"/>
          <w:lang w:val="en-GB"/>
        </w:rPr>
      </w:pPr>
      <w:r>
        <w:rPr>
          <w:rFonts w:cs="Arial"/>
          <w:szCs w:val="24"/>
          <w:lang w:val="en-GB"/>
        </w:rPr>
        <w:t xml:space="preserve">Power E, Miles A, von Wagner C, Robb K &amp; Wardle J. 2009. Uptake of colorectal cancer screening: system, provider and individual factors and strategies to improve participation. </w:t>
      </w:r>
      <w:r>
        <w:rPr>
          <w:rFonts w:cs="Arial"/>
          <w:i/>
          <w:szCs w:val="24"/>
          <w:lang w:val="en-GB"/>
        </w:rPr>
        <w:t>Future Oncology</w:t>
      </w:r>
      <w:r>
        <w:rPr>
          <w:rFonts w:cs="Arial"/>
          <w:szCs w:val="24"/>
          <w:lang w:val="en-GB"/>
        </w:rPr>
        <w:t>, 5(9), 1371-1388.</w:t>
      </w:r>
    </w:p>
    <w:p w14:paraId="40F24846" w14:textId="77777777" w:rsidR="00CF2B7F" w:rsidRDefault="006A2C8B" w:rsidP="00CF2B7F">
      <w:pPr>
        <w:spacing w:after="120"/>
        <w:rPr>
          <w:bCs/>
        </w:rPr>
      </w:pPr>
      <w:proofErr w:type="spellStart"/>
      <w:r>
        <w:rPr>
          <w:bCs/>
        </w:rPr>
        <w:t>Waitematā</w:t>
      </w:r>
      <w:proofErr w:type="spellEnd"/>
      <w:r w:rsidR="00CF2B7F">
        <w:rPr>
          <w:bCs/>
        </w:rPr>
        <w:t xml:space="preserve"> District Health Board. 2012. </w:t>
      </w:r>
      <w:r w:rsidR="00CF2B7F">
        <w:rPr>
          <w:bCs/>
          <w:i/>
        </w:rPr>
        <w:t>Bowel Screening: Resource for providers working with the Bowel Screening Pilot</w:t>
      </w:r>
      <w:r w:rsidR="00CF2B7F">
        <w:rPr>
          <w:bCs/>
        </w:rPr>
        <w:t xml:space="preserve">. Auckland, New Zealand: </w:t>
      </w:r>
    </w:p>
    <w:p w14:paraId="29CB8198" w14:textId="77777777" w:rsidR="00A013C4" w:rsidRDefault="006A2C8B" w:rsidP="00A013C4">
      <w:pPr>
        <w:rPr>
          <w:lang w:eastAsia="en-NZ"/>
        </w:rPr>
      </w:pPr>
      <w:proofErr w:type="spellStart"/>
      <w:r>
        <w:rPr>
          <w:lang w:eastAsia="en-NZ"/>
        </w:rPr>
        <w:t>Waitematā</w:t>
      </w:r>
      <w:proofErr w:type="spellEnd"/>
      <w:r w:rsidR="00A013C4">
        <w:rPr>
          <w:lang w:eastAsia="en-NZ"/>
        </w:rPr>
        <w:t xml:space="preserve"> DHB. 2013b. </w:t>
      </w:r>
      <w:r w:rsidR="00A013C4" w:rsidRPr="00455C79">
        <w:rPr>
          <w:i/>
          <w:lang w:eastAsia="en-NZ"/>
        </w:rPr>
        <w:t xml:space="preserve">Bowel Screening </w:t>
      </w:r>
      <w:r w:rsidR="00A013C4">
        <w:rPr>
          <w:i/>
          <w:lang w:eastAsia="en-NZ"/>
        </w:rPr>
        <w:t xml:space="preserve">Pilot: Biannual Report – January 1 – June 30 2013. </w:t>
      </w:r>
      <w:r w:rsidR="00A013C4">
        <w:rPr>
          <w:lang w:eastAsia="en-NZ"/>
        </w:rPr>
        <w:t xml:space="preserve"> Auckland: </w:t>
      </w:r>
      <w:proofErr w:type="spellStart"/>
      <w:r>
        <w:rPr>
          <w:lang w:eastAsia="en-NZ"/>
        </w:rPr>
        <w:t>Waitematā</w:t>
      </w:r>
      <w:proofErr w:type="spellEnd"/>
      <w:r w:rsidR="00A013C4">
        <w:rPr>
          <w:lang w:eastAsia="en-NZ"/>
        </w:rPr>
        <w:t xml:space="preserve"> DHB. </w:t>
      </w:r>
    </w:p>
    <w:p w14:paraId="7F3767BA" w14:textId="77777777" w:rsidR="00A013C4" w:rsidRDefault="00A013C4" w:rsidP="00DC0B42">
      <w:pPr>
        <w:rPr>
          <w:rFonts w:cs="Arial"/>
          <w:szCs w:val="24"/>
          <w:lang w:val="en-GB"/>
        </w:rPr>
      </w:pPr>
    </w:p>
    <w:p w14:paraId="0B933DAA" w14:textId="77777777" w:rsidR="00192DD8" w:rsidRDefault="00192DD8">
      <w:pPr>
        <w:spacing w:before="0"/>
        <w:ind w:left="0"/>
      </w:pPr>
      <w:r>
        <w:br w:type="page"/>
      </w:r>
    </w:p>
    <w:p w14:paraId="2AB1563C" w14:textId="77777777" w:rsidR="00DC0B42" w:rsidRDefault="00192DD8" w:rsidP="00192DD8">
      <w:pPr>
        <w:pStyle w:val="Heading1"/>
      </w:pPr>
      <w:bookmarkStart w:id="67" w:name="_Toc380424719"/>
      <w:r>
        <w:lastRenderedPageBreak/>
        <w:t>Appendices</w:t>
      </w:r>
      <w:bookmarkEnd w:id="67"/>
    </w:p>
    <w:p w14:paraId="70460D77" w14:textId="77777777" w:rsidR="00192DD8" w:rsidRDefault="00192DD8" w:rsidP="00192DD8">
      <w:pPr>
        <w:pStyle w:val="Heading2"/>
      </w:pPr>
      <w:bookmarkStart w:id="68" w:name="_Toc380424720"/>
      <w:r>
        <w:t>Appendix 1 – General practice research tools</w:t>
      </w:r>
      <w:bookmarkEnd w:id="68"/>
    </w:p>
    <w:p w14:paraId="4A7F8DFC" w14:textId="77777777" w:rsidR="00392892" w:rsidRPr="00392892" w:rsidRDefault="00392892" w:rsidP="00392892">
      <w:pPr>
        <w:pStyle w:val="Heading3"/>
      </w:pPr>
      <w:r w:rsidRPr="00392892">
        <w:t xml:space="preserve">Primary Care - Information Sheet </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7926"/>
      </w:tblGrid>
      <w:tr w:rsidR="00392892" w:rsidRPr="00392892" w14:paraId="65EB4471" w14:textId="77777777" w:rsidTr="00392892">
        <w:tc>
          <w:tcPr>
            <w:tcW w:w="1911" w:type="dxa"/>
            <w:shd w:val="clear" w:color="auto" w:fill="auto"/>
          </w:tcPr>
          <w:p w14:paraId="1A76CAD9" w14:textId="77777777" w:rsidR="00392892" w:rsidRPr="00392892" w:rsidRDefault="00392892" w:rsidP="008D3E62">
            <w:pPr>
              <w:spacing w:beforeLines="40" w:before="96" w:afterLines="40" w:after="96"/>
              <w:ind w:left="0"/>
              <w:rPr>
                <w:rFonts w:cs="Arial"/>
                <w:color w:val="0000FF"/>
                <w:sz w:val="18"/>
                <w:szCs w:val="20"/>
                <w:lang w:val="en-GB"/>
              </w:rPr>
            </w:pPr>
            <w:r w:rsidRPr="00392892">
              <w:rPr>
                <w:rFonts w:cs="Arial"/>
                <w:color w:val="0000FF"/>
                <w:sz w:val="18"/>
                <w:szCs w:val="20"/>
                <w:lang w:val="en-GB"/>
              </w:rPr>
              <w:t>What is the purpose of the project?</w:t>
            </w:r>
          </w:p>
        </w:tc>
        <w:tc>
          <w:tcPr>
            <w:tcW w:w="7926" w:type="dxa"/>
            <w:shd w:val="clear" w:color="auto" w:fill="auto"/>
          </w:tcPr>
          <w:p w14:paraId="5A50B98D" w14:textId="77777777" w:rsidR="00392892" w:rsidRPr="00392892" w:rsidRDefault="00392892" w:rsidP="008D3E62">
            <w:pPr>
              <w:spacing w:beforeLines="40" w:before="96" w:afterLines="40" w:after="96"/>
              <w:ind w:left="0"/>
              <w:rPr>
                <w:rFonts w:cs="Arial"/>
                <w:sz w:val="18"/>
                <w:szCs w:val="20"/>
              </w:rPr>
            </w:pPr>
            <w:r w:rsidRPr="00392892">
              <w:rPr>
                <w:rFonts w:cs="Arial"/>
                <w:sz w:val="18"/>
                <w:szCs w:val="20"/>
              </w:rPr>
              <w:t xml:space="preserve">The purpose of the BSP evaluation is </w:t>
            </w:r>
            <w:r w:rsidRPr="00392892">
              <w:rPr>
                <w:rFonts w:cs="Arial"/>
                <w:b/>
                <w:color w:val="0000FF"/>
                <w:sz w:val="18"/>
                <w:szCs w:val="20"/>
                <w:lang w:val="en-GB"/>
              </w:rPr>
              <w:t xml:space="preserve">to find out if organised bowel screening could be introduced to all of New Zealand </w:t>
            </w:r>
            <w:r w:rsidRPr="00392892">
              <w:rPr>
                <w:rFonts w:cs="Arial"/>
                <w:sz w:val="18"/>
                <w:szCs w:val="20"/>
                <w:lang w:val="en-GB"/>
              </w:rPr>
              <w:t>in a way that is effective, safe and acceptable.</w:t>
            </w:r>
          </w:p>
        </w:tc>
      </w:tr>
      <w:tr w:rsidR="00392892" w:rsidRPr="00392892" w14:paraId="0A91D021" w14:textId="77777777" w:rsidTr="00392892">
        <w:trPr>
          <w:trHeight w:val="70"/>
        </w:trPr>
        <w:tc>
          <w:tcPr>
            <w:tcW w:w="1911" w:type="dxa"/>
            <w:shd w:val="clear" w:color="auto" w:fill="auto"/>
          </w:tcPr>
          <w:p w14:paraId="0DAD8450" w14:textId="77777777" w:rsidR="00392892" w:rsidRPr="00392892" w:rsidRDefault="00392892" w:rsidP="008D3E62">
            <w:pPr>
              <w:spacing w:beforeLines="40" w:before="96" w:afterLines="40" w:after="96"/>
              <w:ind w:left="0"/>
              <w:rPr>
                <w:rFonts w:cs="Arial"/>
                <w:color w:val="0000FF"/>
                <w:sz w:val="18"/>
                <w:szCs w:val="20"/>
                <w:lang w:val="en-GB"/>
              </w:rPr>
            </w:pPr>
            <w:r w:rsidRPr="00392892">
              <w:rPr>
                <w:rFonts w:cs="Arial"/>
                <w:color w:val="0000FF"/>
                <w:sz w:val="18"/>
                <w:szCs w:val="20"/>
                <w:lang w:val="en-GB"/>
              </w:rPr>
              <w:t>Who is doing the evaluation?</w:t>
            </w:r>
          </w:p>
        </w:tc>
        <w:tc>
          <w:tcPr>
            <w:tcW w:w="7926" w:type="dxa"/>
            <w:shd w:val="clear" w:color="auto" w:fill="auto"/>
          </w:tcPr>
          <w:p w14:paraId="54B99BB2" w14:textId="77777777" w:rsidR="00392892" w:rsidRPr="00392892" w:rsidRDefault="00392892" w:rsidP="008D3E62">
            <w:pPr>
              <w:spacing w:beforeLines="40" w:before="96" w:afterLines="40" w:after="96"/>
              <w:ind w:left="0"/>
              <w:rPr>
                <w:rFonts w:cs="Arial"/>
                <w:sz w:val="18"/>
                <w:szCs w:val="20"/>
              </w:rPr>
            </w:pPr>
            <w:r w:rsidRPr="00392892">
              <w:rPr>
                <w:rFonts w:cs="Arial"/>
                <w:sz w:val="18"/>
                <w:szCs w:val="20"/>
              </w:rPr>
              <w:t xml:space="preserve">The evaluation is being done by </w:t>
            </w:r>
            <w:r w:rsidRPr="00392892">
              <w:rPr>
                <w:rFonts w:cs="Arial"/>
                <w:b/>
                <w:color w:val="0000FF"/>
                <w:sz w:val="18"/>
                <w:szCs w:val="20"/>
                <w:lang w:val="en-GB"/>
              </w:rPr>
              <w:t>Litmus</w:t>
            </w:r>
            <w:r w:rsidRPr="00392892">
              <w:rPr>
                <w:rFonts w:cs="Arial"/>
                <w:sz w:val="18"/>
                <w:szCs w:val="20"/>
              </w:rPr>
              <w:t>, an independent research and evaluation company (</w:t>
            </w:r>
            <w:hyperlink r:id="rId17" w:history="1">
              <w:r w:rsidRPr="00392892">
                <w:rPr>
                  <w:color w:val="0000FF"/>
                  <w:sz w:val="18"/>
                  <w:szCs w:val="20"/>
                  <w:u w:val="single"/>
                </w:rPr>
                <w:t>www.litmus.co.nz</w:t>
              </w:r>
            </w:hyperlink>
            <w:r w:rsidRPr="00392892">
              <w:rPr>
                <w:rFonts w:cs="Arial"/>
                <w:sz w:val="18"/>
                <w:szCs w:val="20"/>
              </w:rPr>
              <w:t>).</w:t>
            </w:r>
          </w:p>
          <w:p w14:paraId="6F96E310" w14:textId="77777777" w:rsidR="00392892" w:rsidRPr="00392892" w:rsidRDefault="00392892" w:rsidP="008D3E62">
            <w:pPr>
              <w:spacing w:beforeLines="40" w:before="96" w:afterLines="40" w:after="96"/>
              <w:ind w:left="0"/>
              <w:rPr>
                <w:rFonts w:cs="Arial"/>
                <w:sz w:val="18"/>
                <w:szCs w:val="20"/>
              </w:rPr>
            </w:pPr>
            <w:r w:rsidRPr="00392892">
              <w:rPr>
                <w:rFonts w:cs="Arial"/>
                <w:sz w:val="18"/>
                <w:szCs w:val="20"/>
              </w:rPr>
              <w:t>This project has been reviewed and approved by the Ministry of Health’s Multi-Region Health and Disability Ethics Committee.</w:t>
            </w:r>
          </w:p>
        </w:tc>
      </w:tr>
      <w:tr w:rsidR="00392892" w:rsidRPr="00392892" w14:paraId="6358652B" w14:textId="77777777" w:rsidTr="00392892">
        <w:tc>
          <w:tcPr>
            <w:tcW w:w="1911" w:type="dxa"/>
            <w:shd w:val="clear" w:color="auto" w:fill="auto"/>
          </w:tcPr>
          <w:p w14:paraId="16EA4A72" w14:textId="77777777" w:rsidR="00392892" w:rsidRPr="00392892" w:rsidRDefault="00392892" w:rsidP="008D3E62">
            <w:pPr>
              <w:spacing w:beforeLines="40" w:before="96" w:afterLines="40" w:after="96"/>
              <w:ind w:left="0"/>
              <w:rPr>
                <w:rFonts w:cs="Arial"/>
                <w:color w:val="0000FF"/>
                <w:sz w:val="18"/>
                <w:szCs w:val="20"/>
                <w:lang w:val="en-GB"/>
              </w:rPr>
            </w:pPr>
            <w:r w:rsidRPr="00392892">
              <w:rPr>
                <w:rFonts w:cs="Arial"/>
                <w:color w:val="0000FF"/>
                <w:sz w:val="18"/>
                <w:szCs w:val="20"/>
                <w:lang w:val="en-GB"/>
              </w:rPr>
              <w:t>Why have you asked me to participate?</w:t>
            </w:r>
          </w:p>
        </w:tc>
        <w:tc>
          <w:tcPr>
            <w:tcW w:w="7926" w:type="dxa"/>
            <w:shd w:val="clear" w:color="auto" w:fill="auto"/>
          </w:tcPr>
          <w:p w14:paraId="3536C3B1" w14:textId="77777777" w:rsidR="00392892" w:rsidRPr="00392892" w:rsidRDefault="00392892" w:rsidP="008D3E62">
            <w:pPr>
              <w:spacing w:beforeLines="40" w:before="96" w:afterLines="40" w:after="96"/>
              <w:ind w:left="0"/>
              <w:rPr>
                <w:rFonts w:cs="Arial"/>
                <w:sz w:val="18"/>
                <w:szCs w:val="20"/>
              </w:rPr>
            </w:pPr>
            <w:r w:rsidRPr="00392892">
              <w:rPr>
                <w:rFonts w:cs="Arial"/>
                <w:sz w:val="18"/>
                <w:szCs w:val="20"/>
              </w:rPr>
              <w:t>Primary care has a unique and very important role in the Bowel Screening Pilot (BSP).  Understanding the role of General Practice in the Pilot will provide information critical to the potential implementation of a national bowel screening programme.</w:t>
            </w:r>
          </w:p>
          <w:p w14:paraId="10FE33B2" w14:textId="77777777" w:rsidR="00392892" w:rsidRPr="00392892" w:rsidRDefault="00392892" w:rsidP="008D3E62">
            <w:pPr>
              <w:spacing w:beforeLines="40" w:before="96" w:afterLines="40" w:after="96"/>
              <w:ind w:left="0"/>
              <w:rPr>
                <w:rFonts w:cs="Arial"/>
                <w:sz w:val="18"/>
                <w:szCs w:val="20"/>
              </w:rPr>
            </w:pPr>
            <w:r w:rsidRPr="00392892">
              <w:rPr>
                <w:rFonts w:cs="Arial"/>
                <w:sz w:val="18"/>
                <w:szCs w:val="20"/>
              </w:rPr>
              <w:t xml:space="preserve">Litmus is interviewing a small number of general practices to gain more detail on </w:t>
            </w:r>
            <w:r w:rsidRPr="00392892">
              <w:rPr>
                <w:rFonts w:cs="Arial"/>
                <w:b/>
                <w:color w:val="0000FF"/>
                <w:sz w:val="18"/>
                <w:szCs w:val="20"/>
                <w:lang w:val="en-GB"/>
              </w:rPr>
              <w:t>how the BSP is being implemented within their practice</w:t>
            </w:r>
            <w:r w:rsidRPr="00392892">
              <w:rPr>
                <w:rFonts w:cs="Arial"/>
                <w:sz w:val="18"/>
                <w:szCs w:val="20"/>
              </w:rPr>
              <w:t xml:space="preserve">.  Interviews with GPs, practice nurses and other practice staff will explore what is working well, not so well and the </w:t>
            </w:r>
            <w:r w:rsidRPr="00392892">
              <w:rPr>
                <w:rFonts w:cs="Arial"/>
                <w:b/>
                <w:color w:val="0000FF"/>
                <w:sz w:val="18"/>
                <w:szCs w:val="20"/>
                <w:lang w:val="en-GB"/>
              </w:rPr>
              <w:t>value that primary care involvement offers to BSP participants</w:t>
            </w:r>
            <w:r w:rsidRPr="00392892">
              <w:rPr>
                <w:rFonts w:cs="Arial"/>
                <w:sz w:val="18"/>
                <w:szCs w:val="20"/>
              </w:rPr>
              <w:t xml:space="preserve">. </w:t>
            </w:r>
          </w:p>
          <w:p w14:paraId="0311F7B4" w14:textId="77777777" w:rsidR="00392892" w:rsidRPr="00392892" w:rsidRDefault="00392892" w:rsidP="008D3E62">
            <w:pPr>
              <w:spacing w:beforeLines="40" w:before="96" w:afterLines="40" w:after="96"/>
              <w:ind w:left="0"/>
              <w:rPr>
                <w:rFonts w:cs="Arial"/>
                <w:sz w:val="18"/>
                <w:szCs w:val="20"/>
              </w:rPr>
            </w:pPr>
            <w:r w:rsidRPr="00392892">
              <w:rPr>
                <w:rFonts w:cs="Arial"/>
                <w:sz w:val="18"/>
                <w:szCs w:val="20"/>
              </w:rPr>
              <w:t xml:space="preserve">Procure and </w:t>
            </w:r>
            <w:proofErr w:type="spellStart"/>
            <w:r w:rsidR="006A2C8B">
              <w:rPr>
                <w:rFonts w:cs="Arial"/>
                <w:sz w:val="18"/>
                <w:szCs w:val="20"/>
              </w:rPr>
              <w:t>Waitematā</w:t>
            </w:r>
            <w:proofErr w:type="spellEnd"/>
            <w:r w:rsidRPr="00392892">
              <w:rPr>
                <w:rFonts w:cs="Arial"/>
                <w:sz w:val="18"/>
                <w:szCs w:val="20"/>
              </w:rPr>
              <w:t xml:space="preserve"> PHO have identified a list of general practices and provided names and contact details to Litmus.</w:t>
            </w:r>
          </w:p>
        </w:tc>
      </w:tr>
      <w:tr w:rsidR="00392892" w:rsidRPr="00392892" w14:paraId="7F84CB03" w14:textId="77777777" w:rsidTr="00392892">
        <w:tc>
          <w:tcPr>
            <w:tcW w:w="1911" w:type="dxa"/>
            <w:shd w:val="clear" w:color="auto" w:fill="auto"/>
          </w:tcPr>
          <w:p w14:paraId="512E05FA" w14:textId="77777777" w:rsidR="00392892" w:rsidRPr="00392892" w:rsidRDefault="00392892" w:rsidP="008D3E62">
            <w:pPr>
              <w:spacing w:beforeLines="40" w:before="96" w:afterLines="40" w:after="96"/>
              <w:ind w:left="0"/>
              <w:rPr>
                <w:rFonts w:cs="Arial"/>
                <w:color w:val="0000FF"/>
                <w:sz w:val="18"/>
                <w:szCs w:val="20"/>
                <w:lang w:val="en-GB"/>
              </w:rPr>
            </w:pPr>
            <w:r w:rsidRPr="00392892">
              <w:rPr>
                <w:rFonts w:cs="Arial"/>
                <w:color w:val="0000FF"/>
                <w:sz w:val="18"/>
                <w:szCs w:val="20"/>
                <w:lang w:val="en-GB"/>
              </w:rPr>
              <w:t>What is involved?</w:t>
            </w:r>
          </w:p>
        </w:tc>
        <w:tc>
          <w:tcPr>
            <w:tcW w:w="7926" w:type="dxa"/>
            <w:shd w:val="clear" w:color="auto" w:fill="auto"/>
          </w:tcPr>
          <w:p w14:paraId="6DA8331D" w14:textId="77777777" w:rsidR="00392892" w:rsidRPr="00392892" w:rsidRDefault="00392892" w:rsidP="008D3E62">
            <w:pPr>
              <w:spacing w:beforeLines="40" w:before="96" w:afterLines="40" w:after="96"/>
              <w:ind w:left="0"/>
              <w:rPr>
                <w:rFonts w:cs="Arial"/>
                <w:sz w:val="18"/>
                <w:szCs w:val="20"/>
              </w:rPr>
            </w:pPr>
            <w:r w:rsidRPr="00392892">
              <w:rPr>
                <w:rFonts w:cs="Arial"/>
                <w:sz w:val="18"/>
                <w:szCs w:val="20"/>
              </w:rPr>
              <w:t xml:space="preserve">We will interview as appropriate </w:t>
            </w:r>
            <w:r w:rsidRPr="00392892">
              <w:rPr>
                <w:rFonts w:cs="Arial"/>
                <w:b/>
                <w:color w:val="0000FF"/>
                <w:sz w:val="18"/>
                <w:szCs w:val="20"/>
                <w:lang w:val="en-GB"/>
              </w:rPr>
              <w:t>GPs, practice nurses and other practice staff involved in the BSP</w:t>
            </w:r>
            <w:r w:rsidRPr="00392892">
              <w:rPr>
                <w:rFonts w:cs="Arial"/>
                <w:sz w:val="18"/>
                <w:szCs w:val="20"/>
              </w:rPr>
              <w:t xml:space="preserve"> either individually or as a group. </w:t>
            </w:r>
          </w:p>
          <w:p w14:paraId="68BDE3EE" w14:textId="77777777" w:rsidR="00392892" w:rsidRPr="00392892" w:rsidRDefault="00392892" w:rsidP="008D3E62">
            <w:pPr>
              <w:spacing w:beforeLines="40" w:before="96" w:afterLines="40" w:after="96"/>
              <w:ind w:left="0"/>
              <w:rPr>
                <w:rFonts w:cs="Arial"/>
                <w:sz w:val="18"/>
                <w:szCs w:val="20"/>
              </w:rPr>
            </w:pPr>
            <w:r w:rsidRPr="00392892">
              <w:rPr>
                <w:rFonts w:cs="Arial"/>
                <w:sz w:val="18"/>
                <w:szCs w:val="20"/>
              </w:rPr>
              <w:t xml:space="preserve">Interviews will take between 30 and 60 minutes, dependent on roles and availability.  Most interviews will be conducted face-to-face, but some may be by phone. </w:t>
            </w:r>
          </w:p>
          <w:p w14:paraId="57DE202A" w14:textId="77777777" w:rsidR="00392892" w:rsidRPr="00392892" w:rsidRDefault="00392892" w:rsidP="008D3E62">
            <w:pPr>
              <w:spacing w:beforeLines="40" w:before="96" w:afterLines="40" w:after="96"/>
              <w:ind w:left="0"/>
              <w:rPr>
                <w:i/>
                <w:sz w:val="18"/>
                <w:szCs w:val="20"/>
                <w:lang w:val="en-US" w:eastAsia="en-US"/>
              </w:rPr>
            </w:pPr>
            <w:r w:rsidRPr="00392892">
              <w:rPr>
                <w:rFonts w:cs="Arial"/>
                <w:sz w:val="18"/>
                <w:szCs w:val="20"/>
              </w:rPr>
              <w:t xml:space="preserve">In line with </w:t>
            </w:r>
            <w:proofErr w:type="spellStart"/>
            <w:r w:rsidR="006A2C8B">
              <w:rPr>
                <w:rFonts w:cs="Arial"/>
                <w:sz w:val="18"/>
                <w:szCs w:val="20"/>
              </w:rPr>
              <w:t>Waitematā</w:t>
            </w:r>
            <w:proofErr w:type="spellEnd"/>
            <w:r w:rsidR="00B92529">
              <w:rPr>
                <w:rFonts w:cs="Arial"/>
                <w:sz w:val="18"/>
                <w:szCs w:val="20"/>
              </w:rPr>
              <w:t xml:space="preserve"> </w:t>
            </w:r>
            <w:r w:rsidRPr="00392892">
              <w:rPr>
                <w:rFonts w:cs="Arial"/>
                <w:sz w:val="18"/>
                <w:szCs w:val="20"/>
              </w:rPr>
              <w:t xml:space="preserve">DHB’s Engagement and Consultation Financial Recognition Policy, general practices that participate in a face-to-face interview can seek </w:t>
            </w:r>
            <w:r w:rsidRPr="00392892">
              <w:rPr>
                <w:rFonts w:cs="Arial"/>
                <w:b/>
                <w:color w:val="0000FF"/>
                <w:sz w:val="18"/>
                <w:szCs w:val="20"/>
                <w:lang w:val="en-GB"/>
              </w:rPr>
              <w:t>reimbursement of reasonable out-of-pocket expenses up to $125.</w:t>
            </w:r>
          </w:p>
        </w:tc>
      </w:tr>
      <w:tr w:rsidR="00392892" w:rsidRPr="00392892" w14:paraId="288F2727" w14:textId="77777777" w:rsidTr="00392892">
        <w:tc>
          <w:tcPr>
            <w:tcW w:w="1911" w:type="dxa"/>
            <w:shd w:val="clear" w:color="auto" w:fill="auto"/>
          </w:tcPr>
          <w:p w14:paraId="246D378A" w14:textId="77777777" w:rsidR="00392892" w:rsidRPr="00392892" w:rsidRDefault="00392892" w:rsidP="008D3E62">
            <w:pPr>
              <w:spacing w:beforeLines="40" w:before="96" w:afterLines="40" w:after="96"/>
              <w:ind w:left="0"/>
              <w:rPr>
                <w:rFonts w:cs="Arial"/>
                <w:color w:val="0000FF"/>
                <w:sz w:val="18"/>
                <w:szCs w:val="20"/>
                <w:lang w:val="en-GB"/>
              </w:rPr>
            </w:pPr>
            <w:r w:rsidRPr="00392892">
              <w:rPr>
                <w:rFonts w:cs="Arial"/>
                <w:color w:val="0000FF"/>
                <w:sz w:val="18"/>
                <w:szCs w:val="20"/>
                <w:lang w:val="en-GB"/>
              </w:rPr>
              <w:t>How will the evaluators ensure my personal information is confidential?</w:t>
            </w:r>
          </w:p>
        </w:tc>
        <w:tc>
          <w:tcPr>
            <w:tcW w:w="7926" w:type="dxa"/>
            <w:shd w:val="clear" w:color="auto" w:fill="auto"/>
          </w:tcPr>
          <w:p w14:paraId="0CF86FF2" w14:textId="77777777" w:rsidR="00392892" w:rsidRPr="00392892" w:rsidRDefault="00392892" w:rsidP="008D3E62">
            <w:pPr>
              <w:spacing w:beforeLines="40" w:before="96" w:afterLines="40" w:after="96"/>
              <w:ind w:left="0"/>
              <w:rPr>
                <w:rFonts w:cs="Arial"/>
                <w:sz w:val="18"/>
                <w:szCs w:val="20"/>
                <w:lang w:val="en-GB" w:eastAsia="en-US"/>
              </w:rPr>
            </w:pPr>
            <w:r w:rsidRPr="00392892">
              <w:rPr>
                <w:rFonts w:cs="Arial"/>
                <w:sz w:val="18"/>
                <w:szCs w:val="20"/>
                <w:lang w:val="en-GB" w:eastAsia="en-US"/>
              </w:rPr>
              <w:t xml:space="preserve">Litmus will ensure </w:t>
            </w:r>
            <w:r w:rsidRPr="00392892">
              <w:rPr>
                <w:rFonts w:cs="Arial"/>
                <w:b/>
                <w:color w:val="0000FF"/>
                <w:sz w:val="18"/>
                <w:szCs w:val="20"/>
                <w:lang w:val="en-GB"/>
              </w:rPr>
              <w:t>your contribution is kept confidential</w:t>
            </w:r>
            <w:r w:rsidRPr="00392892">
              <w:rPr>
                <w:rFonts w:cs="Arial"/>
                <w:sz w:val="18"/>
                <w:szCs w:val="20"/>
                <w:lang w:val="en-GB" w:eastAsia="en-US"/>
              </w:rPr>
              <w:t xml:space="preserve">. What you say in the interview will be written down, with your permission. Notes will be kept securely for up to 2 years, and then securely destroyed.  </w:t>
            </w:r>
          </w:p>
          <w:p w14:paraId="31EB3CFB" w14:textId="77777777" w:rsidR="00392892" w:rsidRPr="00392892" w:rsidRDefault="00392892" w:rsidP="008D3E62">
            <w:pPr>
              <w:spacing w:beforeLines="40" w:before="96" w:afterLines="40" w:after="96"/>
              <w:ind w:left="0"/>
              <w:rPr>
                <w:rFonts w:cs="Arial"/>
                <w:sz w:val="18"/>
                <w:szCs w:val="20"/>
                <w:lang w:val="en-GB" w:eastAsia="en-US"/>
              </w:rPr>
            </w:pPr>
            <w:r w:rsidRPr="00392892">
              <w:rPr>
                <w:rFonts w:cs="Arial"/>
                <w:sz w:val="18"/>
                <w:szCs w:val="20"/>
                <w:lang w:val="en-GB" w:eastAsia="en-US"/>
              </w:rPr>
              <w:t>No information in the evaluation report will be attributed to individuals.</w:t>
            </w:r>
          </w:p>
        </w:tc>
      </w:tr>
      <w:tr w:rsidR="00392892" w:rsidRPr="00392892" w14:paraId="4863AF4A" w14:textId="77777777" w:rsidTr="00392892">
        <w:tc>
          <w:tcPr>
            <w:tcW w:w="1911" w:type="dxa"/>
            <w:shd w:val="clear" w:color="auto" w:fill="auto"/>
          </w:tcPr>
          <w:p w14:paraId="16DDBEF7" w14:textId="77777777" w:rsidR="00392892" w:rsidRPr="00392892" w:rsidRDefault="00392892" w:rsidP="008D3E62">
            <w:pPr>
              <w:spacing w:beforeLines="40" w:before="96" w:afterLines="40" w:after="96"/>
              <w:ind w:left="0"/>
              <w:rPr>
                <w:rFonts w:cs="Arial"/>
                <w:color w:val="0000FF"/>
                <w:sz w:val="18"/>
                <w:szCs w:val="20"/>
                <w:lang w:val="en-GB"/>
              </w:rPr>
            </w:pPr>
            <w:r w:rsidRPr="00392892">
              <w:rPr>
                <w:rFonts w:cs="Arial"/>
                <w:color w:val="0000FF"/>
                <w:sz w:val="18"/>
                <w:szCs w:val="20"/>
                <w:lang w:val="en-GB"/>
              </w:rPr>
              <w:t>Do I have to take part?</w:t>
            </w:r>
          </w:p>
        </w:tc>
        <w:tc>
          <w:tcPr>
            <w:tcW w:w="7926" w:type="dxa"/>
            <w:shd w:val="clear" w:color="auto" w:fill="auto"/>
          </w:tcPr>
          <w:p w14:paraId="53F3BB42" w14:textId="77777777" w:rsidR="00392892" w:rsidRPr="00392892" w:rsidRDefault="00392892" w:rsidP="008D3E62">
            <w:pPr>
              <w:spacing w:beforeLines="40" w:before="96" w:afterLines="40" w:after="96"/>
              <w:ind w:left="0"/>
              <w:rPr>
                <w:rFonts w:cs="Arial"/>
                <w:b/>
                <w:color w:val="0000FF"/>
                <w:sz w:val="18"/>
                <w:szCs w:val="20"/>
                <w:lang w:val="en-GB"/>
              </w:rPr>
            </w:pPr>
            <w:r w:rsidRPr="00392892">
              <w:rPr>
                <w:rFonts w:cs="Arial"/>
                <w:sz w:val="18"/>
                <w:szCs w:val="20"/>
                <w:lang w:val="en-GB" w:eastAsia="en-US"/>
              </w:rPr>
              <w:t>No, you do not have to take part. Your</w:t>
            </w:r>
            <w:r w:rsidRPr="00392892">
              <w:rPr>
                <w:rFonts w:cs="Arial"/>
                <w:b/>
                <w:color w:val="0000FF"/>
                <w:sz w:val="18"/>
                <w:szCs w:val="20"/>
                <w:lang w:val="en-GB"/>
              </w:rPr>
              <w:t xml:space="preserve"> participation is voluntary.</w:t>
            </w:r>
          </w:p>
        </w:tc>
      </w:tr>
      <w:tr w:rsidR="00392892" w:rsidRPr="00392892" w14:paraId="483C3A60" w14:textId="77777777" w:rsidTr="00392892">
        <w:tc>
          <w:tcPr>
            <w:tcW w:w="1911" w:type="dxa"/>
            <w:shd w:val="clear" w:color="auto" w:fill="auto"/>
          </w:tcPr>
          <w:p w14:paraId="33487B55" w14:textId="77777777" w:rsidR="00392892" w:rsidRPr="00392892" w:rsidRDefault="00392892" w:rsidP="008D3E62">
            <w:pPr>
              <w:spacing w:beforeLines="40" w:before="96" w:afterLines="40" w:after="96"/>
              <w:ind w:left="0"/>
              <w:rPr>
                <w:rFonts w:cs="Arial"/>
                <w:color w:val="0000FF"/>
                <w:sz w:val="18"/>
                <w:szCs w:val="20"/>
                <w:lang w:val="en-GB"/>
              </w:rPr>
            </w:pPr>
            <w:r w:rsidRPr="00392892">
              <w:rPr>
                <w:rFonts w:cs="Arial"/>
                <w:color w:val="0000FF"/>
                <w:sz w:val="18"/>
                <w:szCs w:val="20"/>
                <w:lang w:val="en-GB"/>
              </w:rPr>
              <w:t>Can I change my mind and withdraw from the project?</w:t>
            </w:r>
          </w:p>
        </w:tc>
        <w:tc>
          <w:tcPr>
            <w:tcW w:w="7926" w:type="dxa"/>
            <w:shd w:val="clear" w:color="auto" w:fill="auto"/>
          </w:tcPr>
          <w:p w14:paraId="7EB0305C" w14:textId="77777777" w:rsidR="00392892" w:rsidRPr="00392892" w:rsidRDefault="00392892" w:rsidP="008D3E62">
            <w:pPr>
              <w:spacing w:beforeLines="40" w:before="96" w:afterLines="40" w:after="96"/>
              <w:ind w:left="0"/>
              <w:rPr>
                <w:rFonts w:cs="Arial"/>
                <w:sz w:val="18"/>
                <w:szCs w:val="20"/>
              </w:rPr>
            </w:pPr>
            <w:r w:rsidRPr="00392892">
              <w:rPr>
                <w:rFonts w:cs="Arial"/>
                <w:b/>
                <w:color w:val="0000FF"/>
                <w:sz w:val="18"/>
                <w:szCs w:val="20"/>
                <w:lang w:val="en-GB"/>
              </w:rPr>
              <w:t>You may stop the interview at any time</w:t>
            </w:r>
            <w:r w:rsidRPr="00392892">
              <w:rPr>
                <w:rFonts w:cs="Arial"/>
                <w:sz w:val="18"/>
                <w:szCs w:val="20"/>
              </w:rPr>
              <w:t xml:space="preserve">. You do not need to give a reason and there will be no disadvantage to you of any kind.  After the interview, you can ask for some or all of your feedback to be removed from the evaluation without explaining why. This can be done up to the reporting stage. </w:t>
            </w:r>
          </w:p>
        </w:tc>
      </w:tr>
      <w:tr w:rsidR="00392892" w:rsidRPr="00392892" w14:paraId="1E22D737" w14:textId="77777777" w:rsidTr="00392892">
        <w:tc>
          <w:tcPr>
            <w:tcW w:w="1911" w:type="dxa"/>
            <w:shd w:val="clear" w:color="auto" w:fill="auto"/>
          </w:tcPr>
          <w:p w14:paraId="49983F94" w14:textId="77777777" w:rsidR="00392892" w:rsidRPr="00392892" w:rsidRDefault="00392892" w:rsidP="008D3E62">
            <w:pPr>
              <w:spacing w:beforeLines="40" w:before="96" w:afterLines="40" w:after="96"/>
              <w:ind w:left="0"/>
              <w:rPr>
                <w:rFonts w:cs="Arial"/>
                <w:color w:val="0000FF"/>
                <w:sz w:val="18"/>
                <w:szCs w:val="20"/>
                <w:lang w:val="en-GB"/>
              </w:rPr>
            </w:pPr>
            <w:r w:rsidRPr="00392892">
              <w:rPr>
                <w:rFonts w:cs="Arial"/>
                <w:color w:val="0000FF"/>
                <w:sz w:val="18"/>
                <w:szCs w:val="20"/>
                <w:lang w:val="en-GB"/>
              </w:rPr>
              <w:t>How can I find out more?</w:t>
            </w:r>
          </w:p>
        </w:tc>
        <w:tc>
          <w:tcPr>
            <w:tcW w:w="7926" w:type="dxa"/>
            <w:shd w:val="clear" w:color="auto" w:fill="auto"/>
          </w:tcPr>
          <w:p w14:paraId="70CBEE46" w14:textId="77777777" w:rsidR="00392892" w:rsidRPr="00392892" w:rsidRDefault="00392892" w:rsidP="008D3E62">
            <w:pPr>
              <w:spacing w:beforeLines="40" w:before="96" w:afterLines="40" w:after="96"/>
              <w:ind w:left="0"/>
              <w:rPr>
                <w:rFonts w:cs="Arial"/>
                <w:sz w:val="18"/>
                <w:szCs w:val="20"/>
              </w:rPr>
            </w:pPr>
            <w:r w:rsidRPr="00392892">
              <w:rPr>
                <w:rFonts w:cs="Arial"/>
                <w:sz w:val="18"/>
                <w:szCs w:val="20"/>
              </w:rPr>
              <w:t xml:space="preserve">If you have any questions about this project, please contact: </w:t>
            </w:r>
          </w:p>
          <w:p w14:paraId="5A80E7A4" w14:textId="77777777" w:rsidR="00392892" w:rsidRPr="00392892" w:rsidRDefault="00392892" w:rsidP="008D3E62">
            <w:pPr>
              <w:spacing w:beforeLines="40" w:before="96" w:afterLines="40" w:after="96"/>
              <w:ind w:left="0"/>
              <w:rPr>
                <w:rFonts w:cs="Arial"/>
                <w:sz w:val="18"/>
                <w:szCs w:val="20"/>
              </w:rPr>
            </w:pPr>
            <w:r w:rsidRPr="00392892">
              <w:rPr>
                <w:rFonts w:cs="Arial"/>
                <w:sz w:val="18"/>
                <w:szCs w:val="20"/>
              </w:rPr>
              <w:t xml:space="preserve">Liz Smith, Partner, Litmus, </w:t>
            </w:r>
            <w:proofErr w:type="spellStart"/>
            <w:r w:rsidRPr="00392892">
              <w:rPr>
                <w:rFonts w:cs="Arial"/>
                <w:sz w:val="18"/>
                <w:szCs w:val="20"/>
              </w:rPr>
              <w:t>ph</w:t>
            </w:r>
            <w:proofErr w:type="spellEnd"/>
            <w:r w:rsidRPr="00392892">
              <w:rPr>
                <w:rFonts w:cs="Arial"/>
                <w:sz w:val="18"/>
                <w:szCs w:val="20"/>
              </w:rPr>
              <w:t xml:space="preserve"> 04 473 3885, liz@litmus.co.nz </w:t>
            </w:r>
          </w:p>
          <w:p w14:paraId="1E43744B" w14:textId="77777777" w:rsidR="00392892" w:rsidRPr="00392892" w:rsidRDefault="00392892" w:rsidP="008D3E62">
            <w:pPr>
              <w:spacing w:beforeLines="40" w:before="96" w:afterLines="40" w:after="96"/>
              <w:ind w:left="0"/>
              <w:rPr>
                <w:rFonts w:cs="Arial"/>
                <w:sz w:val="18"/>
                <w:szCs w:val="20"/>
              </w:rPr>
            </w:pPr>
            <w:r w:rsidRPr="00392892">
              <w:rPr>
                <w:rFonts w:cs="Arial"/>
                <w:sz w:val="18"/>
                <w:szCs w:val="20"/>
              </w:rPr>
              <w:t xml:space="preserve">Gaye Tozer, Project Manager BSP, </w:t>
            </w:r>
            <w:proofErr w:type="spellStart"/>
            <w:r w:rsidR="006A2C8B">
              <w:rPr>
                <w:rFonts w:cs="Arial"/>
                <w:sz w:val="18"/>
                <w:szCs w:val="20"/>
              </w:rPr>
              <w:t>Waitematā</w:t>
            </w:r>
            <w:proofErr w:type="spellEnd"/>
            <w:r w:rsidR="00B92529">
              <w:rPr>
                <w:rFonts w:cs="Arial"/>
                <w:sz w:val="18"/>
                <w:szCs w:val="20"/>
              </w:rPr>
              <w:t xml:space="preserve"> </w:t>
            </w:r>
            <w:r w:rsidRPr="00392892">
              <w:rPr>
                <w:rFonts w:cs="Arial"/>
                <w:sz w:val="18"/>
                <w:szCs w:val="20"/>
              </w:rPr>
              <w:t xml:space="preserve">DHB, </w:t>
            </w:r>
            <w:proofErr w:type="spellStart"/>
            <w:r w:rsidRPr="00392892">
              <w:rPr>
                <w:rFonts w:cs="Arial"/>
                <w:sz w:val="18"/>
                <w:szCs w:val="20"/>
              </w:rPr>
              <w:t>ph</w:t>
            </w:r>
            <w:proofErr w:type="spellEnd"/>
            <w:r w:rsidRPr="00392892">
              <w:rPr>
                <w:rFonts w:cs="Arial"/>
                <w:sz w:val="18"/>
                <w:szCs w:val="20"/>
              </w:rPr>
              <w:t xml:space="preserve"> 09 486 8920 </w:t>
            </w:r>
            <w:proofErr w:type="spellStart"/>
            <w:r w:rsidRPr="00392892">
              <w:rPr>
                <w:rFonts w:cs="Arial"/>
                <w:sz w:val="18"/>
                <w:szCs w:val="20"/>
              </w:rPr>
              <w:t>ext</w:t>
            </w:r>
            <w:proofErr w:type="spellEnd"/>
            <w:r w:rsidRPr="00392892">
              <w:rPr>
                <w:rFonts w:cs="Arial"/>
                <w:sz w:val="18"/>
                <w:szCs w:val="20"/>
              </w:rPr>
              <w:t xml:space="preserve"> 3878, </w:t>
            </w:r>
            <w:hyperlink r:id="rId18" w:history="1">
              <w:r w:rsidRPr="00392892">
                <w:rPr>
                  <w:rFonts w:cs="Arial"/>
                  <w:color w:val="0000FF"/>
                  <w:sz w:val="18"/>
                  <w:szCs w:val="20"/>
                  <w:u w:val="single"/>
                </w:rPr>
                <w:t>Gaye.Tozer@</w:t>
              </w:r>
              <w:r w:rsidR="006A2C8B">
                <w:rPr>
                  <w:rFonts w:cs="Arial"/>
                  <w:color w:val="0000FF"/>
                  <w:sz w:val="18"/>
                  <w:szCs w:val="20"/>
                  <w:u w:val="single"/>
                </w:rPr>
                <w:t>Waitematā</w:t>
              </w:r>
              <w:r w:rsidRPr="00392892">
                <w:rPr>
                  <w:rFonts w:cs="Arial"/>
                  <w:color w:val="0000FF"/>
                  <w:sz w:val="18"/>
                  <w:szCs w:val="20"/>
                  <w:u w:val="single"/>
                </w:rPr>
                <w:t>dhb.govt.nz</w:t>
              </w:r>
            </w:hyperlink>
          </w:p>
          <w:p w14:paraId="1CD12270" w14:textId="77777777" w:rsidR="00392892" w:rsidRPr="00392892" w:rsidRDefault="00392892" w:rsidP="008D3E62">
            <w:pPr>
              <w:spacing w:beforeLines="40" w:before="96" w:afterLines="40" w:after="96"/>
              <w:ind w:left="0"/>
              <w:rPr>
                <w:rFonts w:cs="Arial"/>
                <w:sz w:val="18"/>
                <w:szCs w:val="20"/>
              </w:rPr>
            </w:pPr>
            <w:proofErr w:type="spellStart"/>
            <w:r w:rsidRPr="00392892">
              <w:rPr>
                <w:rFonts w:cs="Arial"/>
                <w:sz w:val="18"/>
                <w:szCs w:val="20"/>
              </w:rPr>
              <w:t>Mhairi</w:t>
            </w:r>
            <w:proofErr w:type="spellEnd"/>
            <w:r w:rsidR="00B92529">
              <w:rPr>
                <w:rFonts w:cs="Arial"/>
                <w:sz w:val="18"/>
                <w:szCs w:val="20"/>
              </w:rPr>
              <w:t xml:space="preserve"> </w:t>
            </w:r>
            <w:proofErr w:type="spellStart"/>
            <w:r w:rsidRPr="00392892">
              <w:rPr>
                <w:rFonts w:cs="Arial"/>
                <w:sz w:val="18"/>
                <w:szCs w:val="20"/>
              </w:rPr>
              <w:t>Porteous</w:t>
            </w:r>
            <w:proofErr w:type="spellEnd"/>
            <w:r w:rsidRPr="00392892">
              <w:rPr>
                <w:rFonts w:cs="Arial"/>
                <w:sz w:val="18"/>
                <w:szCs w:val="20"/>
              </w:rPr>
              <w:t xml:space="preserve">, </w:t>
            </w:r>
            <w:r w:rsidRPr="00392892">
              <w:rPr>
                <w:rFonts w:cs="Arial"/>
                <w:color w:val="000000"/>
                <w:sz w:val="18"/>
                <w:szCs w:val="20"/>
              </w:rPr>
              <w:t xml:space="preserve">National Bowel Cancer Programme Manager, Ministry of Health, </w:t>
            </w:r>
            <w:proofErr w:type="spellStart"/>
            <w:r w:rsidRPr="00392892">
              <w:rPr>
                <w:rFonts w:cs="Arial"/>
                <w:color w:val="000000"/>
                <w:sz w:val="18"/>
                <w:szCs w:val="20"/>
              </w:rPr>
              <w:t>ph</w:t>
            </w:r>
            <w:proofErr w:type="spellEnd"/>
            <w:r w:rsidRPr="00392892">
              <w:rPr>
                <w:rFonts w:cs="Arial"/>
                <w:color w:val="000000"/>
                <w:sz w:val="18"/>
                <w:szCs w:val="20"/>
              </w:rPr>
              <w:t xml:space="preserve"> 04 816 4359, </w:t>
            </w:r>
            <w:hyperlink r:id="rId19" w:tgtFrame="_blank" w:history="1">
              <w:r w:rsidRPr="00392892">
                <w:rPr>
                  <w:rFonts w:cs="Arial"/>
                  <w:color w:val="0000FF"/>
                  <w:sz w:val="18"/>
                  <w:szCs w:val="20"/>
                  <w:u w:val="single"/>
                </w:rPr>
                <w:t>mhairi_porteous@moh.govt.nz</w:t>
              </w:r>
            </w:hyperlink>
          </w:p>
        </w:tc>
      </w:tr>
    </w:tbl>
    <w:p w14:paraId="39A7191F" w14:textId="77777777" w:rsidR="00392892" w:rsidRPr="00392892" w:rsidRDefault="00392892" w:rsidP="00392892">
      <w:pPr>
        <w:pStyle w:val="Heading3"/>
        <w:rPr>
          <w:lang w:eastAsia="en-NZ"/>
        </w:rPr>
      </w:pPr>
      <w:r w:rsidRPr="00392892">
        <w:rPr>
          <w:lang w:eastAsia="en-NZ"/>
        </w:rPr>
        <w:lastRenderedPageBreak/>
        <w:t>Stakeholder and Provider Interviews – Consent Form</w:t>
      </w:r>
    </w:p>
    <w:p w14:paraId="5A7B8052" w14:textId="77777777" w:rsidR="00392892" w:rsidRPr="00392892" w:rsidRDefault="00392892" w:rsidP="00392892">
      <w:pPr>
        <w:spacing w:before="0" w:after="200" w:line="276" w:lineRule="auto"/>
        <w:ind w:left="0"/>
        <w:rPr>
          <w:rFonts w:cs="Arial"/>
          <w:lang w:eastAsia="en-NZ"/>
        </w:rPr>
      </w:pPr>
      <w:r w:rsidRPr="00392892">
        <w:rPr>
          <w:rFonts w:cs="Arial"/>
          <w:lang w:eastAsia="en-NZ"/>
        </w:rPr>
        <w:t>I (insert name) …………………………………………………………………………………….</w:t>
      </w:r>
    </w:p>
    <w:p w14:paraId="4EF69D42" w14:textId="77777777" w:rsidR="00392892" w:rsidRPr="00392892" w:rsidRDefault="00392892" w:rsidP="00392892">
      <w:pPr>
        <w:spacing w:before="0" w:after="200" w:line="276" w:lineRule="auto"/>
        <w:ind w:left="0"/>
        <w:rPr>
          <w:rFonts w:cs="Arial"/>
          <w:lang w:eastAsia="en-NZ"/>
        </w:rPr>
      </w:pPr>
      <w:r w:rsidRPr="00392892">
        <w:rPr>
          <w:rFonts w:cs="Arial"/>
          <w:lang w:eastAsia="en-NZ"/>
        </w:rPr>
        <w:t>of (insert organisation) ..……………………………………………...........…………………….</w:t>
      </w:r>
    </w:p>
    <w:p w14:paraId="65FBD427" w14:textId="77777777" w:rsidR="00392892" w:rsidRPr="00392892" w:rsidRDefault="00392892" w:rsidP="00392892">
      <w:pPr>
        <w:spacing w:before="0" w:after="200" w:line="276" w:lineRule="auto"/>
        <w:ind w:left="0"/>
        <w:rPr>
          <w:rFonts w:cs="Arial"/>
          <w:lang w:eastAsia="en-NZ"/>
        </w:rPr>
      </w:pPr>
      <w:r w:rsidRPr="00392892">
        <w:rPr>
          <w:rFonts w:cs="Arial"/>
          <w:lang w:eastAsia="en-NZ"/>
        </w:rPr>
        <w:t>agree to participate in this project for the evaluation of the Bowel Screening Pilot, as outlined in the information provided to me by Litmus. I understand that:</w:t>
      </w:r>
    </w:p>
    <w:p w14:paraId="0906BA95" w14:textId="77777777" w:rsidR="00392892" w:rsidRPr="00392892" w:rsidRDefault="00392892" w:rsidP="00CC5733">
      <w:pPr>
        <w:numPr>
          <w:ilvl w:val="0"/>
          <w:numId w:val="9"/>
        </w:numPr>
        <w:tabs>
          <w:tab w:val="clear" w:pos="1287"/>
          <w:tab w:val="num" w:pos="879"/>
        </w:tabs>
        <w:spacing w:before="0" w:after="200" w:line="276" w:lineRule="auto"/>
        <w:ind w:left="567"/>
        <w:rPr>
          <w:rFonts w:cs="Arial"/>
          <w:lang w:eastAsia="en-NZ"/>
        </w:rPr>
      </w:pPr>
      <w:r w:rsidRPr="00392892">
        <w:rPr>
          <w:rFonts w:cs="Arial"/>
          <w:lang w:eastAsia="en-NZ"/>
        </w:rPr>
        <w:t>My participation in the project is voluntary and I can withdraw at any time.</w:t>
      </w:r>
    </w:p>
    <w:p w14:paraId="62309482" w14:textId="77777777" w:rsidR="00392892" w:rsidRPr="00392892" w:rsidRDefault="00392892" w:rsidP="00CC5733">
      <w:pPr>
        <w:numPr>
          <w:ilvl w:val="0"/>
          <w:numId w:val="9"/>
        </w:numPr>
        <w:tabs>
          <w:tab w:val="clear" w:pos="1287"/>
          <w:tab w:val="num" w:pos="879"/>
        </w:tabs>
        <w:spacing w:before="0" w:after="200" w:line="276" w:lineRule="auto"/>
        <w:ind w:left="567"/>
        <w:rPr>
          <w:rFonts w:cs="Arial"/>
          <w:lang w:eastAsia="en-NZ"/>
        </w:rPr>
      </w:pPr>
      <w:r w:rsidRPr="00392892">
        <w:rPr>
          <w:rFonts w:cs="Arial"/>
          <w:lang w:eastAsia="en-NZ"/>
        </w:rPr>
        <w:t xml:space="preserve">Whether or not I participate will not affect any current or future relationships with the Ministry of Health, </w:t>
      </w:r>
      <w:proofErr w:type="spellStart"/>
      <w:r w:rsidR="006A2C8B">
        <w:rPr>
          <w:rFonts w:cs="Arial"/>
          <w:lang w:eastAsia="en-NZ"/>
        </w:rPr>
        <w:t>Waitematā</w:t>
      </w:r>
      <w:proofErr w:type="spellEnd"/>
      <w:r w:rsidR="00B92529">
        <w:rPr>
          <w:rFonts w:cs="Arial"/>
          <w:lang w:eastAsia="en-NZ"/>
        </w:rPr>
        <w:t xml:space="preserve"> </w:t>
      </w:r>
      <w:r w:rsidRPr="00392892">
        <w:rPr>
          <w:rFonts w:cs="Arial"/>
          <w:lang w:eastAsia="en-NZ"/>
        </w:rPr>
        <w:t xml:space="preserve">DHB, or other organisations. </w:t>
      </w:r>
    </w:p>
    <w:p w14:paraId="7CBE29C5" w14:textId="77777777" w:rsidR="00392892" w:rsidRPr="00392892" w:rsidRDefault="00392892" w:rsidP="00CC5733">
      <w:pPr>
        <w:numPr>
          <w:ilvl w:val="0"/>
          <w:numId w:val="9"/>
        </w:numPr>
        <w:tabs>
          <w:tab w:val="clear" w:pos="1287"/>
          <w:tab w:val="num" w:pos="879"/>
        </w:tabs>
        <w:spacing w:before="0" w:after="200" w:line="276" w:lineRule="auto"/>
        <w:ind w:left="567"/>
        <w:rPr>
          <w:rFonts w:cs="Arial"/>
          <w:lang w:eastAsia="en-NZ"/>
        </w:rPr>
      </w:pPr>
      <w:r w:rsidRPr="00392892">
        <w:rPr>
          <w:rFonts w:cs="Arial"/>
          <w:lang w:eastAsia="en-NZ"/>
        </w:rPr>
        <w:t>If I withdraw, I can request that any information collected from me be returned or destroyed.</w:t>
      </w:r>
    </w:p>
    <w:p w14:paraId="26557603" w14:textId="77777777" w:rsidR="00392892" w:rsidRPr="00392892" w:rsidRDefault="00392892" w:rsidP="00CC5733">
      <w:pPr>
        <w:numPr>
          <w:ilvl w:val="0"/>
          <w:numId w:val="9"/>
        </w:numPr>
        <w:tabs>
          <w:tab w:val="clear" w:pos="1287"/>
          <w:tab w:val="num" w:pos="879"/>
        </w:tabs>
        <w:spacing w:before="0" w:after="200" w:line="276" w:lineRule="auto"/>
        <w:ind w:left="567"/>
        <w:rPr>
          <w:rFonts w:cs="Arial"/>
          <w:lang w:eastAsia="en-NZ"/>
        </w:rPr>
      </w:pPr>
      <w:r w:rsidRPr="00392892">
        <w:rPr>
          <w:rFonts w:cs="Arial"/>
          <w:lang w:eastAsia="en-NZ"/>
        </w:rPr>
        <w:t>I can choose not to answer any questions I do not wish to answer (without saying why).</w:t>
      </w:r>
    </w:p>
    <w:p w14:paraId="379D05EA" w14:textId="77777777" w:rsidR="00392892" w:rsidRPr="00392892" w:rsidRDefault="00392892" w:rsidP="00CC5733">
      <w:pPr>
        <w:numPr>
          <w:ilvl w:val="0"/>
          <w:numId w:val="9"/>
        </w:numPr>
        <w:tabs>
          <w:tab w:val="clear" w:pos="1287"/>
          <w:tab w:val="num" w:pos="879"/>
        </w:tabs>
        <w:spacing w:before="0" w:after="200" w:line="276" w:lineRule="auto"/>
        <w:ind w:left="567"/>
        <w:rPr>
          <w:rFonts w:cs="Arial"/>
          <w:lang w:eastAsia="en-NZ"/>
        </w:rPr>
      </w:pPr>
      <w:r w:rsidRPr="00392892">
        <w:rPr>
          <w:rFonts w:cs="Arial"/>
          <w:lang w:eastAsia="en-NZ"/>
        </w:rPr>
        <w:t>I can request any information collected from me be withdrawn at any time up until the reporting stage.</w:t>
      </w:r>
    </w:p>
    <w:p w14:paraId="1DF8BE06" w14:textId="77777777" w:rsidR="00392892" w:rsidRPr="00392892" w:rsidRDefault="00392892" w:rsidP="00CC5733">
      <w:pPr>
        <w:numPr>
          <w:ilvl w:val="0"/>
          <w:numId w:val="9"/>
        </w:numPr>
        <w:tabs>
          <w:tab w:val="clear" w:pos="1287"/>
          <w:tab w:val="num" w:pos="879"/>
        </w:tabs>
        <w:spacing w:before="0" w:after="200" w:line="276" w:lineRule="auto"/>
        <w:ind w:left="567"/>
        <w:rPr>
          <w:rFonts w:cs="Arial"/>
          <w:lang w:eastAsia="en-NZ"/>
        </w:rPr>
      </w:pPr>
      <w:r w:rsidRPr="00392892">
        <w:rPr>
          <w:rFonts w:cs="Arial"/>
          <w:lang w:eastAsia="en-NZ"/>
        </w:rPr>
        <w:t>The process followed by Litmus will seek to keep my information confidential. No information in the evaluation report will be attributed to me.</w:t>
      </w:r>
    </w:p>
    <w:p w14:paraId="6A9EA1C0" w14:textId="77777777" w:rsidR="00392892" w:rsidRPr="00392892" w:rsidRDefault="00392892" w:rsidP="00CC5733">
      <w:pPr>
        <w:numPr>
          <w:ilvl w:val="0"/>
          <w:numId w:val="9"/>
        </w:numPr>
        <w:tabs>
          <w:tab w:val="clear" w:pos="1287"/>
          <w:tab w:val="num" w:pos="879"/>
        </w:tabs>
        <w:spacing w:before="0" w:after="200" w:line="276" w:lineRule="auto"/>
        <w:ind w:left="567"/>
        <w:rPr>
          <w:rFonts w:cs="Arial"/>
          <w:lang w:eastAsia="en-NZ"/>
        </w:rPr>
      </w:pPr>
      <w:r w:rsidRPr="00392892">
        <w:rPr>
          <w:rFonts w:cs="Arial"/>
          <w:lang w:eastAsia="en-NZ"/>
        </w:rPr>
        <w:t>The interview, with my permission, will be taped and may be transcribed.</w:t>
      </w:r>
    </w:p>
    <w:p w14:paraId="62B03E15" w14:textId="77777777" w:rsidR="00392892" w:rsidRPr="00392892" w:rsidRDefault="00392892" w:rsidP="00CC5733">
      <w:pPr>
        <w:numPr>
          <w:ilvl w:val="0"/>
          <w:numId w:val="9"/>
        </w:numPr>
        <w:tabs>
          <w:tab w:val="clear" w:pos="1287"/>
          <w:tab w:val="num" w:pos="879"/>
        </w:tabs>
        <w:spacing w:before="0" w:after="200" w:line="276" w:lineRule="auto"/>
        <w:ind w:left="567"/>
        <w:rPr>
          <w:rFonts w:cs="Arial"/>
          <w:lang w:eastAsia="en-NZ"/>
        </w:rPr>
      </w:pPr>
      <w:r w:rsidRPr="00392892">
        <w:rPr>
          <w:rFonts w:cs="Arial"/>
          <w:lang w:eastAsia="en-NZ"/>
        </w:rPr>
        <w:t>I have the right to request a copy of the audio or written notes of my discussion.</w:t>
      </w:r>
    </w:p>
    <w:p w14:paraId="1E4A84B9" w14:textId="77777777" w:rsidR="00392892" w:rsidRPr="00392892" w:rsidRDefault="00392892" w:rsidP="00CC5733">
      <w:pPr>
        <w:numPr>
          <w:ilvl w:val="0"/>
          <w:numId w:val="9"/>
        </w:numPr>
        <w:tabs>
          <w:tab w:val="clear" w:pos="1287"/>
          <w:tab w:val="num" w:pos="879"/>
        </w:tabs>
        <w:spacing w:before="0" w:after="200" w:line="276" w:lineRule="auto"/>
        <w:ind w:left="567"/>
        <w:rPr>
          <w:rFonts w:cs="Arial"/>
          <w:lang w:eastAsia="en-NZ"/>
        </w:rPr>
      </w:pPr>
      <w:r w:rsidRPr="00392892">
        <w:rPr>
          <w:rFonts w:cs="Arial"/>
          <w:lang w:eastAsia="en-NZ"/>
        </w:rPr>
        <w:t>Digital recordings, notes and summaries will be securely stored at Litmus and will not identify me. They will be kept for two years and then securely destroyed.</w:t>
      </w:r>
    </w:p>
    <w:p w14:paraId="2BD25F8F" w14:textId="77777777" w:rsidR="00392892" w:rsidRPr="00392892" w:rsidRDefault="00392892" w:rsidP="00392892">
      <w:pPr>
        <w:spacing w:before="0" w:after="200" w:line="276" w:lineRule="auto"/>
        <w:ind w:left="0"/>
        <w:rPr>
          <w:rFonts w:cs="Arial"/>
          <w:lang w:eastAsia="en-NZ"/>
        </w:rPr>
      </w:pPr>
      <w:r w:rsidRPr="00392892">
        <w:rPr>
          <w:rFonts w:cs="Arial"/>
          <w:lang w:eastAsia="en-NZ"/>
        </w:rPr>
        <w:t xml:space="preserve">I have read the information sheet and this consent form, and have been given the opportunity to ask questions and have them answered. I give my consent to participate in this evaluation. </w:t>
      </w:r>
    </w:p>
    <w:p w14:paraId="40A8CD30" w14:textId="77777777" w:rsidR="00392892" w:rsidRPr="00392892" w:rsidRDefault="00392892" w:rsidP="00392892">
      <w:pPr>
        <w:spacing w:before="0" w:after="200" w:line="276" w:lineRule="auto"/>
        <w:ind w:left="0"/>
        <w:rPr>
          <w:rFonts w:cs="Arial"/>
          <w:lang w:eastAsia="en-NZ"/>
        </w:rPr>
      </w:pPr>
    </w:p>
    <w:p w14:paraId="26D474EB" w14:textId="77777777" w:rsidR="00392892" w:rsidRPr="00392892" w:rsidRDefault="00392892" w:rsidP="00392892">
      <w:pPr>
        <w:spacing w:before="0" w:after="200" w:line="276" w:lineRule="auto"/>
        <w:ind w:left="0"/>
        <w:rPr>
          <w:rFonts w:cs="Arial"/>
          <w:lang w:eastAsia="en-NZ"/>
        </w:rPr>
      </w:pPr>
      <w:r w:rsidRPr="00392892">
        <w:rPr>
          <w:rFonts w:cs="Arial"/>
          <w:lang w:eastAsia="en-NZ"/>
        </w:rPr>
        <w:t xml:space="preserve">Participant’s signature:  __________________________ </w:t>
      </w:r>
    </w:p>
    <w:p w14:paraId="3F9623FA" w14:textId="77777777" w:rsidR="00392892" w:rsidRPr="00392892" w:rsidRDefault="00392892" w:rsidP="00392892">
      <w:pPr>
        <w:spacing w:before="0" w:after="200" w:line="276" w:lineRule="auto"/>
        <w:ind w:left="0"/>
        <w:rPr>
          <w:rFonts w:cs="Arial"/>
          <w:lang w:eastAsia="en-NZ"/>
        </w:rPr>
      </w:pPr>
    </w:p>
    <w:p w14:paraId="7DEF0808" w14:textId="77777777" w:rsidR="00392892" w:rsidRPr="00392892" w:rsidRDefault="00392892" w:rsidP="00392892">
      <w:pPr>
        <w:spacing w:before="0" w:after="200" w:line="276" w:lineRule="auto"/>
        <w:ind w:left="0"/>
        <w:rPr>
          <w:rFonts w:cs="Arial"/>
          <w:lang w:eastAsia="en-NZ"/>
        </w:rPr>
      </w:pPr>
      <w:r w:rsidRPr="00392892">
        <w:rPr>
          <w:rFonts w:cs="Arial"/>
          <w:lang w:eastAsia="en-NZ"/>
        </w:rPr>
        <w:t>Date:  _________________</w:t>
      </w:r>
    </w:p>
    <w:p w14:paraId="56140F6B" w14:textId="77777777" w:rsidR="00392892" w:rsidRPr="00392892" w:rsidRDefault="00392892" w:rsidP="00392892">
      <w:pPr>
        <w:spacing w:before="0" w:after="120" w:line="276" w:lineRule="auto"/>
        <w:ind w:left="0"/>
        <w:rPr>
          <w:rFonts w:cs="Arial"/>
          <w:sz w:val="20"/>
          <w:szCs w:val="20"/>
          <w:lang w:eastAsia="en-NZ"/>
        </w:rPr>
      </w:pPr>
    </w:p>
    <w:p w14:paraId="5AA06718" w14:textId="77777777" w:rsidR="00392892" w:rsidRDefault="00392892" w:rsidP="00392892">
      <w:pPr>
        <w:pStyle w:val="Heading3"/>
      </w:pPr>
    </w:p>
    <w:p w14:paraId="569FDAC9" w14:textId="77777777" w:rsidR="00392892" w:rsidRDefault="00392892">
      <w:pPr>
        <w:spacing w:before="0"/>
        <w:ind w:left="0"/>
        <w:rPr>
          <w:b/>
          <w:i/>
          <w:sz w:val="24"/>
          <w:szCs w:val="24"/>
        </w:rPr>
      </w:pPr>
      <w:r>
        <w:br w:type="page"/>
      </w:r>
    </w:p>
    <w:p w14:paraId="4D992D68" w14:textId="77777777" w:rsidR="00392892" w:rsidRPr="00392892" w:rsidRDefault="00392892" w:rsidP="00392892">
      <w:pPr>
        <w:pStyle w:val="Heading3"/>
      </w:pPr>
      <w:r w:rsidRPr="00392892">
        <w:lastRenderedPageBreak/>
        <w:t>General Practice Interviews – Interview Guide</w:t>
      </w:r>
    </w:p>
    <w:p w14:paraId="086FC733" w14:textId="77777777" w:rsidR="00392892" w:rsidRPr="00392892" w:rsidRDefault="00392892" w:rsidP="00392892">
      <w:pPr>
        <w:ind w:left="0"/>
        <w:rPr>
          <w:rFonts w:cs="Arial"/>
          <w:b/>
          <w:sz w:val="20"/>
          <w:szCs w:val="20"/>
        </w:rPr>
      </w:pPr>
      <w:r w:rsidRPr="00392892">
        <w:rPr>
          <w:rFonts w:cs="Arial"/>
          <w:b/>
          <w:sz w:val="20"/>
          <w:szCs w:val="20"/>
        </w:rPr>
        <w:t>Introduction</w:t>
      </w:r>
    </w:p>
    <w:p w14:paraId="4339AFE4" w14:textId="77777777" w:rsidR="00392892" w:rsidRPr="00392892" w:rsidRDefault="00392892" w:rsidP="00CC5733">
      <w:pPr>
        <w:numPr>
          <w:ilvl w:val="0"/>
          <w:numId w:val="9"/>
        </w:numPr>
        <w:spacing w:before="0" w:after="120" w:line="276" w:lineRule="auto"/>
        <w:ind w:left="426" w:hanging="426"/>
        <w:rPr>
          <w:rFonts w:cs="Arial"/>
          <w:sz w:val="20"/>
          <w:szCs w:val="20"/>
        </w:rPr>
      </w:pPr>
      <w:r w:rsidRPr="00392892">
        <w:rPr>
          <w:rFonts w:cs="Arial"/>
          <w:sz w:val="20"/>
          <w:szCs w:val="20"/>
        </w:rPr>
        <w:t>Introduce self/Litmus.</w:t>
      </w:r>
    </w:p>
    <w:p w14:paraId="171D98CB" w14:textId="77777777" w:rsidR="00392892" w:rsidRPr="00392892" w:rsidRDefault="00392892" w:rsidP="00CC5733">
      <w:pPr>
        <w:numPr>
          <w:ilvl w:val="0"/>
          <w:numId w:val="9"/>
        </w:numPr>
        <w:spacing w:before="0" w:after="120" w:line="276" w:lineRule="auto"/>
        <w:ind w:left="426" w:hanging="426"/>
        <w:rPr>
          <w:rFonts w:cs="Arial"/>
          <w:sz w:val="20"/>
          <w:szCs w:val="20"/>
        </w:rPr>
      </w:pPr>
      <w:r w:rsidRPr="00392892">
        <w:rPr>
          <w:rFonts w:cs="Arial"/>
          <w:sz w:val="20"/>
          <w:szCs w:val="20"/>
        </w:rPr>
        <w:t>Evaluation purpose: To find out if organised bowel screening could be introduced to all of New Zealand in a way that is effective, safe and acceptable, equitable and economically efficient.</w:t>
      </w:r>
    </w:p>
    <w:p w14:paraId="657B6ADA" w14:textId="77777777" w:rsidR="00392892" w:rsidRPr="00392892" w:rsidRDefault="00392892" w:rsidP="00CC5733">
      <w:pPr>
        <w:numPr>
          <w:ilvl w:val="0"/>
          <w:numId w:val="9"/>
        </w:numPr>
        <w:spacing w:before="0" w:after="120" w:line="276" w:lineRule="auto"/>
        <w:ind w:left="426" w:hanging="426"/>
        <w:rPr>
          <w:rFonts w:cs="Arial"/>
          <w:sz w:val="20"/>
          <w:szCs w:val="20"/>
        </w:rPr>
      </w:pPr>
      <w:r w:rsidRPr="00392892">
        <w:rPr>
          <w:rFonts w:cs="Arial"/>
          <w:sz w:val="20"/>
          <w:szCs w:val="20"/>
        </w:rPr>
        <w:t xml:space="preserve">Interview purpose: To understand the unique role of General Practice in the BSP to inform the potential implementation of a national bowel screening programme.  The interview will explore how the BSP is being implemented within general practice, what is working well, not so well and the value that primary care involvement offers to BSP participants. </w:t>
      </w:r>
    </w:p>
    <w:p w14:paraId="4ABF157F" w14:textId="77777777" w:rsidR="00392892" w:rsidRPr="00392892" w:rsidRDefault="00392892" w:rsidP="00CC5733">
      <w:pPr>
        <w:numPr>
          <w:ilvl w:val="0"/>
          <w:numId w:val="9"/>
        </w:numPr>
        <w:spacing w:before="0" w:after="120" w:line="276" w:lineRule="auto"/>
        <w:ind w:left="426" w:hanging="426"/>
        <w:rPr>
          <w:rFonts w:cs="Arial"/>
          <w:sz w:val="20"/>
          <w:szCs w:val="20"/>
        </w:rPr>
      </w:pPr>
      <w:r w:rsidRPr="00392892">
        <w:rPr>
          <w:rFonts w:cs="Arial"/>
          <w:sz w:val="20"/>
          <w:szCs w:val="20"/>
        </w:rPr>
        <w:t>Information sheet, informed consent and audio recording.</w:t>
      </w:r>
    </w:p>
    <w:p w14:paraId="1FA87CFC" w14:textId="77777777" w:rsidR="00392892" w:rsidRPr="00392892" w:rsidRDefault="00392892" w:rsidP="00CC5733">
      <w:pPr>
        <w:numPr>
          <w:ilvl w:val="0"/>
          <w:numId w:val="9"/>
        </w:numPr>
        <w:spacing w:before="0" w:after="120" w:line="276" w:lineRule="auto"/>
        <w:ind w:left="426" w:hanging="426"/>
        <w:rPr>
          <w:rFonts w:cs="Arial"/>
          <w:sz w:val="20"/>
          <w:szCs w:val="20"/>
        </w:rPr>
      </w:pPr>
      <w:r w:rsidRPr="00392892">
        <w:rPr>
          <w:rFonts w:cs="Arial"/>
          <w:sz w:val="20"/>
          <w:szCs w:val="20"/>
        </w:rPr>
        <w:t>Time: 30-60 minutes.</w:t>
      </w:r>
    </w:p>
    <w:p w14:paraId="1DCF8CD7" w14:textId="77777777" w:rsidR="00392892" w:rsidRPr="00392892" w:rsidRDefault="00392892" w:rsidP="00392892">
      <w:pPr>
        <w:ind w:left="0"/>
        <w:rPr>
          <w:rFonts w:cs="Arial"/>
          <w:b/>
          <w:sz w:val="20"/>
          <w:szCs w:val="20"/>
        </w:rPr>
      </w:pPr>
      <w:r w:rsidRPr="00392892">
        <w:rPr>
          <w:rFonts w:cs="Arial"/>
          <w:b/>
          <w:sz w:val="20"/>
          <w:szCs w:val="20"/>
        </w:rPr>
        <w:t>Role of general practice in the BSP</w:t>
      </w:r>
    </w:p>
    <w:p w14:paraId="3E5ADDE9" w14:textId="77777777" w:rsidR="00392892" w:rsidRPr="00392892" w:rsidRDefault="00392892" w:rsidP="00CC5733">
      <w:pPr>
        <w:numPr>
          <w:ilvl w:val="0"/>
          <w:numId w:val="9"/>
        </w:numPr>
        <w:spacing w:before="0" w:after="120" w:line="276" w:lineRule="auto"/>
        <w:ind w:left="426" w:hanging="426"/>
        <w:rPr>
          <w:rFonts w:cs="Arial"/>
          <w:sz w:val="20"/>
          <w:szCs w:val="20"/>
        </w:rPr>
      </w:pPr>
      <w:r w:rsidRPr="00392892">
        <w:rPr>
          <w:rFonts w:cs="Arial"/>
          <w:sz w:val="20"/>
          <w:szCs w:val="20"/>
        </w:rPr>
        <w:t>Please describe your role and the practice’s role in the BSP [</w:t>
      </w:r>
      <w:r w:rsidRPr="00392892">
        <w:rPr>
          <w:rFonts w:cs="Arial"/>
          <w:i/>
          <w:sz w:val="20"/>
          <w:szCs w:val="20"/>
        </w:rPr>
        <w:t>exploring unprompted knowledge of different roles of general practice</w:t>
      </w:r>
      <w:r w:rsidRPr="00392892">
        <w:rPr>
          <w:rFonts w:cs="Arial"/>
          <w:sz w:val="20"/>
          <w:szCs w:val="20"/>
        </w:rPr>
        <w:t>]:</w:t>
      </w:r>
    </w:p>
    <w:p w14:paraId="3F000A43" w14:textId="77777777" w:rsidR="00392892" w:rsidRPr="00392892" w:rsidRDefault="00392892" w:rsidP="00CC5733">
      <w:pPr>
        <w:numPr>
          <w:ilvl w:val="0"/>
          <w:numId w:val="10"/>
        </w:numPr>
        <w:spacing w:before="0" w:after="120" w:line="276" w:lineRule="auto"/>
        <w:rPr>
          <w:rFonts w:cs="Arial"/>
          <w:sz w:val="20"/>
          <w:szCs w:val="20"/>
        </w:rPr>
      </w:pPr>
      <w:r w:rsidRPr="00392892">
        <w:rPr>
          <w:rFonts w:cs="Arial"/>
          <w:sz w:val="20"/>
          <w:szCs w:val="20"/>
        </w:rPr>
        <w:t xml:space="preserve">What happens? </w:t>
      </w:r>
    </w:p>
    <w:p w14:paraId="7F968547" w14:textId="77777777" w:rsidR="00392892" w:rsidRPr="00392892" w:rsidRDefault="00392892" w:rsidP="00CC5733">
      <w:pPr>
        <w:numPr>
          <w:ilvl w:val="0"/>
          <w:numId w:val="10"/>
        </w:numPr>
        <w:spacing w:before="0" w:after="120" w:line="276" w:lineRule="auto"/>
        <w:rPr>
          <w:rFonts w:cs="Arial"/>
          <w:sz w:val="20"/>
          <w:szCs w:val="20"/>
        </w:rPr>
      </w:pPr>
      <w:r w:rsidRPr="00392892">
        <w:rPr>
          <w:rFonts w:cs="Arial"/>
          <w:sz w:val="20"/>
          <w:szCs w:val="20"/>
        </w:rPr>
        <w:t>Who is involved / responsible for the BSP?</w:t>
      </w:r>
    </w:p>
    <w:p w14:paraId="4C83E5EF" w14:textId="77777777" w:rsidR="00392892" w:rsidRPr="00392892" w:rsidRDefault="00392892" w:rsidP="00CC5733">
      <w:pPr>
        <w:numPr>
          <w:ilvl w:val="0"/>
          <w:numId w:val="10"/>
        </w:numPr>
        <w:spacing w:before="0" w:after="120" w:line="276" w:lineRule="auto"/>
        <w:rPr>
          <w:rFonts w:cs="Arial"/>
          <w:sz w:val="20"/>
          <w:szCs w:val="20"/>
        </w:rPr>
      </w:pPr>
      <w:r w:rsidRPr="00392892">
        <w:rPr>
          <w:rFonts w:cs="Arial"/>
          <w:sz w:val="20"/>
          <w:szCs w:val="20"/>
        </w:rPr>
        <w:t>What systems or dedicated specific resources does the practice have for the BSP?</w:t>
      </w:r>
    </w:p>
    <w:p w14:paraId="7B18E673" w14:textId="77777777" w:rsidR="00392892" w:rsidRPr="00392892" w:rsidRDefault="00392892" w:rsidP="00CC5733">
      <w:pPr>
        <w:numPr>
          <w:ilvl w:val="0"/>
          <w:numId w:val="9"/>
        </w:numPr>
        <w:spacing w:before="0" w:after="120" w:line="276" w:lineRule="auto"/>
        <w:ind w:left="426" w:hanging="426"/>
        <w:rPr>
          <w:rFonts w:cs="Arial"/>
          <w:sz w:val="20"/>
          <w:szCs w:val="20"/>
        </w:rPr>
      </w:pPr>
      <w:r w:rsidRPr="00392892">
        <w:rPr>
          <w:rFonts w:cs="Arial"/>
          <w:sz w:val="20"/>
          <w:szCs w:val="20"/>
        </w:rPr>
        <w:t>In general, what is working well with the BSP?</w:t>
      </w:r>
    </w:p>
    <w:p w14:paraId="054DC7D0" w14:textId="77777777" w:rsidR="00392892" w:rsidRPr="00392892" w:rsidRDefault="00392892" w:rsidP="00CC5733">
      <w:pPr>
        <w:numPr>
          <w:ilvl w:val="0"/>
          <w:numId w:val="10"/>
        </w:numPr>
        <w:spacing w:before="0" w:after="120" w:line="276" w:lineRule="auto"/>
        <w:rPr>
          <w:rFonts w:cs="Arial"/>
          <w:sz w:val="20"/>
          <w:szCs w:val="20"/>
        </w:rPr>
      </w:pPr>
      <w:r w:rsidRPr="00392892">
        <w:rPr>
          <w:rFonts w:cs="Arial"/>
          <w:sz w:val="20"/>
          <w:szCs w:val="20"/>
        </w:rPr>
        <w:t xml:space="preserve">In general, what are issues or challenges with the BSP? </w:t>
      </w:r>
    </w:p>
    <w:p w14:paraId="13F717C2" w14:textId="77777777" w:rsidR="00392892" w:rsidRPr="00392892" w:rsidRDefault="00392892" w:rsidP="00CC5733">
      <w:pPr>
        <w:numPr>
          <w:ilvl w:val="0"/>
          <w:numId w:val="9"/>
        </w:numPr>
        <w:spacing w:before="0" w:after="120" w:line="276" w:lineRule="auto"/>
        <w:ind w:left="426" w:hanging="426"/>
        <w:rPr>
          <w:rFonts w:cs="Arial"/>
          <w:sz w:val="20"/>
          <w:szCs w:val="20"/>
        </w:rPr>
      </w:pPr>
      <w:r w:rsidRPr="00392892">
        <w:rPr>
          <w:rFonts w:cs="Arial"/>
          <w:sz w:val="20"/>
          <w:szCs w:val="20"/>
        </w:rPr>
        <w:t>Overall what is working well with the BSP in the practice?</w:t>
      </w:r>
    </w:p>
    <w:p w14:paraId="095732DD" w14:textId="77777777" w:rsidR="00392892" w:rsidRPr="00392892" w:rsidRDefault="00392892" w:rsidP="00CC5733">
      <w:pPr>
        <w:numPr>
          <w:ilvl w:val="0"/>
          <w:numId w:val="10"/>
        </w:numPr>
        <w:spacing w:before="0" w:after="120" w:line="276" w:lineRule="auto"/>
        <w:rPr>
          <w:rFonts w:cs="Arial"/>
          <w:sz w:val="20"/>
          <w:szCs w:val="20"/>
        </w:rPr>
      </w:pPr>
      <w:r w:rsidRPr="00392892">
        <w:rPr>
          <w:rFonts w:cs="Arial"/>
          <w:sz w:val="20"/>
          <w:szCs w:val="20"/>
        </w:rPr>
        <w:t>What are the challenges for the practice?</w:t>
      </w:r>
    </w:p>
    <w:p w14:paraId="71470367" w14:textId="77777777" w:rsidR="00392892" w:rsidRPr="00392892" w:rsidRDefault="00392892" w:rsidP="00CC5733">
      <w:pPr>
        <w:numPr>
          <w:ilvl w:val="0"/>
          <w:numId w:val="9"/>
        </w:numPr>
        <w:spacing w:before="0" w:after="120" w:line="276" w:lineRule="auto"/>
        <w:ind w:left="426" w:hanging="426"/>
        <w:rPr>
          <w:rFonts w:cs="Arial"/>
          <w:sz w:val="20"/>
          <w:szCs w:val="20"/>
        </w:rPr>
      </w:pPr>
      <w:r w:rsidRPr="00392892">
        <w:rPr>
          <w:rFonts w:cs="Arial"/>
          <w:sz w:val="20"/>
          <w:szCs w:val="20"/>
        </w:rPr>
        <w:t xml:space="preserve">What interfaces does the practice have with other parts of the BSP programme? (Probe: </w:t>
      </w:r>
      <w:r w:rsidR="009E3E09">
        <w:rPr>
          <w:rFonts w:cs="Arial"/>
          <w:sz w:val="20"/>
          <w:szCs w:val="20"/>
        </w:rPr>
        <w:t>Endoscopy Unit</w:t>
      </w:r>
      <w:r w:rsidRPr="00392892">
        <w:rPr>
          <w:rFonts w:cs="Arial"/>
          <w:sz w:val="20"/>
          <w:szCs w:val="20"/>
        </w:rPr>
        <w:t xml:space="preserve">, BSP Coordination Centre, treatment services, </w:t>
      </w:r>
      <w:proofErr w:type="spellStart"/>
      <w:r w:rsidRPr="00392892">
        <w:rPr>
          <w:rFonts w:cs="Arial"/>
          <w:sz w:val="20"/>
          <w:szCs w:val="20"/>
        </w:rPr>
        <w:t>LabPlus</w:t>
      </w:r>
      <w:proofErr w:type="spellEnd"/>
      <w:r w:rsidRPr="00392892">
        <w:rPr>
          <w:rFonts w:cs="Arial"/>
          <w:sz w:val="20"/>
          <w:szCs w:val="20"/>
        </w:rPr>
        <w:t>)</w:t>
      </w:r>
    </w:p>
    <w:p w14:paraId="4C5A6C52" w14:textId="77777777" w:rsidR="00392892" w:rsidRPr="00392892" w:rsidRDefault="00392892" w:rsidP="00CC5733">
      <w:pPr>
        <w:numPr>
          <w:ilvl w:val="0"/>
          <w:numId w:val="10"/>
        </w:numPr>
        <w:spacing w:before="0" w:after="120" w:line="276" w:lineRule="auto"/>
        <w:rPr>
          <w:rFonts w:cs="Arial"/>
          <w:sz w:val="20"/>
          <w:szCs w:val="20"/>
        </w:rPr>
      </w:pPr>
      <w:r w:rsidRPr="00392892">
        <w:rPr>
          <w:rFonts w:cs="Arial"/>
          <w:sz w:val="20"/>
          <w:szCs w:val="20"/>
        </w:rPr>
        <w:t xml:space="preserve">Which aspects of these interfaces work well? </w:t>
      </w:r>
    </w:p>
    <w:p w14:paraId="43FA60D4" w14:textId="77777777" w:rsidR="00392892" w:rsidRPr="00392892" w:rsidRDefault="00392892" w:rsidP="00CC5733">
      <w:pPr>
        <w:numPr>
          <w:ilvl w:val="0"/>
          <w:numId w:val="10"/>
        </w:numPr>
        <w:spacing w:before="0" w:after="120" w:line="276" w:lineRule="auto"/>
        <w:rPr>
          <w:rFonts w:cs="Arial"/>
          <w:sz w:val="20"/>
          <w:szCs w:val="20"/>
        </w:rPr>
      </w:pPr>
      <w:r w:rsidRPr="00392892">
        <w:rPr>
          <w:rFonts w:cs="Arial"/>
          <w:sz w:val="20"/>
          <w:szCs w:val="20"/>
        </w:rPr>
        <w:t>Which aspects, if any, do not work so well?</w:t>
      </w:r>
    </w:p>
    <w:p w14:paraId="77617316" w14:textId="77777777" w:rsidR="00392892" w:rsidRPr="00392892" w:rsidRDefault="00392892" w:rsidP="00392892">
      <w:pPr>
        <w:ind w:left="0"/>
        <w:rPr>
          <w:rFonts w:cs="Arial"/>
          <w:b/>
          <w:sz w:val="20"/>
          <w:szCs w:val="20"/>
        </w:rPr>
      </w:pPr>
      <w:r w:rsidRPr="00392892">
        <w:rPr>
          <w:rFonts w:cs="Arial"/>
          <w:b/>
          <w:sz w:val="20"/>
          <w:szCs w:val="20"/>
        </w:rPr>
        <w:t xml:space="preserve">Understanding BSP implementation in general practices </w:t>
      </w:r>
    </w:p>
    <w:p w14:paraId="70891D88" w14:textId="77777777" w:rsidR="00392892" w:rsidRPr="00392892" w:rsidRDefault="00392892" w:rsidP="00392892">
      <w:pPr>
        <w:spacing w:before="60" w:after="60"/>
        <w:ind w:left="0"/>
        <w:rPr>
          <w:rFonts w:cs="Arial"/>
          <w:sz w:val="20"/>
          <w:szCs w:val="20"/>
          <w:u w:val="single"/>
        </w:rPr>
      </w:pPr>
      <w:r w:rsidRPr="00392892">
        <w:rPr>
          <w:rFonts w:cs="Arial"/>
          <w:i/>
          <w:sz w:val="20"/>
          <w:szCs w:val="20"/>
          <w:u w:val="single"/>
        </w:rPr>
        <w:t>Invitation to participate</w:t>
      </w:r>
      <w:r w:rsidRPr="00392892">
        <w:rPr>
          <w:rFonts w:cs="Arial"/>
          <w:sz w:val="20"/>
          <w:szCs w:val="20"/>
          <w:u w:val="single"/>
        </w:rPr>
        <w:t xml:space="preserve">: </w:t>
      </w:r>
    </w:p>
    <w:p w14:paraId="573EE510" w14:textId="77777777" w:rsidR="00392892" w:rsidRPr="00392892" w:rsidRDefault="00392892" w:rsidP="00CC5733">
      <w:pPr>
        <w:numPr>
          <w:ilvl w:val="0"/>
          <w:numId w:val="9"/>
        </w:numPr>
        <w:spacing w:before="0" w:after="120" w:line="276" w:lineRule="auto"/>
        <w:ind w:left="426" w:hanging="426"/>
        <w:rPr>
          <w:rFonts w:cs="Arial"/>
          <w:sz w:val="20"/>
          <w:szCs w:val="20"/>
        </w:rPr>
      </w:pPr>
      <w:r w:rsidRPr="00392892">
        <w:rPr>
          <w:rFonts w:cs="Arial"/>
          <w:sz w:val="20"/>
          <w:szCs w:val="20"/>
        </w:rPr>
        <w:t xml:space="preserve">What conversations are occurring with patients about taking part in the BSP? </w:t>
      </w:r>
    </w:p>
    <w:p w14:paraId="22E67DFE" w14:textId="77777777" w:rsidR="00392892" w:rsidRPr="00392892" w:rsidRDefault="00392892" w:rsidP="00CC5733">
      <w:pPr>
        <w:numPr>
          <w:ilvl w:val="0"/>
          <w:numId w:val="10"/>
        </w:numPr>
        <w:spacing w:before="0" w:after="120" w:line="276" w:lineRule="auto"/>
        <w:rPr>
          <w:rFonts w:cs="Arial"/>
          <w:sz w:val="20"/>
          <w:szCs w:val="20"/>
          <w:u w:val="single"/>
        </w:rPr>
      </w:pPr>
      <w:r w:rsidRPr="00392892">
        <w:rPr>
          <w:rFonts w:cs="Arial"/>
          <w:sz w:val="20"/>
          <w:szCs w:val="20"/>
        </w:rPr>
        <w:t xml:space="preserve">Who initiates these conversations?  What do patients ask about it? </w:t>
      </w:r>
    </w:p>
    <w:p w14:paraId="7F7C3151" w14:textId="77777777" w:rsidR="00392892" w:rsidRPr="00392892" w:rsidRDefault="00392892" w:rsidP="00392892">
      <w:pPr>
        <w:spacing w:before="60" w:after="60"/>
        <w:ind w:left="0"/>
        <w:rPr>
          <w:rFonts w:cs="Arial"/>
          <w:i/>
          <w:sz w:val="20"/>
          <w:szCs w:val="20"/>
          <w:u w:val="single"/>
        </w:rPr>
      </w:pPr>
      <w:r w:rsidRPr="00392892">
        <w:rPr>
          <w:rFonts w:cs="Arial"/>
          <w:i/>
          <w:sz w:val="20"/>
          <w:szCs w:val="20"/>
          <w:u w:val="single"/>
        </w:rPr>
        <w:t xml:space="preserve">Management of </w:t>
      </w:r>
      <w:proofErr w:type="spellStart"/>
      <w:r w:rsidRPr="00392892">
        <w:rPr>
          <w:rFonts w:cs="Arial"/>
          <w:i/>
          <w:sz w:val="20"/>
          <w:szCs w:val="20"/>
          <w:u w:val="single"/>
        </w:rPr>
        <w:t>iFOBT</w:t>
      </w:r>
      <w:proofErr w:type="spellEnd"/>
      <w:r w:rsidRPr="00392892">
        <w:rPr>
          <w:rFonts w:cs="Arial"/>
          <w:i/>
          <w:sz w:val="20"/>
          <w:szCs w:val="20"/>
          <w:u w:val="single"/>
        </w:rPr>
        <w:t xml:space="preserve"> results: </w:t>
      </w:r>
    </w:p>
    <w:p w14:paraId="5A7CEB88" w14:textId="77777777" w:rsidR="00392892" w:rsidRPr="00392892" w:rsidRDefault="00392892" w:rsidP="00CC5733">
      <w:pPr>
        <w:numPr>
          <w:ilvl w:val="0"/>
          <w:numId w:val="9"/>
        </w:numPr>
        <w:spacing w:before="0" w:after="120" w:line="276" w:lineRule="auto"/>
        <w:ind w:left="426" w:hanging="426"/>
        <w:rPr>
          <w:rFonts w:cs="Arial"/>
          <w:sz w:val="20"/>
          <w:szCs w:val="20"/>
        </w:rPr>
      </w:pPr>
      <w:r w:rsidRPr="00392892">
        <w:rPr>
          <w:rFonts w:cs="Arial"/>
          <w:sz w:val="20"/>
          <w:szCs w:val="20"/>
        </w:rPr>
        <w:t xml:space="preserve">Approximately how many positive </w:t>
      </w:r>
      <w:proofErr w:type="spellStart"/>
      <w:r w:rsidRPr="00392892">
        <w:rPr>
          <w:rFonts w:cs="Arial"/>
          <w:sz w:val="20"/>
          <w:szCs w:val="20"/>
        </w:rPr>
        <w:t>iFOBT</w:t>
      </w:r>
      <w:proofErr w:type="spellEnd"/>
      <w:r w:rsidRPr="00392892">
        <w:rPr>
          <w:rFonts w:cs="Arial"/>
          <w:sz w:val="20"/>
          <w:szCs w:val="20"/>
        </w:rPr>
        <w:t xml:space="preserve"> results has your practice dealt with from the BSP?</w:t>
      </w:r>
    </w:p>
    <w:p w14:paraId="0564AB08" w14:textId="77777777" w:rsidR="00392892" w:rsidRPr="00392892" w:rsidRDefault="00392892" w:rsidP="00CC5733">
      <w:pPr>
        <w:numPr>
          <w:ilvl w:val="0"/>
          <w:numId w:val="9"/>
        </w:numPr>
        <w:spacing w:before="0" w:after="120" w:line="276" w:lineRule="auto"/>
        <w:ind w:left="426" w:hanging="426"/>
        <w:rPr>
          <w:rFonts w:cs="Arial"/>
          <w:sz w:val="20"/>
          <w:szCs w:val="20"/>
        </w:rPr>
      </w:pPr>
      <w:r w:rsidRPr="00392892">
        <w:rPr>
          <w:rFonts w:cs="Arial"/>
          <w:sz w:val="20"/>
          <w:szCs w:val="20"/>
        </w:rPr>
        <w:t xml:space="preserve">What is the process for telling patients that they have a positive </w:t>
      </w:r>
      <w:proofErr w:type="spellStart"/>
      <w:r w:rsidRPr="00392892">
        <w:rPr>
          <w:rFonts w:cs="Arial"/>
          <w:sz w:val="20"/>
          <w:szCs w:val="20"/>
        </w:rPr>
        <w:t>iFOBT</w:t>
      </w:r>
      <w:proofErr w:type="spellEnd"/>
      <w:r w:rsidRPr="00392892">
        <w:rPr>
          <w:rFonts w:cs="Arial"/>
          <w:sz w:val="20"/>
          <w:szCs w:val="20"/>
        </w:rPr>
        <w:t xml:space="preserve"> result?</w:t>
      </w:r>
    </w:p>
    <w:p w14:paraId="02021798" w14:textId="77777777" w:rsidR="00392892" w:rsidRPr="00392892" w:rsidRDefault="00392892" w:rsidP="00CC5733">
      <w:pPr>
        <w:numPr>
          <w:ilvl w:val="0"/>
          <w:numId w:val="10"/>
        </w:numPr>
        <w:spacing w:before="0" w:after="120" w:line="276" w:lineRule="auto"/>
        <w:rPr>
          <w:rFonts w:cs="Arial"/>
          <w:sz w:val="20"/>
          <w:szCs w:val="20"/>
        </w:rPr>
      </w:pPr>
      <w:r w:rsidRPr="00392892">
        <w:rPr>
          <w:rFonts w:cs="Arial"/>
          <w:sz w:val="20"/>
          <w:szCs w:val="20"/>
        </w:rPr>
        <w:t xml:space="preserve">What happens if a patient with a positive </w:t>
      </w:r>
      <w:proofErr w:type="spellStart"/>
      <w:r w:rsidRPr="00392892">
        <w:rPr>
          <w:rFonts w:cs="Arial"/>
          <w:sz w:val="20"/>
          <w:szCs w:val="20"/>
        </w:rPr>
        <w:t>iFOBT</w:t>
      </w:r>
      <w:proofErr w:type="spellEnd"/>
      <w:r w:rsidRPr="00392892">
        <w:rPr>
          <w:rFonts w:cs="Arial"/>
          <w:sz w:val="20"/>
          <w:szCs w:val="20"/>
        </w:rPr>
        <w:t xml:space="preserve"> cannot be contacted? </w:t>
      </w:r>
    </w:p>
    <w:p w14:paraId="254FD2D9" w14:textId="77777777" w:rsidR="00392892" w:rsidRPr="00392892" w:rsidRDefault="00392892" w:rsidP="00CC5733">
      <w:pPr>
        <w:numPr>
          <w:ilvl w:val="0"/>
          <w:numId w:val="9"/>
        </w:numPr>
        <w:spacing w:before="0" w:after="60" w:line="276" w:lineRule="auto"/>
        <w:ind w:left="426" w:hanging="426"/>
        <w:rPr>
          <w:rFonts w:cs="Arial"/>
          <w:sz w:val="20"/>
          <w:szCs w:val="20"/>
        </w:rPr>
      </w:pPr>
      <w:r w:rsidRPr="00392892">
        <w:rPr>
          <w:rFonts w:cs="Arial"/>
          <w:sz w:val="20"/>
          <w:szCs w:val="20"/>
        </w:rPr>
        <w:t xml:space="preserve">How long does it generally take from the time a positive </w:t>
      </w:r>
      <w:proofErr w:type="spellStart"/>
      <w:r w:rsidRPr="00392892">
        <w:rPr>
          <w:rFonts w:cs="Arial"/>
          <w:sz w:val="20"/>
          <w:szCs w:val="20"/>
        </w:rPr>
        <w:t>iFOBT</w:t>
      </w:r>
      <w:proofErr w:type="spellEnd"/>
      <w:r w:rsidRPr="00392892">
        <w:rPr>
          <w:rFonts w:cs="Arial"/>
          <w:sz w:val="20"/>
          <w:szCs w:val="20"/>
        </w:rPr>
        <w:t xml:space="preserve"> result is received to informing the participant?</w:t>
      </w:r>
    </w:p>
    <w:p w14:paraId="0258A442" w14:textId="77777777" w:rsidR="00392892" w:rsidRPr="00392892" w:rsidRDefault="00392892" w:rsidP="00CC5733">
      <w:pPr>
        <w:numPr>
          <w:ilvl w:val="0"/>
          <w:numId w:val="10"/>
        </w:numPr>
        <w:spacing w:before="0" w:after="120" w:line="276" w:lineRule="auto"/>
        <w:rPr>
          <w:rFonts w:cs="Arial"/>
          <w:sz w:val="20"/>
          <w:szCs w:val="20"/>
        </w:rPr>
      </w:pPr>
      <w:r w:rsidRPr="00392892">
        <w:rPr>
          <w:rFonts w:cs="Arial"/>
          <w:sz w:val="20"/>
          <w:szCs w:val="20"/>
        </w:rPr>
        <w:t xml:space="preserve">How does the 10 day window fit with your practice? </w:t>
      </w:r>
    </w:p>
    <w:p w14:paraId="1DA21ECB" w14:textId="77777777" w:rsidR="00392892" w:rsidRPr="00392892" w:rsidRDefault="00392892" w:rsidP="00CC5733">
      <w:pPr>
        <w:numPr>
          <w:ilvl w:val="0"/>
          <w:numId w:val="9"/>
        </w:numPr>
        <w:spacing w:before="0" w:after="60" w:line="276" w:lineRule="auto"/>
        <w:ind w:left="426" w:hanging="426"/>
        <w:rPr>
          <w:rFonts w:cs="Arial"/>
          <w:sz w:val="20"/>
          <w:szCs w:val="20"/>
        </w:rPr>
      </w:pPr>
      <w:r w:rsidRPr="00392892">
        <w:rPr>
          <w:rFonts w:cs="Arial"/>
          <w:sz w:val="20"/>
          <w:szCs w:val="20"/>
        </w:rPr>
        <w:t xml:space="preserve">What is the process for referring a patient with a positive </w:t>
      </w:r>
      <w:proofErr w:type="spellStart"/>
      <w:r w:rsidRPr="00392892">
        <w:rPr>
          <w:rFonts w:cs="Arial"/>
          <w:sz w:val="20"/>
          <w:szCs w:val="20"/>
        </w:rPr>
        <w:t>iFOBT</w:t>
      </w:r>
      <w:proofErr w:type="spellEnd"/>
      <w:r w:rsidRPr="00392892">
        <w:rPr>
          <w:rFonts w:cs="Arial"/>
          <w:sz w:val="20"/>
          <w:szCs w:val="20"/>
        </w:rPr>
        <w:t xml:space="preserve"> result to endoscopy?</w:t>
      </w:r>
    </w:p>
    <w:p w14:paraId="6F8408AB" w14:textId="77777777" w:rsidR="00392892" w:rsidRPr="00392892" w:rsidRDefault="00392892" w:rsidP="00CC5733">
      <w:pPr>
        <w:numPr>
          <w:ilvl w:val="0"/>
          <w:numId w:val="9"/>
        </w:numPr>
        <w:spacing w:before="0" w:after="60" w:line="276" w:lineRule="auto"/>
        <w:ind w:left="426" w:hanging="426"/>
        <w:rPr>
          <w:rFonts w:cs="Arial"/>
          <w:sz w:val="20"/>
          <w:szCs w:val="20"/>
        </w:rPr>
      </w:pPr>
      <w:r w:rsidRPr="00392892">
        <w:rPr>
          <w:rFonts w:cs="Arial"/>
          <w:sz w:val="20"/>
          <w:szCs w:val="20"/>
        </w:rPr>
        <w:lastRenderedPageBreak/>
        <w:t xml:space="preserve">Which aspects of the results management process work smoothly? </w:t>
      </w:r>
    </w:p>
    <w:p w14:paraId="374D7E6F" w14:textId="77777777" w:rsidR="00392892" w:rsidRPr="00392892" w:rsidRDefault="00392892" w:rsidP="00CC5733">
      <w:pPr>
        <w:numPr>
          <w:ilvl w:val="0"/>
          <w:numId w:val="10"/>
        </w:numPr>
        <w:spacing w:before="0" w:after="60" w:line="276" w:lineRule="auto"/>
        <w:rPr>
          <w:rFonts w:cs="Arial"/>
          <w:sz w:val="20"/>
          <w:szCs w:val="20"/>
        </w:rPr>
      </w:pPr>
      <w:r w:rsidRPr="00392892">
        <w:rPr>
          <w:rFonts w:cs="Arial"/>
          <w:sz w:val="20"/>
          <w:szCs w:val="20"/>
        </w:rPr>
        <w:t xml:space="preserve">What aspects could be improved? </w:t>
      </w:r>
    </w:p>
    <w:p w14:paraId="32F83AF9" w14:textId="77777777" w:rsidR="00392892" w:rsidRPr="00392892" w:rsidRDefault="00392892" w:rsidP="00CC5733">
      <w:pPr>
        <w:numPr>
          <w:ilvl w:val="0"/>
          <w:numId w:val="10"/>
        </w:numPr>
        <w:spacing w:before="0" w:after="60" w:line="276" w:lineRule="auto"/>
        <w:rPr>
          <w:rFonts w:cs="Arial"/>
          <w:sz w:val="20"/>
          <w:szCs w:val="20"/>
        </w:rPr>
      </w:pPr>
      <w:r w:rsidRPr="00392892">
        <w:rPr>
          <w:rFonts w:cs="Arial"/>
          <w:sz w:val="20"/>
          <w:szCs w:val="20"/>
        </w:rPr>
        <w:t>What if any changes has your practice made to the result management process?</w:t>
      </w:r>
    </w:p>
    <w:p w14:paraId="77FB2358" w14:textId="77777777" w:rsidR="00392892" w:rsidRPr="00392892" w:rsidRDefault="00392892" w:rsidP="00CC5733">
      <w:pPr>
        <w:numPr>
          <w:ilvl w:val="0"/>
          <w:numId w:val="9"/>
        </w:numPr>
        <w:spacing w:before="0" w:after="60" w:line="276" w:lineRule="auto"/>
        <w:ind w:left="426" w:hanging="426"/>
        <w:rPr>
          <w:rFonts w:cs="Arial"/>
          <w:sz w:val="20"/>
          <w:szCs w:val="20"/>
        </w:rPr>
      </w:pPr>
      <w:r w:rsidRPr="00392892">
        <w:rPr>
          <w:rFonts w:cs="Arial"/>
          <w:sz w:val="20"/>
          <w:szCs w:val="20"/>
        </w:rPr>
        <w:t xml:space="preserve">What happens when a patient with a positive </w:t>
      </w:r>
      <w:proofErr w:type="spellStart"/>
      <w:r w:rsidRPr="00392892">
        <w:rPr>
          <w:rFonts w:cs="Arial"/>
          <w:sz w:val="20"/>
          <w:szCs w:val="20"/>
        </w:rPr>
        <w:t>iFOBT</w:t>
      </w:r>
      <w:proofErr w:type="spellEnd"/>
      <w:r w:rsidRPr="00392892">
        <w:rPr>
          <w:rFonts w:cs="Arial"/>
          <w:sz w:val="20"/>
          <w:szCs w:val="20"/>
        </w:rPr>
        <w:t xml:space="preserve"> result wants to get their colonoscopy through the private system? </w:t>
      </w:r>
    </w:p>
    <w:p w14:paraId="7887CC58" w14:textId="77777777" w:rsidR="00392892" w:rsidRPr="00392892" w:rsidRDefault="00392892" w:rsidP="00CC5733">
      <w:pPr>
        <w:numPr>
          <w:ilvl w:val="0"/>
          <w:numId w:val="10"/>
        </w:numPr>
        <w:spacing w:before="0" w:after="60" w:line="276" w:lineRule="auto"/>
        <w:rPr>
          <w:rFonts w:cs="Arial"/>
          <w:sz w:val="20"/>
          <w:szCs w:val="20"/>
        </w:rPr>
      </w:pPr>
      <w:r w:rsidRPr="00392892">
        <w:rPr>
          <w:rFonts w:cs="Arial"/>
          <w:sz w:val="20"/>
          <w:szCs w:val="20"/>
        </w:rPr>
        <w:t xml:space="preserve">What conversations do you have with patients about the difference between having their colonoscopy through the public vs private system? </w:t>
      </w:r>
    </w:p>
    <w:p w14:paraId="0CB74309" w14:textId="77777777" w:rsidR="00392892" w:rsidRPr="00392892" w:rsidRDefault="00392892" w:rsidP="00392892">
      <w:pPr>
        <w:spacing w:before="60" w:after="60"/>
        <w:ind w:left="0"/>
        <w:rPr>
          <w:rFonts w:cs="Arial"/>
          <w:i/>
          <w:sz w:val="20"/>
          <w:szCs w:val="20"/>
          <w:u w:val="single"/>
        </w:rPr>
      </w:pPr>
      <w:r w:rsidRPr="00392892">
        <w:rPr>
          <w:rFonts w:cs="Arial"/>
          <w:i/>
          <w:sz w:val="20"/>
          <w:szCs w:val="20"/>
          <w:u w:val="single"/>
        </w:rPr>
        <w:t>Pre-assessment and colonoscopy:</w:t>
      </w:r>
    </w:p>
    <w:p w14:paraId="6D935582" w14:textId="77777777" w:rsidR="00392892" w:rsidRPr="00392892" w:rsidRDefault="00392892" w:rsidP="00CC5733">
      <w:pPr>
        <w:numPr>
          <w:ilvl w:val="0"/>
          <w:numId w:val="9"/>
        </w:numPr>
        <w:spacing w:before="0" w:after="60" w:line="276" w:lineRule="auto"/>
        <w:ind w:left="425" w:hanging="425"/>
        <w:rPr>
          <w:rFonts w:cs="Arial"/>
          <w:sz w:val="20"/>
          <w:szCs w:val="20"/>
        </w:rPr>
      </w:pPr>
      <w:r w:rsidRPr="00392892">
        <w:rPr>
          <w:rFonts w:cs="Arial"/>
          <w:sz w:val="20"/>
          <w:szCs w:val="20"/>
        </w:rPr>
        <w:t xml:space="preserve">How if at all does the practice support patients with a positive </w:t>
      </w:r>
      <w:proofErr w:type="spellStart"/>
      <w:r w:rsidRPr="00392892">
        <w:rPr>
          <w:rFonts w:cs="Arial"/>
          <w:sz w:val="20"/>
          <w:szCs w:val="20"/>
        </w:rPr>
        <w:t>iFOBT</w:t>
      </w:r>
      <w:proofErr w:type="spellEnd"/>
      <w:r w:rsidRPr="00392892">
        <w:rPr>
          <w:rFonts w:cs="Arial"/>
          <w:sz w:val="20"/>
          <w:szCs w:val="20"/>
        </w:rPr>
        <w:t xml:space="preserve"> result through the colonoscopy, and if need to treatment?</w:t>
      </w:r>
    </w:p>
    <w:p w14:paraId="484440A1" w14:textId="77777777" w:rsidR="00392892" w:rsidRPr="00392892" w:rsidRDefault="00392892" w:rsidP="00CC5733">
      <w:pPr>
        <w:numPr>
          <w:ilvl w:val="0"/>
          <w:numId w:val="9"/>
        </w:numPr>
        <w:spacing w:before="0" w:after="60" w:line="276" w:lineRule="auto"/>
        <w:ind w:left="425" w:hanging="425"/>
        <w:rPr>
          <w:rFonts w:cs="Arial"/>
          <w:i/>
          <w:sz w:val="20"/>
          <w:szCs w:val="20"/>
        </w:rPr>
      </w:pPr>
      <w:r w:rsidRPr="00392892">
        <w:rPr>
          <w:rFonts w:cs="Arial"/>
          <w:sz w:val="20"/>
          <w:szCs w:val="20"/>
        </w:rPr>
        <w:t xml:space="preserve">How well is the communication of histology results working?  What are the challenges? </w:t>
      </w:r>
    </w:p>
    <w:p w14:paraId="7D70499C" w14:textId="77777777" w:rsidR="00392892" w:rsidRPr="00392892" w:rsidRDefault="00392892" w:rsidP="00392892">
      <w:pPr>
        <w:spacing w:before="60" w:after="60"/>
        <w:ind w:left="0"/>
        <w:rPr>
          <w:rFonts w:cs="Arial"/>
          <w:i/>
          <w:sz w:val="20"/>
          <w:szCs w:val="20"/>
          <w:u w:val="single"/>
        </w:rPr>
      </w:pPr>
      <w:r w:rsidRPr="00392892">
        <w:rPr>
          <w:rFonts w:cs="Arial"/>
          <w:i/>
          <w:sz w:val="20"/>
          <w:szCs w:val="20"/>
          <w:u w:val="single"/>
        </w:rPr>
        <w:t>Surveillance:</w:t>
      </w:r>
    </w:p>
    <w:p w14:paraId="57C4DFCE" w14:textId="77777777" w:rsidR="00392892" w:rsidRPr="00392892" w:rsidRDefault="00392892" w:rsidP="00CC5733">
      <w:pPr>
        <w:numPr>
          <w:ilvl w:val="0"/>
          <w:numId w:val="9"/>
        </w:numPr>
        <w:spacing w:before="0" w:after="60" w:line="276" w:lineRule="auto"/>
        <w:ind w:left="426" w:hanging="426"/>
        <w:rPr>
          <w:rFonts w:cs="Arial"/>
          <w:sz w:val="20"/>
          <w:szCs w:val="20"/>
        </w:rPr>
      </w:pPr>
      <w:r w:rsidRPr="00392892">
        <w:rPr>
          <w:rFonts w:cs="Arial"/>
          <w:sz w:val="20"/>
          <w:szCs w:val="20"/>
        </w:rPr>
        <w:t xml:space="preserve">Does the practice have any patients receiving ongoing surveillance? </w:t>
      </w:r>
    </w:p>
    <w:p w14:paraId="36CABEAC" w14:textId="77777777" w:rsidR="00392892" w:rsidRPr="00392892" w:rsidRDefault="00392892" w:rsidP="00CC5733">
      <w:pPr>
        <w:numPr>
          <w:ilvl w:val="0"/>
          <w:numId w:val="9"/>
        </w:numPr>
        <w:spacing w:before="0" w:after="60" w:line="276" w:lineRule="auto"/>
        <w:ind w:left="426" w:hanging="426"/>
        <w:rPr>
          <w:rFonts w:cs="Arial"/>
          <w:sz w:val="20"/>
          <w:szCs w:val="20"/>
        </w:rPr>
      </w:pPr>
      <w:r w:rsidRPr="00392892">
        <w:rPr>
          <w:rFonts w:cs="Arial"/>
          <w:sz w:val="20"/>
          <w:szCs w:val="20"/>
        </w:rPr>
        <w:t xml:space="preserve">What is general practice’s role in the ongoing surveillance of BSP patients? </w:t>
      </w:r>
    </w:p>
    <w:p w14:paraId="1B01A859" w14:textId="77777777" w:rsidR="00392892" w:rsidRPr="00392892" w:rsidRDefault="00392892" w:rsidP="00CC5733">
      <w:pPr>
        <w:numPr>
          <w:ilvl w:val="0"/>
          <w:numId w:val="9"/>
        </w:numPr>
        <w:spacing w:before="0" w:after="60" w:line="276" w:lineRule="auto"/>
        <w:ind w:left="426" w:hanging="426"/>
        <w:rPr>
          <w:rFonts w:cs="Arial"/>
          <w:sz w:val="20"/>
          <w:szCs w:val="20"/>
        </w:rPr>
      </w:pPr>
      <w:r w:rsidRPr="00392892">
        <w:rPr>
          <w:rFonts w:cs="Arial"/>
          <w:sz w:val="20"/>
          <w:szCs w:val="20"/>
        </w:rPr>
        <w:t xml:space="preserve">How does the process of surveillance work?  </w:t>
      </w:r>
    </w:p>
    <w:p w14:paraId="29A42C56" w14:textId="77777777" w:rsidR="00392892" w:rsidRPr="00392892" w:rsidRDefault="00392892" w:rsidP="00CC5733">
      <w:pPr>
        <w:numPr>
          <w:ilvl w:val="0"/>
          <w:numId w:val="10"/>
        </w:numPr>
        <w:spacing w:before="0" w:after="60" w:line="276" w:lineRule="auto"/>
        <w:rPr>
          <w:rFonts w:cs="Arial"/>
          <w:sz w:val="20"/>
          <w:szCs w:val="20"/>
        </w:rPr>
      </w:pPr>
      <w:r w:rsidRPr="00392892">
        <w:rPr>
          <w:rFonts w:cs="Arial"/>
          <w:sz w:val="20"/>
          <w:szCs w:val="20"/>
        </w:rPr>
        <w:t>What is working well? Needs to be improved?</w:t>
      </w:r>
    </w:p>
    <w:p w14:paraId="1A459618" w14:textId="77777777" w:rsidR="00392892" w:rsidRPr="00392892" w:rsidRDefault="00392892" w:rsidP="00392892">
      <w:pPr>
        <w:spacing w:before="60" w:after="60"/>
        <w:ind w:left="0"/>
        <w:rPr>
          <w:rFonts w:cs="Arial"/>
          <w:i/>
          <w:sz w:val="20"/>
          <w:szCs w:val="20"/>
          <w:u w:val="single"/>
        </w:rPr>
      </w:pPr>
      <w:r w:rsidRPr="00392892">
        <w:rPr>
          <w:rFonts w:cs="Arial"/>
          <w:i/>
          <w:sz w:val="20"/>
          <w:szCs w:val="20"/>
          <w:u w:val="single"/>
        </w:rPr>
        <w:t>Symptomatic services:</w:t>
      </w:r>
    </w:p>
    <w:p w14:paraId="7A9BC8B1" w14:textId="77777777" w:rsidR="00392892" w:rsidRPr="00392892" w:rsidRDefault="00392892" w:rsidP="00CC5733">
      <w:pPr>
        <w:numPr>
          <w:ilvl w:val="0"/>
          <w:numId w:val="9"/>
        </w:numPr>
        <w:spacing w:before="0" w:after="60" w:line="276" w:lineRule="auto"/>
        <w:ind w:left="426" w:hanging="426"/>
        <w:rPr>
          <w:rFonts w:cs="Arial"/>
          <w:sz w:val="20"/>
          <w:szCs w:val="20"/>
        </w:rPr>
      </w:pPr>
      <w:r w:rsidRPr="00392892">
        <w:rPr>
          <w:rFonts w:cs="Arial"/>
          <w:sz w:val="20"/>
          <w:szCs w:val="20"/>
        </w:rPr>
        <w:t>What impact if any has the BSP had on symptomatic services for bowel cancer?</w:t>
      </w:r>
    </w:p>
    <w:p w14:paraId="456F346C" w14:textId="77777777" w:rsidR="00392892" w:rsidRPr="00392892" w:rsidRDefault="00392892" w:rsidP="00CC5733">
      <w:pPr>
        <w:numPr>
          <w:ilvl w:val="0"/>
          <w:numId w:val="9"/>
        </w:numPr>
        <w:spacing w:before="0" w:after="60" w:line="276" w:lineRule="auto"/>
        <w:ind w:left="426" w:hanging="426"/>
        <w:rPr>
          <w:rFonts w:cs="Arial"/>
          <w:sz w:val="20"/>
          <w:szCs w:val="20"/>
        </w:rPr>
      </w:pPr>
      <w:r w:rsidRPr="00392892">
        <w:rPr>
          <w:rFonts w:cs="Arial"/>
          <w:sz w:val="20"/>
          <w:szCs w:val="20"/>
        </w:rPr>
        <w:t xml:space="preserve">Are more patients enquiring about bowel symptoms or concerns? </w:t>
      </w:r>
    </w:p>
    <w:p w14:paraId="563AF278" w14:textId="77777777" w:rsidR="00392892" w:rsidRPr="00392892" w:rsidRDefault="00392892" w:rsidP="00392892">
      <w:pPr>
        <w:ind w:left="0"/>
        <w:rPr>
          <w:rFonts w:cs="Arial"/>
          <w:b/>
          <w:sz w:val="20"/>
          <w:szCs w:val="20"/>
        </w:rPr>
      </w:pPr>
      <w:r w:rsidRPr="00392892">
        <w:rPr>
          <w:rFonts w:cs="Arial"/>
          <w:b/>
          <w:sz w:val="20"/>
          <w:szCs w:val="20"/>
        </w:rPr>
        <w:t>Unique role - Lessons from the BSP for a national roll-out (10 min)</w:t>
      </w:r>
    </w:p>
    <w:p w14:paraId="2E74BA44" w14:textId="77777777" w:rsidR="00392892" w:rsidRPr="00392892" w:rsidRDefault="00392892" w:rsidP="00392892">
      <w:pPr>
        <w:ind w:left="0"/>
        <w:rPr>
          <w:rFonts w:cs="Arial"/>
          <w:sz w:val="20"/>
          <w:szCs w:val="20"/>
        </w:rPr>
      </w:pPr>
      <w:r w:rsidRPr="00392892">
        <w:rPr>
          <w:rFonts w:cs="Arial"/>
          <w:sz w:val="20"/>
          <w:szCs w:val="20"/>
        </w:rPr>
        <w:t xml:space="preserve">Unlike other screening programmes, general practice has a unique role in the BSP of informing participants with about their positive </w:t>
      </w:r>
      <w:proofErr w:type="spellStart"/>
      <w:r w:rsidRPr="00392892">
        <w:rPr>
          <w:rFonts w:cs="Arial"/>
          <w:sz w:val="20"/>
          <w:szCs w:val="20"/>
        </w:rPr>
        <w:t>iFOBT</w:t>
      </w:r>
      <w:proofErr w:type="spellEnd"/>
      <w:r w:rsidRPr="00392892">
        <w:rPr>
          <w:rFonts w:cs="Arial"/>
          <w:sz w:val="20"/>
          <w:szCs w:val="20"/>
        </w:rPr>
        <w:t xml:space="preserve"> result.  </w:t>
      </w:r>
      <w:r w:rsidRPr="00392892">
        <w:rPr>
          <w:rFonts w:cs="Arial"/>
          <w:sz w:val="20"/>
          <w:szCs w:val="20"/>
        </w:rPr>
        <w:br/>
      </w:r>
    </w:p>
    <w:p w14:paraId="4F1A7FEB" w14:textId="77777777" w:rsidR="00392892" w:rsidRPr="00392892" w:rsidRDefault="00392892" w:rsidP="00CC5733">
      <w:pPr>
        <w:numPr>
          <w:ilvl w:val="0"/>
          <w:numId w:val="9"/>
        </w:numPr>
        <w:spacing w:before="0" w:after="60" w:line="276" w:lineRule="auto"/>
        <w:ind w:left="426" w:hanging="426"/>
        <w:rPr>
          <w:rFonts w:cs="Arial"/>
          <w:sz w:val="20"/>
          <w:szCs w:val="20"/>
        </w:rPr>
      </w:pPr>
      <w:r w:rsidRPr="00392892">
        <w:rPr>
          <w:rFonts w:cs="Arial"/>
          <w:sz w:val="20"/>
          <w:szCs w:val="20"/>
        </w:rPr>
        <w:t xml:space="preserve">Reflecting on the last 12 months, what are the benefits of having general practices involved in the BSP?  </w:t>
      </w:r>
    </w:p>
    <w:p w14:paraId="46AA4392" w14:textId="77777777" w:rsidR="00392892" w:rsidRPr="00392892" w:rsidRDefault="00392892" w:rsidP="00CC5733">
      <w:pPr>
        <w:numPr>
          <w:ilvl w:val="0"/>
          <w:numId w:val="10"/>
        </w:numPr>
        <w:spacing w:before="0" w:after="60" w:line="276" w:lineRule="auto"/>
        <w:rPr>
          <w:rFonts w:cs="Arial"/>
          <w:sz w:val="20"/>
          <w:szCs w:val="20"/>
        </w:rPr>
      </w:pPr>
      <w:r w:rsidRPr="00392892">
        <w:rPr>
          <w:rFonts w:cs="Arial"/>
          <w:sz w:val="20"/>
          <w:szCs w:val="20"/>
        </w:rPr>
        <w:t>For the screening programme?</w:t>
      </w:r>
    </w:p>
    <w:p w14:paraId="0CEF12C8" w14:textId="77777777" w:rsidR="00392892" w:rsidRPr="00392892" w:rsidRDefault="00392892" w:rsidP="00CC5733">
      <w:pPr>
        <w:numPr>
          <w:ilvl w:val="0"/>
          <w:numId w:val="10"/>
        </w:numPr>
        <w:spacing w:before="0" w:after="60" w:line="276" w:lineRule="auto"/>
        <w:rPr>
          <w:rFonts w:cs="Arial"/>
          <w:sz w:val="20"/>
          <w:szCs w:val="20"/>
        </w:rPr>
      </w:pPr>
      <w:r w:rsidRPr="00392892">
        <w:rPr>
          <w:rFonts w:cs="Arial"/>
          <w:sz w:val="20"/>
          <w:szCs w:val="20"/>
        </w:rPr>
        <w:t>Patients?</w:t>
      </w:r>
    </w:p>
    <w:p w14:paraId="4AB034DC" w14:textId="77777777" w:rsidR="00392892" w:rsidRPr="00392892" w:rsidRDefault="00392892" w:rsidP="00CC5733">
      <w:pPr>
        <w:numPr>
          <w:ilvl w:val="0"/>
          <w:numId w:val="10"/>
        </w:numPr>
        <w:spacing w:before="0" w:after="60" w:line="276" w:lineRule="auto"/>
        <w:rPr>
          <w:rFonts w:cs="Arial"/>
          <w:sz w:val="20"/>
          <w:szCs w:val="20"/>
        </w:rPr>
      </w:pPr>
      <w:r w:rsidRPr="00392892">
        <w:rPr>
          <w:rFonts w:cs="Arial"/>
          <w:sz w:val="20"/>
          <w:szCs w:val="20"/>
        </w:rPr>
        <w:t>General Practice?</w:t>
      </w:r>
    </w:p>
    <w:p w14:paraId="64E8AA38" w14:textId="77777777" w:rsidR="00392892" w:rsidRPr="00392892" w:rsidRDefault="00392892" w:rsidP="00CC5733">
      <w:pPr>
        <w:numPr>
          <w:ilvl w:val="0"/>
          <w:numId w:val="9"/>
        </w:numPr>
        <w:spacing w:before="0" w:after="60" w:line="276" w:lineRule="auto"/>
        <w:ind w:left="426" w:hanging="426"/>
        <w:rPr>
          <w:rFonts w:cs="Arial"/>
          <w:sz w:val="20"/>
          <w:szCs w:val="20"/>
        </w:rPr>
      </w:pPr>
      <w:r w:rsidRPr="00392892">
        <w:rPr>
          <w:rFonts w:cs="Arial"/>
          <w:sz w:val="20"/>
          <w:szCs w:val="20"/>
        </w:rPr>
        <w:t xml:space="preserve">What are the disadvantages of having general practices involved in the BSP?  </w:t>
      </w:r>
    </w:p>
    <w:p w14:paraId="4CD71F6D" w14:textId="77777777" w:rsidR="00392892" w:rsidRPr="00392892" w:rsidRDefault="00392892" w:rsidP="00CC5733">
      <w:pPr>
        <w:numPr>
          <w:ilvl w:val="0"/>
          <w:numId w:val="10"/>
        </w:numPr>
        <w:spacing w:before="0" w:after="60" w:line="276" w:lineRule="auto"/>
        <w:rPr>
          <w:rFonts w:cs="Arial"/>
          <w:sz w:val="20"/>
          <w:szCs w:val="20"/>
        </w:rPr>
      </w:pPr>
      <w:r w:rsidRPr="00392892">
        <w:rPr>
          <w:rFonts w:cs="Arial"/>
          <w:sz w:val="20"/>
          <w:szCs w:val="20"/>
        </w:rPr>
        <w:t>For the screening programme?</w:t>
      </w:r>
    </w:p>
    <w:p w14:paraId="73DD86D0" w14:textId="77777777" w:rsidR="00392892" w:rsidRPr="00392892" w:rsidRDefault="00392892" w:rsidP="00CC5733">
      <w:pPr>
        <w:numPr>
          <w:ilvl w:val="0"/>
          <w:numId w:val="10"/>
        </w:numPr>
        <w:spacing w:before="0" w:after="60" w:line="276" w:lineRule="auto"/>
        <w:rPr>
          <w:rFonts w:cs="Arial"/>
          <w:sz w:val="20"/>
          <w:szCs w:val="20"/>
        </w:rPr>
      </w:pPr>
      <w:r w:rsidRPr="00392892">
        <w:rPr>
          <w:rFonts w:cs="Arial"/>
          <w:sz w:val="20"/>
          <w:szCs w:val="20"/>
        </w:rPr>
        <w:t>Patients?</w:t>
      </w:r>
    </w:p>
    <w:p w14:paraId="1489E130" w14:textId="77777777" w:rsidR="00392892" w:rsidRPr="00392892" w:rsidRDefault="00392892" w:rsidP="00CC5733">
      <w:pPr>
        <w:numPr>
          <w:ilvl w:val="0"/>
          <w:numId w:val="10"/>
        </w:numPr>
        <w:spacing w:before="0" w:after="60" w:line="276" w:lineRule="auto"/>
        <w:rPr>
          <w:rFonts w:cs="Arial"/>
          <w:sz w:val="20"/>
          <w:szCs w:val="20"/>
        </w:rPr>
      </w:pPr>
      <w:r w:rsidRPr="00392892">
        <w:rPr>
          <w:rFonts w:cs="Arial"/>
          <w:sz w:val="20"/>
          <w:szCs w:val="20"/>
        </w:rPr>
        <w:t>General Practice?</w:t>
      </w:r>
    </w:p>
    <w:p w14:paraId="0890993A" w14:textId="77777777" w:rsidR="00392892" w:rsidRDefault="00392892" w:rsidP="00392892">
      <w:pPr>
        <w:ind w:left="0"/>
        <w:rPr>
          <w:i/>
          <w:iCs/>
          <w:sz w:val="20"/>
          <w:szCs w:val="20"/>
        </w:rPr>
      </w:pPr>
      <w:r w:rsidRPr="00392892">
        <w:rPr>
          <w:i/>
          <w:iCs/>
          <w:sz w:val="20"/>
          <w:szCs w:val="20"/>
        </w:rPr>
        <w:t>The</w:t>
      </w:r>
      <w:r w:rsidR="00B92529">
        <w:rPr>
          <w:i/>
          <w:iCs/>
          <w:sz w:val="20"/>
          <w:szCs w:val="20"/>
        </w:rPr>
        <w:t xml:space="preserve"> </w:t>
      </w:r>
      <w:r w:rsidRPr="00392892">
        <w:rPr>
          <w:bCs/>
          <w:sz w:val="20"/>
          <w:szCs w:val="20"/>
        </w:rPr>
        <w:t>overall</w:t>
      </w:r>
      <w:r w:rsidR="00B92529">
        <w:rPr>
          <w:bCs/>
          <w:sz w:val="20"/>
          <w:szCs w:val="20"/>
        </w:rPr>
        <w:t xml:space="preserve"> </w:t>
      </w:r>
      <w:r w:rsidRPr="00392892">
        <w:rPr>
          <w:bCs/>
          <w:sz w:val="20"/>
          <w:szCs w:val="20"/>
        </w:rPr>
        <w:t>goal</w:t>
      </w:r>
      <w:r w:rsidR="00B92529">
        <w:rPr>
          <w:bCs/>
          <w:sz w:val="20"/>
          <w:szCs w:val="20"/>
        </w:rPr>
        <w:t xml:space="preserve"> </w:t>
      </w:r>
      <w:r w:rsidRPr="00392892">
        <w:rPr>
          <w:sz w:val="20"/>
          <w:szCs w:val="20"/>
        </w:rPr>
        <w:t xml:space="preserve">of the BSP is to determine: </w:t>
      </w:r>
      <w:r w:rsidRPr="00392892">
        <w:rPr>
          <w:i/>
          <w:iCs/>
          <w:sz w:val="20"/>
          <w:szCs w:val="20"/>
        </w:rPr>
        <w:t xml:space="preserve">Whether organised bowel screening could be introduced in New Zealand in a way that is effective, safe and acceptable for participants; equitable and economically efficient.  </w:t>
      </w:r>
    </w:p>
    <w:p w14:paraId="2E52EEAF" w14:textId="77777777" w:rsidR="00392892" w:rsidRDefault="00392892" w:rsidP="00392892">
      <w:pPr>
        <w:ind w:left="0"/>
        <w:rPr>
          <w:rFonts w:cs="Arial"/>
          <w:sz w:val="20"/>
          <w:szCs w:val="20"/>
        </w:rPr>
      </w:pPr>
      <w:r w:rsidRPr="00392892">
        <w:rPr>
          <w:rFonts w:cs="Arial"/>
          <w:sz w:val="20"/>
          <w:szCs w:val="20"/>
        </w:rPr>
        <w:t>Reflecting on a potential national roll-out of a bowel screening programme, what would be the role of general practice on this scale?  What would be the advantages of maintaining the role of general practice?  What would be the challenges?  Disadvantages?</w:t>
      </w:r>
      <w:r w:rsidRPr="00392892">
        <w:rPr>
          <w:rFonts w:cs="Arial"/>
          <w:sz w:val="20"/>
          <w:szCs w:val="20"/>
        </w:rPr>
        <w:br/>
      </w:r>
    </w:p>
    <w:p w14:paraId="3E9B7449" w14:textId="77777777" w:rsidR="00392892" w:rsidRPr="00392892" w:rsidRDefault="00392892" w:rsidP="00392892">
      <w:pPr>
        <w:ind w:left="0"/>
        <w:rPr>
          <w:rFonts w:cs="Arial"/>
          <w:sz w:val="20"/>
          <w:szCs w:val="20"/>
        </w:rPr>
      </w:pPr>
      <w:r w:rsidRPr="00392892">
        <w:rPr>
          <w:rFonts w:cs="Arial"/>
          <w:sz w:val="20"/>
          <w:szCs w:val="20"/>
        </w:rPr>
        <w:t>What other comments do you have on BSP and lessons for a national bowel screening programme roll-out?</w:t>
      </w:r>
    </w:p>
    <w:p w14:paraId="6CC8DDA6" w14:textId="77777777" w:rsidR="00192DD8" w:rsidRDefault="00392892" w:rsidP="006A2C8B">
      <w:pPr>
        <w:spacing w:after="120"/>
        <w:ind w:left="0"/>
      </w:pPr>
      <w:r w:rsidRPr="00392892">
        <w:rPr>
          <w:rFonts w:cs="Arial"/>
          <w:b/>
          <w:sz w:val="20"/>
          <w:szCs w:val="20"/>
        </w:rPr>
        <w:t>Thanks, close and next steps</w:t>
      </w:r>
    </w:p>
    <w:p w14:paraId="70EC0DEE" w14:textId="77777777" w:rsidR="00192DD8" w:rsidRDefault="00192DD8">
      <w:pPr>
        <w:spacing w:before="0"/>
        <w:ind w:left="0"/>
      </w:pPr>
      <w:r>
        <w:br w:type="page"/>
      </w:r>
    </w:p>
    <w:p w14:paraId="2ADF6191" w14:textId="77777777" w:rsidR="00192DD8" w:rsidRDefault="00192DD8" w:rsidP="00192DD8">
      <w:pPr>
        <w:pStyle w:val="Heading2"/>
      </w:pPr>
      <w:bookmarkStart w:id="69" w:name="_Toc380424721"/>
      <w:r>
        <w:lastRenderedPageBreak/>
        <w:t>Appendix 2 – BSP participant research tools</w:t>
      </w:r>
      <w:bookmarkEnd w:id="69"/>
    </w:p>
    <w:p w14:paraId="56AEC620" w14:textId="77777777" w:rsidR="00002E56" w:rsidRPr="00002E56" w:rsidRDefault="00002E56" w:rsidP="00002E56">
      <w:pPr>
        <w:pStyle w:val="Heading3"/>
      </w:pPr>
      <w:r>
        <w:t>Letter from BSP Coordination Centre</w:t>
      </w:r>
    </w:p>
    <w:p w14:paraId="09F39A49" w14:textId="77777777" w:rsidR="00002E56" w:rsidRPr="00002E56" w:rsidRDefault="00002E56" w:rsidP="00002E56">
      <w:pPr>
        <w:tabs>
          <w:tab w:val="left" w:pos="1800"/>
        </w:tabs>
        <w:spacing w:before="120" w:line="300" w:lineRule="exact"/>
        <w:ind w:left="0"/>
        <w:rPr>
          <w:rFonts w:cs="Arial"/>
        </w:rPr>
      </w:pPr>
      <w:r w:rsidRPr="00002E56">
        <w:rPr>
          <w:rFonts w:cs="Arial"/>
        </w:rPr>
        <w:t>[date]</w:t>
      </w:r>
    </w:p>
    <w:p w14:paraId="6172A222" w14:textId="77777777" w:rsidR="00002E56" w:rsidRPr="00002E56" w:rsidRDefault="00002E56" w:rsidP="00002E56">
      <w:pPr>
        <w:tabs>
          <w:tab w:val="left" w:pos="1800"/>
        </w:tabs>
        <w:spacing w:before="120" w:line="300" w:lineRule="exact"/>
        <w:ind w:left="0"/>
        <w:rPr>
          <w:rFonts w:cs="Arial"/>
        </w:rPr>
      </w:pPr>
    </w:p>
    <w:p w14:paraId="05C2D45D" w14:textId="77777777" w:rsidR="00002E56" w:rsidRPr="00002E56" w:rsidRDefault="00002E56" w:rsidP="00002E56">
      <w:pPr>
        <w:tabs>
          <w:tab w:val="left" w:pos="1800"/>
        </w:tabs>
        <w:spacing w:before="120" w:line="300" w:lineRule="exact"/>
        <w:ind w:left="0"/>
        <w:rPr>
          <w:rFonts w:cs="Arial"/>
        </w:rPr>
      </w:pPr>
      <w:r w:rsidRPr="00002E56">
        <w:rPr>
          <w:rFonts w:cs="Arial"/>
        </w:rPr>
        <w:t>[Address]</w:t>
      </w:r>
    </w:p>
    <w:p w14:paraId="1E599761" w14:textId="77777777" w:rsidR="00002E56" w:rsidRPr="00002E56" w:rsidRDefault="00002E56" w:rsidP="00002E56">
      <w:pPr>
        <w:tabs>
          <w:tab w:val="left" w:pos="1800"/>
        </w:tabs>
        <w:spacing w:before="120" w:line="300" w:lineRule="exact"/>
        <w:ind w:left="0"/>
        <w:rPr>
          <w:rFonts w:cs="Arial"/>
        </w:rPr>
      </w:pPr>
    </w:p>
    <w:p w14:paraId="6E11226D" w14:textId="77777777" w:rsidR="00002E56" w:rsidRPr="00002E56" w:rsidRDefault="00002E56" w:rsidP="00002E56">
      <w:pPr>
        <w:tabs>
          <w:tab w:val="left" w:pos="1800"/>
        </w:tabs>
        <w:spacing w:before="120" w:line="300" w:lineRule="exact"/>
        <w:ind w:left="0"/>
        <w:rPr>
          <w:rFonts w:cs="Arial"/>
        </w:rPr>
      </w:pPr>
      <w:r w:rsidRPr="00002E56">
        <w:rPr>
          <w:rFonts w:cs="Arial"/>
        </w:rPr>
        <w:t>Dear [name]</w:t>
      </w:r>
    </w:p>
    <w:p w14:paraId="2262A6A9" w14:textId="77777777" w:rsidR="00002E56" w:rsidRPr="00002E56" w:rsidRDefault="00002E56" w:rsidP="00002E56">
      <w:pPr>
        <w:tabs>
          <w:tab w:val="left" w:pos="1800"/>
        </w:tabs>
        <w:spacing w:before="120" w:after="120" w:line="300" w:lineRule="exact"/>
        <w:ind w:left="0"/>
        <w:rPr>
          <w:rFonts w:cs="Arial"/>
          <w:b/>
          <w:lang w:eastAsia="en-US"/>
        </w:rPr>
      </w:pPr>
      <w:r w:rsidRPr="00002E56">
        <w:rPr>
          <w:rFonts w:cs="Arial"/>
          <w:b/>
        </w:rPr>
        <w:t xml:space="preserve">Evaluation of the Bowel Screening Pilot </w:t>
      </w:r>
    </w:p>
    <w:p w14:paraId="3DA06CFF" w14:textId="77777777" w:rsidR="00002E56" w:rsidRPr="00002E56" w:rsidRDefault="00002E56" w:rsidP="00002E56">
      <w:pPr>
        <w:tabs>
          <w:tab w:val="left" w:pos="1800"/>
        </w:tabs>
        <w:ind w:left="0"/>
        <w:rPr>
          <w:rFonts w:cs="Arial"/>
        </w:rPr>
      </w:pPr>
      <w:r w:rsidRPr="00002E56">
        <w:rPr>
          <w:rFonts w:cs="Arial"/>
        </w:rPr>
        <w:t xml:space="preserve">The Ministry of Health is </w:t>
      </w:r>
      <w:r w:rsidR="00B92529" w:rsidRPr="00002E56">
        <w:rPr>
          <w:rFonts w:cs="Arial"/>
        </w:rPr>
        <w:t>trialling</w:t>
      </w:r>
      <w:r w:rsidRPr="00002E56">
        <w:rPr>
          <w:rFonts w:cs="Arial"/>
        </w:rPr>
        <w:t xml:space="preserve"> a Bowel Screening Pilot in the </w:t>
      </w:r>
      <w:proofErr w:type="spellStart"/>
      <w:r w:rsidR="006A2C8B">
        <w:rPr>
          <w:rFonts w:cs="Arial"/>
        </w:rPr>
        <w:t>Waitematā</w:t>
      </w:r>
      <w:proofErr w:type="spellEnd"/>
      <w:r w:rsidRPr="00002E56">
        <w:rPr>
          <w:rFonts w:cs="Arial"/>
        </w:rPr>
        <w:t xml:space="preserve"> District Health Board (DHB) area.  Litmus, an independent evaluation company (</w:t>
      </w:r>
      <w:hyperlink r:id="rId20" w:history="1">
        <w:r w:rsidRPr="00002E56">
          <w:rPr>
            <w:rFonts w:ascii="Times New Roman" w:hAnsi="Times New Roman" w:cs="Arial"/>
            <w:color w:val="0000FF"/>
            <w:u w:val="single"/>
          </w:rPr>
          <w:t>www.litmus.co.nz</w:t>
        </w:r>
      </w:hyperlink>
      <w:r w:rsidRPr="00002E56">
        <w:rPr>
          <w:rFonts w:cs="Arial"/>
        </w:rPr>
        <w:t xml:space="preserve">), is assessing the Bowel Screening Pilot to find out if it could be introduced to all of New Zealand in a way that works well, is safe and acceptable. </w:t>
      </w:r>
    </w:p>
    <w:p w14:paraId="4E82570A" w14:textId="77777777" w:rsidR="00002E56" w:rsidRPr="00002E56" w:rsidRDefault="00002E56" w:rsidP="00002E56">
      <w:pPr>
        <w:tabs>
          <w:tab w:val="left" w:pos="1800"/>
        </w:tabs>
        <w:ind w:left="0"/>
        <w:rPr>
          <w:rFonts w:cs="Arial"/>
        </w:rPr>
      </w:pPr>
      <w:r w:rsidRPr="00002E56">
        <w:rPr>
          <w:rFonts w:cs="Arial"/>
        </w:rPr>
        <w:t xml:space="preserve">To find out how the Pilot is working, Litmus wants to talk with people like you who have taken part. We want to hear about your experience of the Bowel Screening Pilot, what is working well and not so well. Your feedback will help us improve the service provided by the Pilot, and help the Ministry of Health decide if bowel screening should take place across New Zealand. </w:t>
      </w:r>
    </w:p>
    <w:p w14:paraId="795203C1" w14:textId="77777777" w:rsidR="00002E56" w:rsidRPr="00002E56" w:rsidRDefault="00002E56" w:rsidP="00002E56">
      <w:pPr>
        <w:tabs>
          <w:tab w:val="left" w:pos="1800"/>
        </w:tabs>
        <w:ind w:left="0"/>
        <w:rPr>
          <w:rFonts w:cs="Arial"/>
        </w:rPr>
      </w:pPr>
      <w:r w:rsidRPr="00002E56">
        <w:rPr>
          <w:rFonts w:cs="Arial"/>
          <w:lang w:val="en-US"/>
        </w:rPr>
        <w:t xml:space="preserve">If you agree to take part, one of the Litmus evaluators will meet with you and ask about your experience of taking part in </w:t>
      </w:r>
      <w:r w:rsidRPr="00002E56">
        <w:rPr>
          <w:rFonts w:cs="Arial"/>
        </w:rPr>
        <w:t>the Bowel Screening Pilot</w:t>
      </w:r>
      <w:r w:rsidRPr="00002E56">
        <w:rPr>
          <w:rFonts w:cs="Arial"/>
          <w:lang w:val="en-US"/>
        </w:rPr>
        <w:t xml:space="preserve">. The interview </w:t>
      </w:r>
      <w:r w:rsidRPr="00002E56">
        <w:rPr>
          <w:rFonts w:cs="Arial"/>
        </w:rPr>
        <w:t xml:space="preserve">will take no more than 60 minutes, at a time and place that suits you. No preparation is needed for the interview.  You will receive $50 to thank you for your time. </w:t>
      </w:r>
    </w:p>
    <w:p w14:paraId="5A66FD3F" w14:textId="77777777" w:rsidR="00002E56" w:rsidRPr="00002E56" w:rsidRDefault="00002E56" w:rsidP="00002E56">
      <w:pPr>
        <w:tabs>
          <w:tab w:val="left" w:pos="1800"/>
        </w:tabs>
        <w:ind w:left="0"/>
        <w:rPr>
          <w:rFonts w:cs="Arial"/>
        </w:rPr>
      </w:pPr>
      <w:r w:rsidRPr="00002E56">
        <w:rPr>
          <w:rFonts w:cs="Arial"/>
        </w:rPr>
        <w:t xml:space="preserve">The attached sheet provides more information about the evaluation and the sorts of questions you will be asked. </w:t>
      </w:r>
    </w:p>
    <w:p w14:paraId="3C0E36B9" w14:textId="77777777" w:rsidR="00002E56" w:rsidRPr="00002E56" w:rsidRDefault="00002E56" w:rsidP="00002E56">
      <w:pPr>
        <w:tabs>
          <w:tab w:val="left" w:pos="1800"/>
        </w:tabs>
        <w:ind w:left="0"/>
        <w:rPr>
          <w:rFonts w:cs="Arial"/>
        </w:rPr>
      </w:pPr>
      <w:r w:rsidRPr="00002E56">
        <w:rPr>
          <w:rFonts w:cs="Arial"/>
        </w:rPr>
        <w:t>You do not have to take part in an interview.  If you don’t want Litmus to contact you, please call us on 0800 924 432 within seven days of the date on this letter.  If you choose not to take part it will not affect any health care you receive.</w:t>
      </w:r>
    </w:p>
    <w:p w14:paraId="08563313" w14:textId="77777777" w:rsidR="00002E56" w:rsidRPr="00002E56" w:rsidRDefault="00002E56" w:rsidP="00002E56">
      <w:pPr>
        <w:tabs>
          <w:tab w:val="left" w:pos="1800"/>
        </w:tabs>
        <w:ind w:left="0"/>
        <w:rPr>
          <w:rFonts w:cs="Arial"/>
        </w:rPr>
      </w:pPr>
      <w:r w:rsidRPr="00002E56">
        <w:rPr>
          <w:rFonts w:cs="Arial"/>
        </w:rPr>
        <w:t>If we do not hear from you, your name and contact details only will be forwarded to Litmus.  Not everyone on the list will be contacted.  If you are selected, a Litmus evaluator will call and ask if you are happy to meet with them. You can say no to taking part at that stage.</w:t>
      </w:r>
    </w:p>
    <w:p w14:paraId="6DF20789" w14:textId="77777777" w:rsidR="00002E56" w:rsidRPr="00002E56" w:rsidRDefault="00002E56" w:rsidP="00002E56">
      <w:pPr>
        <w:tabs>
          <w:tab w:val="left" w:pos="1800"/>
        </w:tabs>
        <w:ind w:left="0"/>
        <w:jc w:val="both"/>
        <w:rPr>
          <w:rFonts w:cs="Arial"/>
        </w:rPr>
      </w:pPr>
      <w:r w:rsidRPr="00002E56">
        <w:rPr>
          <w:rFonts w:cs="Arial"/>
        </w:rPr>
        <w:t>Thank you for taking the time to read this letter. It is with the help of people like you that the Bowel Screening Pilot can be improved for everyone.</w:t>
      </w:r>
    </w:p>
    <w:p w14:paraId="79181657" w14:textId="77777777" w:rsidR="00002E56" w:rsidRPr="00002E56" w:rsidRDefault="00002E56" w:rsidP="00002E56">
      <w:pPr>
        <w:tabs>
          <w:tab w:val="left" w:pos="1800"/>
        </w:tabs>
        <w:ind w:left="0"/>
        <w:jc w:val="both"/>
        <w:rPr>
          <w:rFonts w:cs="Arial"/>
        </w:rPr>
      </w:pPr>
      <w:r w:rsidRPr="00002E56">
        <w:rPr>
          <w:rFonts w:cs="Arial"/>
        </w:rPr>
        <w:t>Yours sincerely</w:t>
      </w:r>
    </w:p>
    <w:p w14:paraId="2C1E0650" w14:textId="77777777" w:rsidR="00002E56" w:rsidRPr="00002E56" w:rsidRDefault="00002E56" w:rsidP="00002E56">
      <w:pPr>
        <w:tabs>
          <w:tab w:val="left" w:pos="1800"/>
        </w:tabs>
        <w:ind w:left="0"/>
        <w:jc w:val="both"/>
        <w:rPr>
          <w:rFonts w:cs="Arial"/>
        </w:rPr>
      </w:pPr>
    </w:p>
    <w:p w14:paraId="16E4E489" w14:textId="77777777" w:rsidR="00002E56" w:rsidRPr="00002E56" w:rsidRDefault="00002E56" w:rsidP="00002E56">
      <w:pPr>
        <w:tabs>
          <w:tab w:val="left" w:pos="1800"/>
        </w:tabs>
        <w:ind w:left="0"/>
      </w:pPr>
      <w:r w:rsidRPr="00002E56">
        <w:rPr>
          <w:rFonts w:cs="Arial"/>
        </w:rPr>
        <w:t xml:space="preserve">[signatory: name, title, contact details] </w:t>
      </w:r>
    </w:p>
    <w:p w14:paraId="66201B75" w14:textId="77777777" w:rsidR="00002E56" w:rsidRDefault="00002E56">
      <w:pPr>
        <w:spacing w:before="0"/>
        <w:ind w:left="0"/>
      </w:pPr>
      <w:r>
        <w:br w:type="page"/>
      </w:r>
    </w:p>
    <w:p w14:paraId="78CA407A" w14:textId="77777777" w:rsidR="00002E56" w:rsidRPr="00002E56" w:rsidRDefault="00002E56" w:rsidP="00002E56">
      <w:pPr>
        <w:pStyle w:val="Heading3"/>
      </w:pPr>
      <w:r w:rsidRPr="00002E56">
        <w:lastRenderedPageBreak/>
        <w:t xml:space="preserve">Information Sheet </w:t>
      </w:r>
    </w:p>
    <w:p w14:paraId="02187485" w14:textId="77777777" w:rsidR="00002E56" w:rsidRPr="00002E56" w:rsidRDefault="00002E56" w:rsidP="00002E56">
      <w:pPr>
        <w:spacing w:before="120" w:after="120"/>
        <w:ind w:left="6"/>
        <w:rPr>
          <w:rFonts w:cs="Arial"/>
        </w:rPr>
      </w:pPr>
      <w:r w:rsidRPr="00002E56">
        <w:rPr>
          <w:rFonts w:cs="Arial"/>
        </w:rPr>
        <w:t xml:space="preserve">Thank you for your interest in this project. Should you decide to take part, your information will help in understanding peoples’ experiences of the Bowel Screening Pilot, being trialled in </w:t>
      </w:r>
      <w:proofErr w:type="spellStart"/>
      <w:r w:rsidR="006A2C8B">
        <w:rPr>
          <w:rFonts w:cs="Arial"/>
        </w:rPr>
        <w:t>Waitematā</w:t>
      </w:r>
      <w:proofErr w:type="spellEnd"/>
      <w:r w:rsidRPr="00002E56">
        <w:rPr>
          <w:rFonts w:cs="Arial"/>
        </w:rPr>
        <w:t xml:space="preserve"> District Health Board. </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7366"/>
      </w:tblGrid>
      <w:tr w:rsidR="00002E56" w:rsidRPr="00002E56" w14:paraId="32BE66BE" w14:textId="77777777" w:rsidTr="00C64168">
        <w:tc>
          <w:tcPr>
            <w:tcW w:w="2498" w:type="dxa"/>
            <w:shd w:val="clear" w:color="auto" w:fill="auto"/>
          </w:tcPr>
          <w:p w14:paraId="7F3AD0E1" w14:textId="77777777" w:rsidR="00002E56" w:rsidRPr="00002E56" w:rsidRDefault="00002E56" w:rsidP="008D3E62">
            <w:pPr>
              <w:spacing w:beforeLines="60" w:before="144"/>
              <w:ind w:left="0"/>
              <w:rPr>
                <w:rFonts w:cs="Arial"/>
                <w:color w:val="0000FF"/>
                <w:szCs w:val="21"/>
                <w:lang w:val="en-GB"/>
              </w:rPr>
            </w:pPr>
            <w:r w:rsidRPr="00002E56">
              <w:rPr>
                <w:rFonts w:cs="Arial"/>
                <w:color w:val="0000FF"/>
                <w:szCs w:val="21"/>
                <w:lang w:val="en-GB"/>
              </w:rPr>
              <w:t>What is the purpose of the project?</w:t>
            </w:r>
          </w:p>
          <w:p w14:paraId="0E6C3B49" w14:textId="77777777" w:rsidR="00002E56" w:rsidRPr="00002E56" w:rsidRDefault="00002E56" w:rsidP="008D3E62">
            <w:pPr>
              <w:spacing w:beforeLines="60" w:before="144"/>
              <w:ind w:left="0"/>
              <w:rPr>
                <w:rFonts w:cs="Arial"/>
                <w:color w:val="0000FF"/>
                <w:szCs w:val="21"/>
                <w:lang w:val="en-GB"/>
              </w:rPr>
            </w:pPr>
          </w:p>
        </w:tc>
        <w:tc>
          <w:tcPr>
            <w:tcW w:w="7513" w:type="dxa"/>
            <w:shd w:val="clear" w:color="auto" w:fill="auto"/>
          </w:tcPr>
          <w:p w14:paraId="692B0728" w14:textId="77777777" w:rsidR="00002E56" w:rsidRPr="00002E56" w:rsidRDefault="00002E56" w:rsidP="008D3E62">
            <w:pPr>
              <w:spacing w:beforeLines="60" w:before="144"/>
              <w:ind w:left="6" w:right="-108"/>
              <w:rPr>
                <w:rFonts w:cs="Arial"/>
                <w:szCs w:val="21"/>
              </w:rPr>
            </w:pPr>
            <w:r w:rsidRPr="00002E56">
              <w:rPr>
                <w:rFonts w:cs="Arial"/>
                <w:szCs w:val="21"/>
              </w:rPr>
              <w:t xml:space="preserve">Litmus (an evaluation company) has been asked by the Ministry of Health to find out how the Bowel Screening Pilot is working in </w:t>
            </w:r>
            <w:proofErr w:type="spellStart"/>
            <w:r w:rsidR="006A2C8B">
              <w:rPr>
                <w:rFonts w:cs="Arial"/>
                <w:szCs w:val="21"/>
              </w:rPr>
              <w:t>Waitematā</w:t>
            </w:r>
            <w:proofErr w:type="spellEnd"/>
            <w:r w:rsidR="00B92529">
              <w:rPr>
                <w:rFonts w:cs="Arial"/>
                <w:szCs w:val="21"/>
              </w:rPr>
              <w:t xml:space="preserve"> </w:t>
            </w:r>
            <w:r w:rsidRPr="00002E56">
              <w:rPr>
                <w:rFonts w:cs="Arial"/>
                <w:szCs w:val="21"/>
              </w:rPr>
              <w:t xml:space="preserve">DHB. The purpose of the project is </w:t>
            </w:r>
            <w:r w:rsidRPr="00002E56">
              <w:rPr>
                <w:rFonts w:cs="Arial"/>
                <w:b/>
                <w:color w:val="0000FF"/>
                <w:szCs w:val="21"/>
                <w:lang w:val="en-GB"/>
              </w:rPr>
              <w:t xml:space="preserve">to find out if organised bowel screening could be introduced to all of New Zealand </w:t>
            </w:r>
            <w:r w:rsidRPr="00002E56">
              <w:rPr>
                <w:rFonts w:cs="Arial"/>
                <w:szCs w:val="21"/>
                <w:lang w:val="en-GB"/>
              </w:rPr>
              <w:t>in a way that is effective, safe and acceptable.</w:t>
            </w:r>
          </w:p>
        </w:tc>
      </w:tr>
      <w:tr w:rsidR="00002E56" w:rsidRPr="00002E56" w14:paraId="013E7D96" w14:textId="77777777" w:rsidTr="00C64168">
        <w:tc>
          <w:tcPr>
            <w:tcW w:w="2498" w:type="dxa"/>
            <w:shd w:val="clear" w:color="auto" w:fill="auto"/>
          </w:tcPr>
          <w:p w14:paraId="4D785F5D" w14:textId="77777777" w:rsidR="00002E56" w:rsidRPr="00002E56" w:rsidRDefault="00002E56" w:rsidP="008D3E62">
            <w:pPr>
              <w:spacing w:beforeLines="60" w:before="144" w:after="120"/>
              <w:ind w:left="0"/>
              <w:rPr>
                <w:rFonts w:cs="Arial"/>
                <w:color w:val="0000FF"/>
                <w:szCs w:val="21"/>
                <w:lang w:val="en-GB"/>
              </w:rPr>
            </w:pPr>
            <w:r w:rsidRPr="00002E56">
              <w:rPr>
                <w:rFonts w:cs="Arial"/>
                <w:color w:val="0000FF"/>
                <w:szCs w:val="21"/>
                <w:lang w:val="en-GB"/>
              </w:rPr>
              <w:t>What will people be asked to do?</w:t>
            </w:r>
          </w:p>
        </w:tc>
        <w:tc>
          <w:tcPr>
            <w:tcW w:w="7513" w:type="dxa"/>
            <w:shd w:val="clear" w:color="auto" w:fill="auto"/>
          </w:tcPr>
          <w:p w14:paraId="1DEF528C" w14:textId="77777777" w:rsidR="00002E56" w:rsidRPr="00002E56" w:rsidRDefault="00002E56" w:rsidP="008D3E62">
            <w:pPr>
              <w:spacing w:beforeLines="60" w:before="144" w:after="120"/>
              <w:ind w:left="6" w:right="-108"/>
              <w:rPr>
                <w:rFonts w:cs="Arial"/>
                <w:szCs w:val="21"/>
              </w:rPr>
            </w:pPr>
            <w:r w:rsidRPr="00002E56">
              <w:rPr>
                <w:rFonts w:cs="Arial"/>
                <w:szCs w:val="21"/>
              </w:rPr>
              <w:t xml:space="preserve">We want to talk with people who have taken part in the Bowel Screening Pilot. The interview will take </w:t>
            </w:r>
            <w:r w:rsidRPr="00002E56">
              <w:rPr>
                <w:rFonts w:cs="Arial"/>
                <w:b/>
                <w:color w:val="0000FF"/>
                <w:szCs w:val="21"/>
                <w:lang w:val="en-GB"/>
              </w:rPr>
              <w:t xml:space="preserve">about 60 minutes </w:t>
            </w:r>
            <w:r w:rsidRPr="00002E56">
              <w:rPr>
                <w:rFonts w:cs="Arial"/>
                <w:szCs w:val="21"/>
                <w:lang w:val="en-GB"/>
              </w:rPr>
              <w:t>and will be</w:t>
            </w:r>
            <w:r w:rsidR="00B92529">
              <w:rPr>
                <w:rFonts w:cs="Arial"/>
                <w:szCs w:val="21"/>
                <w:lang w:val="en-GB"/>
              </w:rPr>
              <w:t xml:space="preserve"> </w:t>
            </w:r>
            <w:r w:rsidRPr="00002E56">
              <w:rPr>
                <w:rFonts w:cs="Arial"/>
                <w:b/>
                <w:color w:val="0000FF"/>
                <w:szCs w:val="21"/>
                <w:lang w:val="en-GB"/>
              </w:rPr>
              <w:t>face-to-face</w:t>
            </w:r>
            <w:r w:rsidRPr="00002E56">
              <w:rPr>
                <w:rFonts w:cs="Arial"/>
                <w:szCs w:val="21"/>
              </w:rPr>
              <w:t>.</w:t>
            </w:r>
          </w:p>
        </w:tc>
      </w:tr>
      <w:tr w:rsidR="00002E56" w:rsidRPr="00002E56" w14:paraId="4828BEF0" w14:textId="77777777" w:rsidTr="00C64168">
        <w:tc>
          <w:tcPr>
            <w:tcW w:w="2498" w:type="dxa"/>
            <w:shd w:val="clear" w:color="auto" w:fill="auto"/>
          </w:tcPr>
          <w:p w14:paraId="556483DC" w14:textId="77777777" w:rsidR="00002E56" w:rsidRPr="00002E56" w:rsidRDefault="00002E56" w:rsidP="008D3E62">
            <w:pPr>
              <w:spacing w:beforeLines="60" w:before="144" w:after="120"/>
              <w:ind w:left="0"/>
              <w:rPr>
                <w:rFonts w:cs="Arial"/>
                <w:color w:val="0000FF"/>
                <w:szCs w:val="21"/>
                <w:lang w:val="en-GB"/>
              </w:rPr>
            </w:pPr>
            <w:r w:rsidRPr="00002E56">
              <w:rPr>
                <w:rFonts w:cs="Arial"/>
                <w:color w:val="0000FF"/>
                <w:szCs w:val="21"/>
                <w:lang w:val="en-GB"/>
              </w:rPr>
              <w:t>What types of questions will you ask?</w:t>
            </w:r>
          </w:p>
        </w:tc>
        <w:tc>
          <w:tcPr>
            <w:tcW w:w="7513" w:type="dxa"/>
            <w:shd w:val="clear" w:color="auto" w:fill="auto"/>
          </w:tcPr>
          <w:p w14:paraId="0C237AC0" w14:textId="77777777" w:rsidR="00002E56" w:rsidRPr="00002E56" w:rsidRDefault="00002E56" w:rsidP="008D3E62">
            <w:pPr>
              <w:spacing w:beforeLines="60" w:before="144"/>
              <w:ind w:left="23" w:right="-108" w:hanging="23"/>
              <w:rPr>
                <w:rFonts w:cs="Arial"/>
                <w:szCs w:val="21"/>
              </w:rPr>
            </w:pPr>
            <w:r w:rsidRPr="00002E56">
              <w:rPr>
                <w:rFonts w:cs="Arial"/>
                <w:szCs w:val="21"/>
              </w:rPr>
              <w:t xml:space="preserve">In the interview we want to hear about peoples’ </w:t>
            </w:r>
            <w:r w:rsidRPr="00002E56">
              <w:rPr>
                <w:rFonts w:cs="Arial"/>
                <w:b/>
                <w:color w:val="0000FF"/>
                <w:szCs w:val="21"/>
                <w:lang w:val="en-GB"/>
              </w:rPr>
              <w:t>experience of the Bowel Screening Pilot</w:t>
            </w:r>
            <w:r w:rsidRPr="00002E56">
              <w:rPr>
                <w:rFonts w:cs="Arial"/>
                <w:szCs w:val="21"/>
              </w:rPr>
              <w:t xml:space="preserve">, their views of the service they received, what worked well and what could have been done better. </w:t>
            </w:r>
          </w:p>
        </w:tc>
      </w:tr>
      <w:tr w:rsidR="00002E56" w:rsidRPr="00002E56" w14:paraId="39A9227B" w14:textId="77777777" w:rsidTr="00C64168">
        <w:tc>
          <w:tcPr>
            <w:tcW w:w="2498" w:type="dxa"/>
            <w:shd w:val="clear" w:color="auto" w:fill="auto"/>
          </w:tcPr>
          <w:p w14:paraId="5E31D6F3" w14:textId="77777777" w:rsidR="00002E56" w:rsidRPr="00002E56" w:rsidRDefault="00002E56" w:rsidP="008D3E62">
            <w:pPr>
              <w:spacing w:beforeLines="60" w:before="144"/>
              <w:ind w:left="0"/>
              <w:rPr>
                <w:rFonts w:cs="Arial"/>
                <w:color w:val="0000FF"/>
                <w:szCs w:val="21"/>
                <w:lang w:val="en-GB"/>
              </w:rPr>
            </w:pPr>
            <w:r w:rsidRPr="00002E56">
              <w:rPr>
                <w:rFonts w:cs="Arial"/>
                <w:color w:val="0000FF"/>
                <w:szCs w:val="21"/>
                <w:lang w:val="en-GB"/>
              </w:rPr>
              <w:t>Who will be asked to take part?</w:t>
            </w:r>
          </w:p>
        </w:tc>
        <w:tc>
          <w:tcPr>
            <w:tcW w:w="7513" w:type="dxa"/>
            <w:shd w:val="clear" w:color="auto" w:fill="auto"/>
          </w:tcPr>
          <w:p w14:paraId="39101958" w14:textId="77777777" w:rsidR="00002E56" w:rsidRPr="00002E56" w:rsidRDefault="00002E56" w:rsidP="008D3E62">
            <w:pPr>
              <w:spacing w:beforeLines="60" w:before="144"/>
              <w:ind w:left="6" w:right="-108"/>
              <w:rPr>
                <w:rFonts w:cs="Arial"/>
                <w:szCs w:val="21"/>
              </w:rPr>
            </w:pPr>
            <w:r w:rsidRPr="00002E56">
              <w:rPr>
                <w:rFonts w:cs="Arial"/>
                <w:szCs w:val="21"/>
              </w:rPr>
              <w:t xml:space="preserve">We want to speak with </w:t>
            </w:r>
            <w:r w:rsidRPr="00002E56">
              <w:rPr>
                <w:rFonts w:cs="Arial"/>
                <w:b/>
                <w:color w:val="0000FF"/>
                <w:szCs w:val="21"/>
                <w:lang w:val="en-GB"/>
              </w:rPr>
              <w:t>people who have taken part</w:t>
            </w:r>
            <w:r w:rsidRPr="00002E56">
              <w:rPr>
                <w:rFonts w:cs="Arial"/>
                <w:szCs w:val="21"/>
              </w:rPr>
              <w:t xml:space="preserve"> in the Bowel Screening Pilot. The Pilot is being trialled in </w:t>
            </w:r>
            <w:proofErr w:type="spellStart"/>
            <w:r w:rsidR="006A2C8B">
              <w:rPr>
                <w:rFonts w:cs="Arial"/>
                <w:szCs w:val="21"/>
              </w:rPr>
              <w:t>Waitematā</w:t>
            </w:r>
            <w:proofErr w:type="spellEnd"/>
            <w:r w:rsidR="00B92529">
              <w:rPr>
                <w:rFonts w:cs="Arial"/>
                <w:szCs w:val="21"/>
              </w:rPr>
              <w:t xml:space="preserve"> </w:t>
            </w:r>
            <w:r w:rsidRPr="00002E56">
              <w:rPr>
                <w:rFonts w:cs="Arial"/>
                <w:szCs w:val="21"/>
              </w:rPr>
              <w:t xml:space="preserve">DHB and includes people aged 50 to 74 years. </w:t>
            </w:r>
          </w:p>
        </w:tc>
      </w:tr>
      <w:tr w:rsidR="00002E56" w:rsidRPr="00002E56" w14:paraId="2CF4F7C7" w14:textId="77777777" w:rsidTr="00C64168">
        <w:tc>
          <w:tcPr>
            <w:tcW w:w="2498" w:type="dxa"/>
            <w:shd w:val="clear" w:color="auto" w:fill="auto"/>
          </w:tcPr>
          <w:p w14:paraId="289C9689" w14:textId="77777777" w:rsidR="00002E56" w:rsidRPr="00002E56" w:rsidRDefault="00002E56" w:rsidP="008D3E62">
            <w:pPr>
              <w:spacing w:beforeLines="60" w:before="144" w:after="120"/>
              <w:ind w:left="0"/>
              <w:rPr>
                <w:rFonts w:cs="Arial"/>
                <w:color w:val="0000FF"/>
                <w:szCs w:val="21"/>
                <w:lang w:val="en-GB"/>
              </w:rPr>
            </w:pPr>
            <w:r w:rsidRPr="00002E56">
              <w:rPr>
                <w:rFonts w:cs="Arial"/>
                <w:color w:val="0000FF"/>
                <w:szCs w:val="21"/>
                <w:lang w:val="en-GB"/>
              </w:rPr>
              <w:t>How will the evaluators ensure personal information is kept confidential?</w:t>
            </w:r>
          </w:p>
        </w:tc>
        <w:tc>
          <w:tcPr>
            <w:tcW w:w="7513" w:type="dxa"/>
            <w:shd w:val="clear" w:color="auto" w:fill="auto"/>
          </w:tcPr>
          <w:p w14:paraId="1A47D50C" w14:textId="77777777" w:rsidR="00002E56" w:rsidRPr="00002E56" w:rsidRDefault="00002E56" w:rsidP="008D3E62">
            <w:pPr>
              <w:spacing w:beforeLines="60" w:before="144"/>
              <w:ind w:left="0" w:right="-108"/>
              <w:rPr>
                <w:rFonts w:cs="Arial"/>
                <w:szCs w:val="21"/>
                <w:lang w:val="en-GB" w:eastAsia="en-US"/>
              </w:rPr>
            </w:pPr>
            <w:r w:rsidRPr="00002E56">
              <w:rPr>
                <w:rFonts w:cs="Arial"/>
                <w:szCs w:val="21"/>
                <w:lang w:val="en-GB" w:eastAsia="en-US"/>
              </w:rPr>
              <w:t xml:space="preserve">Litmus will ensure </w:t>
            </w:r>
            <w:r w:rsidRPr="00002E56">
              <w:rPr>
                <w:rFonts w:cs="Arial"/>
                <w:b/>
                <w:color w:val="0000FF"/>
                <w:szCs w:val="21"/>
                <w:lang w:val="en-GB"/>
              </w:rPr>
              <w:t>peoples’ contributions are kept confidential</w:t>
            </w:r>
            <w:r w:rsidRPr="00002E56">
              <w:rPr>
                <w:rFonts w:cs="Arial"/>
                <w:szCs w:val="21"/>
                <w:lang w:val="en-GB" w:eastAsia="en-US"/>
              </w:rPr>
              <w:t xml:space="preserve">. What people say in the interview will be written down, with their permission. Notes will be kept securely for up to 2 years, and then securely destroyed.  </w:t>
            </w:r>
          </w:p>
          <w:p w14:paraId="50C4E794" w14:textId="77777777" w:rsidR="00002E56" w:rsidRPr="00002E56" w:rsidRDefault="00002E56" w:rsidP="008D3E62">
            <w:pPr>
              <w:spacing w:beforeLines="60" w:before="144"/>
              <w:ind w:left="0" w:right="-108"/>
              <w:rPr>
                <w:rFonts w:cs="Arial"/>
                <w:szCs w:val="21"/>
                <w:lang w:val="en-GB" w:eastAsia="en-US"/>
              </w:rPr>
            </w:pPr>
            <w:r w:rsidRPr="00002E56">
              <w:rPr>
                <w:rFonts w:cs="Arial"/>
                <w:szCs w:val="21"/>
                <w:lang w:val="en-GB" w:eastAsia="en-US"/>
              </w:rPr>
              <w:t>Names and addresses and any other identifying information will not be used in any report.</w:t>
            </w:r>
          </w:p>
        </w:tc>
      </w:tr>
      <w:tr w:rsidR="00002E56" w:rsidRPr="00002E56" w14:paraId="31D1AE9F" w14:textId="77777777" w:rsidTr="00C64168">
        <w:tc>
          <w:tcPr>
            <w:tcW w:w="2498" w:type="dxa"/>
            <w:shd w:val="clear" w:color="auto" w:fill="auto"/>
          </w:tcPr>
          <w:p w14:paraId="4CD24D0E" w14:textId="77777777" w:rsidR="00002E56" w:rsidRPr="00002E56" w:rsidRDefault="00002E56" w:rsidP="008D3E62">
            <w:pPr>
              <w:spacing w:beforeLines="60" w:before="144" w:after="120"/>
              <w:ind w:left="0"/>
              <w:rPr>
                <w:rFonts w:cs="Arial"/>
                <w:color w:val="0000FF"/>
                <w:szCs w:val="21"/>
                <w:lang w:val="en-GB"/>
              </w:rPr>
            </w:pPr>
            <w:r w:rsidRPr="00002E56">
              <w:rPr>
                <w:rFonts w:cs="Arial"/>
                <w:color w:val="0000FF"/>
                <w:szCs w:val="21"/>
                <w:lang w:val="en-GB"/>
              </w:rPr>
              <w:t>Can people change their mind?</w:t>
            </w:r>
          </w:p>
        </w:tc>
        <w:tc>
          <w:tcPr>
            <w:tcW w:w="7513" w:type="dxa"/>
            <w:shd w:val="clear" w:color="auto" w:fill="auto"/>
          </w:tcPr>
          <w:p w14:paraId="3AE30208" w14:textId="77777777" w:rsidR="00002E56" w:rsidRPr="00002E56" w:rsidRDefault="00002E56" w:rsidP="008D3E62">
            <w:pPr>
              <w:spacing w:beforeLines="60" w:before="144" w:after="120"/>
              <w:ind w:left="6" w:right="-108"/>
              <w:rPr>
                <w:rFonts w:cs="Arial"/>
                <w:szCs w:val="21"/>
              </w:rPr>
            </w:pPr>
            <w:r w:rsidRPr="00002E56">
              <w:rPr>
                <w:rFonts w:cs="Arial"/>
                <w:b/>
                <w:color w:val="0000FF"/>
                <w:szCs w:val="21"/>
                <w:lang w:val="en-GB"/>
              </w:rPr>
              <w:t>People can stop the interview at any time</w:t>
            </w:r>
            <w:r w:rsidRPr="00002E56">
              <w:rPr>
                <w:rFonts w:cs="Arial"/>
                <w:szCs w:val="21"/>
              </w:rPr>
              <w:t xml:space="preserve">. They will not need to give a reason. People only need to answer the questions they want. </w:t>
            </w:r>
          </w:p>
        </w:tc>
      </w:tr>
      <w:tr w:rsidR="00002E56" w:rsidRPr="00002E56" w14:paraId="7C9F84D0" w14:textId="77777777" w:rsidTr="00C64168">
        <w:trPr>
          <w:trHeight w:val="70"/>
        </w:trPr>
        <w:tc>
          <w:tcPr>
            <w:tcW w:w="2498" w:type="dxa"/>
            <w:shd w:val="clear" w:color="auto" w:fill="auto"/>
          </w:tcPr>
          <w:p w14:paraId="5424C8B3" w14:textId="77777777" w:rsidR="00002E56" w:rsidRPr="00002E56" w:rsidRDefault="00002E56" w:rsidP="008D3E62">
            <w:pPr>
              <w:spacing w:beforeLines="60" w:before="144" w:after="120"/>
              <w:ind w:left="0"/>
              <w:rPr>
                <w:rFonts w:cs="Arial"/>
                <w:color w:val="0000FF"/>
                <w:szCs w:val="21"/>
                <w:lang w:val="en-GB"/>
              </w:rPr>
            </w:pPr>
            <w:r w:rsidRPr="00002E56">
              <w:rPr>
                <w:rFonts w:cs="Arial"/>
                <w:color w:val="0000FF"/>
                <w:szCs w:val="21"/>
                <w:lang w:val="en-GB"/>
              </w:rPr>
              <w:t>Who is doing the evaluation?</w:t>
            </w:r>
          </w:p>
        </w:tc>
        <w:tc>
          <w:tcPr>
            <w:tcW w:w="7513" w:type="dxa"/>
            <w:shd w:val="clear" w:color="auto" w:fill="auto"/>
          </w:tcPr>
          <w:p w14:paraId="22346B0C" w14:textId="77777777" w:rsidR="00002E56" w:rsidRPr="00002E56" w:rsidRDefault="00002E56" w:rsidP="008D3E62">
            <w:pPr>
              <w:spacing w:beforeLines="60" w:before="144" w:after="120"/>
              <w:ind w:left="6" w:right="-108"/>
              <w:rPr>
                <w:rFonts w:cs="Arial"/>
                <w:szCs w:val="21"/>
              </w:rPr>
            </w:pPr>
            <w:r w:rsidRPr="00002E56">
              <w:rPr>
                <w:rFonts w:cs="Arial"/>
                <w:szCs w:val="21"/>
              </w:rPr>
              <w:t xml:space="preserve">The evaluation is being done by Litmus, an independent research and evaluation company. For more information about Litmus go to </w:t>
            </w:r>
            <w:hyperlink r:id="rId21" w:history="1">
              <w:r w:rsidRPr="00002E56">
                <w:rPr>
                  <w:color w:val="0000FF"/>
                  <w:szCs w:val="21"/>
                  <w:u w:val="single"/>
                </w:rPr>
                <w:t>www.litmus.co.nz</w:t>
              </w:r>
            </w:hyperlink>
            <w:r w:rsidRPr="00002E56">
              <w:rPr>
                <w:rFonts w:cs="Arial"/>
                <w:szCs w:val="21"/>
              </w:rPr>
              <w:t xml:space="preserve">. </w:t>
            </w:r>
          </w:p>
          <w:p w14:paraId="4FFB740A" w14:textId="77777777" w:rsidR="00002E56" w:rsidRPr="00002E56" w:rsidRDefault="00002E56" w:rsidP="008D3E62">
            <w:pPr>
              <w:spacing w:beforeLines="60" w:before="144" w:after="120"/>
              <w:ind w:left="6" w:right="-108"/>
              <w:rPr>
                <w:rFonts w:cs="Arial"/>
                <w:szCs w:val="21"/>
              </w:rPr>
            </w:pPr>
            <w:r w:rsidRPr="00002E56">
              <w:rPr>
                <w:rFonts w:cs="Arial"/>
                <w:szCs w:val="21"/>
              </w:rPr>
              <w:t>This project has been reviewed and approved by the Ministry of Health’s Multi-Region Health and Disability Ethics Committee.</w:t>
            </w:r>
          </w:p>
        </w:tc>
      </w:tr>
      <w:tr w:rsidR="00002E56" w:rsidRPr="00002E56" w14:paraId="3942EAD6" w14:textId="77777777" w:rsidTr="00C64168">
        <w:tc>
          <w:tcPr>
            <w:tcW w:w="2498" w:type="dxa"/>
            <w:shd w:val="clear" w:color="auto" w:fill="auto"/>
          </w:tcPr>
          <w:p w14:paraId="0EB70FF5" w14:textId="77777777" w:rsidR="00002E56" w:rsidRPr="00002E56" w:rsidRDefault="00002E56" w:rsidP="008D3E62">
            <w:pPr>
              <w:spacing w:beforeLines="60" w:before="144" w:after="120"/>
              <w:ind w:left="0"/>
              <w:rPr>
                <w:rFonts w:cs="Arial"/>
                <w:color w:val="0000FF"/>
                <w:szCs w:val="21"/>
                <w:lang w:val="en-GB"/>
              </w:rPr>
            </w:pPr>
            <w:r w:rsidRPr="00002E56">
              <w:rPr>
                <w:rFonts w:cs="Arial"/>
                <w:color w:val="0000FF"/>
                <w:szCs w:val="21"/>
                <w:lang w:val="en-GB"/>
              </w:rPr>
              <w:t>What if I have any questions?</w:t>
            </w:r>
          </w:p>
        </w:tc>
        <w:tc>
          <w:tcPr>
            <w:tcW w:w="7513" w:type="dxa"/>
            <w:shd w:val="clear" w:color="auto" w:fill="auto"/>
          </w:tcPr>
          <w:p w14:paraId="1FEBEF2A" w14:textId="77777777" w:rsidR="00002E56" w:rsidRPr="00002E56" w:rsidRDefault="00002E56" w:rsidP="008D3E62">
            <w:pPr>
              <w:spacing w:beforeLines="60" w:before="144"/>
              <w:ind w:left="0" w:right="-108"/>
              <w:rPr>
                <w:rFonts w:cs="Arial"/>
                <w:szCs w:val="21"/>
              </w:rPr>
            </w:pPr>
            <w:r w:rsidRPr="00002E56">
              <w:rPr>
                <w:rFonts w:cs="Arial"/>
                <w:szCs w:val="21"/>
              </w:rPr>
              <w:t xml:space="preserve">If you have any questions about this project, please contact: </w:t>
            </w:r>
            <w:r w:rsidRPr="00002E56">
              <w:rPr>
                <w:rFonts w:cs="Arial"/>
                <w:b/>
                <w:color w:val="0000FF"/>
                <w:szCs w:val="21"/>
                <w:lang w:val="en-GB"/>
              </w:rPr>
              <w:t>Liz Smith</w:t>
            </w:r>
            <w:r w:rsidRPr="00002E56">
              <w:rPr>
                <w:rFonts w:cs="Arial"/>
                <w:szCs w:val="21"/>
              </w:rPr>
              <w:t xml:space="preserve">, Partner, Litmus, </w:t>
            </w:r>
            <w:proofErr w:type="spellStart"/>
            <w:r w:rsidRPr="00002E56">
              <w:rPr>
                <w:rFonts w:cs="Arial"/>
                <w:szCs w:val="21"/>
              </w:rPr>
              <w:t>ph</w:t>
            </w:r>
            <w:proofErr w:type="spellEnd"/>
            <w:r w:rsidRPr="00002E56">
              <w:rPr>
                <w:rFonts w:cs="Arial"/>
                <w:szCs w:val="21"/>
              </w:rPr>
              <w:t xml:space="preserve"> 04 473 3885, </w:t>
            </w:r>
            <w:r w:rsidRPr="00002E56">
              <w:rPr>
                <w:color w:val="0000FF"/>
                <w:szCs w:val="24"/>
                <w:u w:val="single"/>
              </w:rPr>
              <w:t>liz</w:t>
            </w:r>
            <w:hyperlink r:id="rId22" w:history="1">
              <w:r w:rsidRPr="00002E56">
                <w:rPr>
                  <w:rFonts w:cs="Arial"/>
                  <w:color w:val="0000FF"/>
                  <w:szCs w:val="21"/>
                  <w:u w:val="single"/>
                </w:rPr>
                <w:t>@litmus.co.nz</w:t>
              </w:r>
            </w:hyperlink>
          </w:p>
        </w:tc>
      </w:tr>
    </w:tbl>
    <w:p w14:paraId="5737DFA5" w14:textId="77777777" w:rsidR="00002E56" w:rsidRDefault="00002E56" w:rsidP="00002E56">
      <w:pPr>
        <w:spacing w:before="120" w:after="120"/>
        <w:ind w:left="0"/>
        <w:rPr>
          <w:rFonts w:cs="Arial"/>
          <w:sz w:val="24"/>
          <w:szCs w:val="24"/>
        </w:rPr>
      </w:pPr>
    </w:p>
    <w:p w14:paraId="158B96DC" w14:textId="77777777" w:rsidR="00002E56" w:rsidRDefault="00002E56">
      <w:pPr>
        <w:spacing w:before="0"/>
        <w:ind w:left="0"/>
        <w:rPr>
          <w:rFonts w:cs="Arial"/>
          <w:sz w:val="24"/>
          <w:szCs w:val="24"/>
        </w:rPr>
      </w:pPr>
      <w:r>
        <w:rPr>
          <w:rFonts w:cs="Arial"/>
          <w:sz w:val="24"/>
          <w:szCs w:val="24"/>
        </w:rPr>
        <w:br w:type="page"/>
      </w:r>
    </w:p>
    <w:p w14:paraId="27272833" w14:textId="77777777" w:rsidR="00002E56" w:rsidRDefault="00002E56" w:rsidP="00002E56">
      <w:pPr>
        <w:pStyle w:val="Heading3"/>
      </w:pPr>
      <w:r>
        <w:lastRenderedPageBreak/>
        <w:t>Consent F</w:t>
      </w:r>
      <w:r w:rsidRPr="005718FE">
        <w:t>orm</w:t>
      </w:r>
    </w:p>
    <w:p w14:paraId="243E01CC" w14:textId="77777777" w:rsidR="00002E56" w:rsidRPr="005718FE" w:rsidRDefault="00002E56" w:rsidP="00002E56">
      <w:pPr>
        <w:rPr>
          <w:rFonts w:cs="Arial"/>
        </w:rPr>
      </w:pPr>
      <w:r w:rsidRPr="005718FE">
        <w:rPr>
          <w:rFonts w:cs="Arial"/>
        </w:rPr>
        <w:t>I (</w:t>
      </w:r>
      <w:r>
        <w:rPr>
          <w:rFonts w:cs="Arial"/>
        </w:rPr>
        <w:t>write</w:t>
      </w:r>
      <w:r w:rsidRPr="005718FE">
        <w:rPr>
          <w:rFonts w:cs="Arial"/>
        </w:rPr>
        <w:t xml:space="preserve"> name) ………………………………………………………………………</w:t>
      </w:r>
      <w:r>
        <w:rPr>
          <w:rFonts w:cs="Arial"/>
        </w:rPr>
        <w:t>…………….</w:t>
      </w:r>
    </w:p>
    <w:p w14:paraId="79D7BDB5" w14:textId="77777777" w:rsidR="00002E56" w:rsidRDefault="00002E56" w:rsidP="00002E56">
      <w:pPr>
        <w:rPr>
          <w:rFonts w:cs="Arial"/>
        </w:rPr>
      </w:pPr>
      <w:r w:rsidRPr="005718FE">
        <w:rPr>
          <w:rFonts w:cs="Arial"/>
        </w:rPr>
        <w:t>of (</w:t>
      </w:r>
      <w:r>
        <w:rPr>
          <w:rFonts w:cs="Arial"/>
        </w:rPr>
        <w:t>write</w:t>
      </w:r>
      <w:r w:rsidRPr="005718FE">
        <w:rPr>
          <w:rFonts w:cs="Arial"/>
        </w:rPr>
        <w:t xml:space="preserve"> address) ……………..……………………………………………</w:t>
      </w:r>
      <w:r>
        <w:rPr>
          <w:rFonts w:cs="Arial"/>
        </w:rPr>
        <w:t>…………………….</w:t>
      </w:r>
    </w:p>
    <w:p w14:paraId="6495B759" w14:textId="77777777" w:rsidR="00002E56" w:rsidRPr="005718FE" w:rsidRDefault="00002E56" w:rsidP="00002E56">
      <w:pPr>
        <w:rPr>
          <w:rFonts w:cs="Arial"/>
        </w:rPr>
      </w:pPr>
      <w:r w:rsidRPr="005718FE">
        <w:rPr>
          <w:rFonts w:cs="Arial"/>
        </w:rPr>
        <w:t>agree to participate in this project</w:t>
      </w:r>
      <w:r>
        <w:rPr>
          <w:rFonts w:cs="Arial"/>
        </w:rPr>
        <w:t xml:space="preserve"> for the evaluation of the Bowel Screening Pilot</w:t>
      </w:r>
      <w:r w:rsidRPr="005718FE">
        <w:rPr>
          <w:rFonts w:cs="Arial"/>
        </w:rPr>
        <w:t>, as outlined in the information provided to me by Litmus</w:t>
      </w:r>
      <w:r>
        <w:rPr>
          <w:rFonts w:cs="Arial"/>
        </w:rPr>
        <w:t xml:space="preserve"> (the evaluation company)</w:t>
      </w:r>
      <w:r w:rsidRPr="005718FE">
        <w:rPr>
          <w:rFonts w:cs="Arial"/>
        </w:rPr>
        <w:t>. I understand that:</w:t>
      </w:r>
    </w:p>
    <w:p w14:paraId="5EA7AF11" w14:textId="77777777" w:rsidR="00002E56" w:rsidRDefault="00002E56" w:rsidP="00CC5733">
      <w:pPr>
        <w:numPr>
          <w:ilvl w:val="0"/>
          <w:numId w:val="9"/>
        </w:numPr>
        <w:tabs>
          <w:tab w:val="clear" w:pos="1287"/>
        </w:tabs>
        <w:spacing w:before="0" w:after="200" w:line="276" w:lineRule="auto"/>
        <w:ind w:left="567"/>
        <w:rPr>
          <w:rFonts w:cs="Arial"/>
        </w:rPr>
      </w:pPr>
      <w:r>
        <w:rPr>
          <w:rFonts w:cs="Arial"/>
        </w:rPr>
        <w:t xml:space="preserve">I do not have to take part in the interview. </w:t>
      </w:r>
    </w:p>
    <w:p w14:paraId="61F401EE" w14:textId="77777777" w:rsidR="00002E56" w:rsidRDefault="00002E56" w:rsidP="00CC5733">
      <w:pPr>
        <w:numPr>
          <w:ilvl w:val="0"/>
          <w:numId w:val="9"/>
        </w:numPr>
        <w:tabs>
          <w:tab w:val="clear" w:pos="1287"/>
        </w:tabs>
        <w:spacing w:before="0" w:after="200" w:line="276" w:lineRule="auto"/>
        <w:ind w:left="567"/>
        <w:rPr>
          <w:rFonts w:cs="Arial"/>
        </w:rPr>
      </w:pPr>
      <w:r>
        <w:rPr>
          <w:rFonts w:cs="Arial"/>
        </w:rPr>
        <w:t>I can choose not to answer any questions I do not wish to answer (without saying why).</w:t>
      </w:r>
    </w:p>
    <w:p w14:paraId="68FAF0BC" w14:textId="77777777" w:rsidR="00002E56" w:rsidRDefault="00002E56" w:rsidP="00CC5733">
      <w:pPr>
        <w:numPr>
          <w:ilvl w:val="0"/>
          <w:numId w:val="9"/>
        </w:numPr>
        <w:tabs>
          <w:tab w:val="clear" w:pos="1287"/>
        </w:tabs>
        <w:spacing w:before="0" w:after="200" w:line="276" w:lineRule="auto"/>
        <w:ind w:left="567"/>
        <w:rPr>
          <w:rFonts w:cs="Arial"/>
        </w:rPr>
      </w:pPr>
      <w:r>
        <w:rPr>
          <w:rFonts w:cs="Arial"/>
        </w:rPr>
        <w:t>I can stop the interview at any time without saying why I no longer want to take part.</w:t>
      </w:r>
    </w:p>
    <w:p w14:paraId="7DF23E00" w14:textId="77777777" w:rsidR="00002E56" w:rsidRDefault="00002E56" w:rsidP="00CC5733">
      <w:pPr>
        <w:numPr>
          <w:ilvl w:val="0"/>
          <w:numId w:val="9"/>
        </w:numPr>
        <w:tabs>
          <w:tab w:val="clear" w:pos="1287"/>
        </w:tabs>
        <w:spacing w:before="0" w:after="200" w:line="276" w:lineRule="auto"/>
        <w:ind w:left="567"/>
        <w:rPr>
          <w:rFonts w:cs="Arial"/>
        </w:rPr>
      </w:pPr>
      <w:r>
        <w:rPr>
          <w:rFonts w:cs="Arial"/>
        </w:rPr>
        <w:t xml:space="preserve">Litmus will keep my information confidential. That is, I will not be named in the final report. </w:t>
      </w:r>
    </w:p>
    <w:p w14:paraId="514180CF" w14:textId="77777777" w:rsidR="00002E56" w:rsidRPr="005718FE" w:rsidRDefault="00002E56" w:rsidP="00CC5733">
      <w:pPr>
        <w:numPr>
          <w:ilvl w:val="0"/>
          <w:numId w:val="9"/>
        </w:numPr>
        <w:tabs>
          <w:tab w:val="clear" w:pos="1287"/>
        </w:tabs>
        <w:spacing w:before="0" w:after="200" w:line="276" w:lineRule="auto"/>
        <w:ind w:left="567"/>
        <w:rPr>
          <w:rFonts w:cs="Arial"/>
        </w:rPr>
      </w:pPr>
      <w:r w:rsidRPr="005718FE">
        <w:rPr>
          <w:rFonts w:cs="Arial"/>
        </w:rPr>
        <w:t xml:space="preserve">Whether or not I participate will not affect any current or future </w:t>
      </w:r>
      <w:r>
        <w:rPr>
          <w:rFonts w:cs="Arial"/>
        </w:rPr>
        <w:t>health care I receive from</w:t>
      </w:r>
      <w:r w:rsidR="00B92529">
        <w:rPr>
          <w:rFonts w:cs="Arial"/>
        </w:rPr>
        <w:t xml:space="preserve"> </w:t>
      </w:r>
      <w:proofErr w:type="spellStart"/>
      <w:r w:rsidR="006A2C8B">
        <w:rPr>
          <w:rFonts w:cs="Arial"/>
        </w:rPr>
        <w:t>Waitematā</w:t>
      </w:r>
      <w:proofErr w:type="spellEnd"/>
      <w:r w:rsidR="00B92529">
        <w:rPr>
          <w:rFonts w:cs="Arial"/>
        </w:rPr>
        <w:t xml:space="preserve"> </w:t>
      </w:r>
      <w:r w:rsidRPr="005718FE">
        <w:rPr>
          <w:rFonts w:cs="Arial"/>
        </w:rPr>
        <w:t>DHB or my</w:t>
      </w:r>
      <w:r>
        <w:rPr>
          <w:rFonts w:cs="Arial"/>
          <w:lang w:val="en-US"/>
        </w:rPr>
        <w:t>doctor.</w:t>
      </w:r>
    </w:p>
    <w:p w14:paraId="58F753F3" w14:textId="77777777" w:rsidR="00002E56" w:rsidRPr="005718FE" w:rsidRDefault="00002E56" w:rsidP="00CC5733">
      <w:pPr>
        <w:numPr>
          <w:ilvl w:val="0"/>
          <w:numId w:val="9"/>
        </w:numPr>
        <w:tabs>
          <w:tab w:val="clear" w:pos="1287"/>
        </w:tabs>
        <w:spacing w:before="0" w:after="200" w:line="276" w:lineRule="auto"/>
        <w:ind w:left="567"/>
        <w:rPr>
          <w:rFonts w:cs="Arial"/>
        </w:rPr>
      </w:pPr>
      <w:r w:rsidRPr="005718FE">
        <w:rPr>
          <w:rFonts w:cs="Arial"/>
        </w:rPr>
        <w:t xml:space="preserve">The interview </w:t>
      </w:r>
      <w:r>
        <w:rPr>
          <w:rFonts w:cs="Arial"/>
        </w:rPr>
        <w:t xml:space="preserve">will be recorded </w:t>
      </w:r>
      <w:r w:rsidRPr="005718FE">
        <w:rPr>
          <w:rFonts w:cs="Arial"/>
        </w:rPr>
        <w:t xml:space="preserve">with my permission, and </w:t>
      </w:r>
      <w:r>
        <w:rPr>
          <w:rFonts w:cs="Arial"/>
        </w:rPr>
        <w:t>I can ask for the recording to be stopped at any time during the interview.</w:t>
      </w:r>
    </w:p>
    <w:p w14:paraId="235C6772" w14:textId="77777777" w:rsidR="00002E56" w:rsidRDefault="00002E56" w:rsidP="00CC5733">
      <w:pPr>
        <w:numPr>
          <w:ilvl w:val="0"/>
          <w:numId w:val="9"/>
        </w:numPr>
        <w:tabs>
          <w:tab w:val="clear" w:pos="1287"/>
        </w:tabs>
        <w:spacing w:before="0" w:after="200" w:line="276" w:lineRule="auto"/>
        <w:ind w:left="567"/>
        <w:rPr>
          <w:rFonts w:cs="Arial"/>
        </w:rPr>
      </w:pPr>
      <w:r>
        <w:rPr>
          <w:rFonts w:cs="Arial"/>
        </w:rPr>
        <w:t>After the interview, I can ask to have my information removed from the evaluation at any time before the report is written.</w:t>
      </w:r>
    </w:p>
    <w:p w14:paraId="2AF955E9" w14:textId="77777777" w:rsidR="00002E56" w:rsidRPr="005718FE" w:rsidRDefault="00002E56" w:rsidP="00CC5733">
      <w:pPr>
        <w:numPr>
          <w:ilvl w:val="0"/>
          <w:numId w:val="9"/>
        </w:numPr>
        <w:tabs>
          <w:tab w:val="clear" w:pos="1287"/>
        </w:tabs>
        <w:spacing w:before="0" w:after="200" w:line="276" w:lineRule="auto"/>
        <w:ind w:left="567"/>
        <w:rPr>
          <w:rFonts w:cs="Arial"/>
        </w:rPr>
      </w:pPr>
      <w:r>
        <w:rPr>
          <w:rFonts w:cs="Arial"/>
        </w:rPr>
        <w:t>R</w:t>
      </w:r>
      <w:r w:rsidRPr="005718FE">
        <w:rPr>
          <w:rFonts w:cs="Arial"/>
        </w:rPr>
        <w:t>ecordings, notes, and summaries will be stored securely at Litmus and will not identify me</w:t>
      </w:r>
      <w:r>
        <w:rPr>
          <w:rFonts w:cs="Arial"/>
        </w:rPr>
        <w:t xml:space="preserve"> by name. They will be kept for two years and then securely destroyed.</w:t>
      </w:r>
    </w:p>
    <w:p w14:paraId="3A6188C9" w14:textId="77777777" w:rsidR="00002E56" w:rsidRPr="005718FE" w:rsidRDefault="00002E56" w:rsidP="00002E56">
      <w:pPr>
        <w:rPr>
          <w:rFonts w:cs="Arial"/>
        </w:rPr>
      </w:pPr>
      <w:r w:rsidRPr="005718FE">
        <w:rPr>
          <w:rFonts w:cs="Arial"/>
        </w:rPr>
        <w:t xml:space="preserve">I have read the information sheet and this consent form, and </w:t>
      </w:r>
      <w:r>
        <w:rPr>
          <w:rFonts w:cs="Arial"/>
        </w:rPr>
        <w:t xml:space="preserve">have </w:t>
      </w:r>
      <w:r w:rsidRPr="005718FE">
        <w:rPr>
          <w:rFonts w:cs="Arial"/>
        </w:rPr>
        <w:t>been given the opportunity to ask questions</w:t>
      </w:r>
      <w:r>
        <w:rPr>
          <w:rFonts w:cs="Arial"/>
        </w:rPr>
        <w:t xml:space="preserve"> and have them answered</w:t>
      </w:r>
      <w:r w:rsidRPr="005718FE">
        <w:rPr>
          <w:rFonts w:cs="Arial"/>
        </w:rPr>
        <w:t xml:space="preserve">. I give my consent to participate in this evaluation. </w:t>
      </w:r>
    </w:p>
    <w:p w14:paraId="4AC96940" w14:textId="77777777" w:rsidR="00002E56" w:rsidRPr="005718FE" w:rsidRDefault="00002E56" w:rsidP="00002E56">
      <w:pPr>
        <w:rPr>
          <w:rFonts w:cs="Arial"/>
        </w:rPr>
      </w:pPr>
      <w:r w:rsidRPr="005718FE">
        <w:rPr>
          <w:rFonts w:cs="Arial"/>
        </w:rPr>
        <w:t xml:space="preserve">Participant’s signature:  __________________________ </w:t>
      </w:r>
    </w:p>
    <w:p w14:paraId="2BD79B1C" w14:textId="77777777" w:rsidR="00002E56" w:rsidRDefault="00002E56" w:rsidP="00002E56">
      <w:pPr>
        <w:rPr>
          <w:rFonts w:cs="Arial"/>
        </w:rPr>
      </w:pPr>
      <w:r>
        <w:rPr>
          <w:rFonts w:cs="Arial"/>
        </w:rPr>
        <w:t>Date:  _________________</w:t>
      </w:r>
    </w:p>
    <w:p w14:paraId="0966595E" w14:textId="77777777" w:rsidR="00002E56" w:rsidRPr="00002E56" w:rsidRDefault="00002E56" w:rsidP="00002E56">
      <w:pPr>
        <w:spacing w:before="120" w:after="120"/>
        <w:ind w:left="0"/>
        <w:rPr>
          <w:rFonts w:cs="Arial"/>
          <w:sz w:val="24"/>
          <w:szCs w:val="24"/>
        </w:rPr>
      </w:pPr>
    </w:p>
    <w:p w14:paraId="367F169C" w14:textId="77777777" w:rsidR="00002E56" w:rsidRDefault="00002E56">
      <w:pPr>
        <w:spacing w:before="0"/>
        <w:ind w:left="0"/>
      </w:pPr>
      <w:r>
        <w:br w:type="page"/>
      </w:r>
    </w:p>
    <w:p w14:paraId="44931FA2" w14:textId="77777777" w:rsidR="00002E56" w:rsidRPr="00002E56" w:rsidRDefault="00002E56" w:rsidP="00002E56">
      <w:pPr>
        <w:pStyle w:val="Heading3"/>
        <w:rPr>
          <w:rFonts w:eastAsiaTheme="minorHAnsi"/>
          <w:lang w:eastAsia="en-US"/>
        </w:rPr>
      </w:pPr>
      <w:r w:rsidRPr="00002E56">
        <w:rPr>
          <w:rFonts w:eastAsiaTheme="minorHAnsi"/>
          <w:lang w:eastAsia="en-US"/>
        </w:rPr>
        <w:lastRenderedPageBreak/>
        <w:t>BSP Participant Interview Guide</w:t>
      </w:r>
    </w:p>
    <w:p w14:paraId="5B317632" w14:textId="77777777" w:rsidR="00002E56" w:rsidRPr="00002E56" w:rsidRDefault="00002E56" w:rsidP="00002E56">
      <w:pPr>
        <w:spacing w:before="0" w:after="200" w:line="276" w:lineRule="auto"/>
        <w:ind w:left="0"/>
        <w:rPr>
          <w:rFonts w:eastAsiaTheme="minorHAnsi" w:cs="Arial"/>
          <w:i/>
          <w:lang w:val="en-AU" w:eastAsia="en-US"/>
        </w:rPr>
      </w:pPr>
      <w:r w:rsidRPr="00002E56">
        <w:rPr>
          <w:rFonts w:eastAsiaTheme="minorHAnsi" w:cs="Arial"/>
          <w:i/>
          <w:lang w:val="en-AU" w:eastAsia="en-US"/>
        </w:rPr>
        <w:t>This guide is indicative of the relevant subject matter to be covered. It is designed to allow freedom to explore any additional relevant topics that may arise during the interview discussion. The questions asked will be tailored to participants’ position on the Bowel Screening Programme pathway.</w:t>
      </w:r>
    </w:p>
    <w:p w14:paraId="13904F08" w14:textId="77777777" w:rsidR="00002E56" w:rsidRPr="00002E56" w:rsidRDefault="00002E56" w:rsidP="00CC5733">
      <w:pPr>
        <w:numPr>
          <w:ilvl w:val="0"/>
          <w:numId w:val="11"/>
        </w:numPr>
        <w:spacing w:before="0" w:after="200" w:line="276" w:lineRule="auto"/>
        <w:rPr>
          <w:rFonts w:eastAsiaTheme="minorHAnsi" w:cs="Arial"/>
          <w:b/>
          <w:lang w:eastAsia="en-US"/>
        </w:rPr>
      </w:pPr>
      <w:r w:rsidRPr="00002E56">
        <w:rPr>
          <w:rFonts w:eastAsiaTheme="minorHAnsi" w:cs="Arial"/>
          <w:b/>
          <w:lang w:eastAsia="en-US"/>
        </w:rPr>
        <w:t xml:space="preserve">Introduction </w:t>
      </w:r>
    </w:p>
    <w:p w14:paraId="2234AAD8" w14:textId="77777777" w:rsidR="00002E56" w:rsidRPr="00002E56" w:rsidRDefault="00002E56" w:rsidP="00CC5733">
      <w:pPr>
        <w:numPr>
          <w:ilvl w:val="0"/>
          <w:numId w:val="9"/>
        </w:numPr>
        <w:tabs>
          <w:tab w:val="clear" w:pos="1287"/>
          <w:tab w:val="num" w:pos="471"/>
          <w:tab w:val="num" w:pos="709"/>
        </w:tabs>
        <w:spacing w:before="0" w:after="120"/>
        <w:ind w:left="470" w:hanging="357"/>
        <w:rPr>
          <w:rFonts w:eastAsiaTheme="minorHAnsi" w:cs="Arial"/>
          <w:lang w:eastAsia="en-US"/>
        </w:rPr>
      </w:pPr>
      <w:r w:rsidRPr="00002E56">
        <w:rPr>
          <w:rFonts w:eastAsiaTheme="minorHAnsi" w:cs="Arial"/>
          <w:lang w:eastAsia="en-US"/>
        </w:rPr>
        <w:t>Introduce self/Litmus.</w:t>
      </w:r>
    </w:p>
    <w:p w14:paraId="598AD824" w14:textId="77777777" w:rsidR="00002E56" w:rsidRPr="00002E56" w:rsidRDefault="00002E56" w:rsidP="00CC5733">
      <w:pPr>
        <w:numPr>
          <w:ilvl w:val="0"/>
          <w:numId w:val="9"/>
        </w:numPr>
        <w:tabs>
          <w:tab w:val="clear" w:pos="1287"/>
          <w:tab w:val="num" w:pos="471"/>
          <w:tab w:val="num" w:pos="709"/>
        </w:tabs>
        <w:spacing w:before="0" w:after="120"/>
        <w:ind w:left="470" w:hanging="357"/>
        <w:rPr>
          <w:rFonts w:eastAsiaTheme="minorHAnsi" w:cs="Arial"/>
          <w:lang w:eastAsia="en-US"/>
        </w:rPr>
      </w:pPr>
      <w:r w:rsidRPr="00002E56">
        <w:rPr>
          <w:rFonts w:eastAsiaTheme="minorHAnsi" w:cs="Arial"/>
          <w:lang w:eastAsia="en-US"/>
        </w:rPr>
        <w:t>Evaluation purpose: To find out if organised bowel screening could be introduced to all of New Zealand in a way that is effective, safe and acceptable.</w:t>
      </w:r>
    </w:p>
    <w:p w14:paraId="3E92B558" w14:textId="77777777" w:rsidR="00002E56" w:rsidRPr="00002E56" w:rsidRDefault="00002E56" w:rsidP="00CC5733">
      <w:pPr>
        <w:numPr>
          <w:ilvl w:val="0"/>
          <w:numId w:val="9"/>
        </w:numPr>
        <w:tabs>
          <w:tab w:val="clear" w:pos="1287"/>
          <w:tab w:val="num" w:pos="471"/>
          <w:tab w:val="num" w:pos="709"/>
        </w:tabs>
        <w:spacing w:before="0" w:after="120"/>
        <w:ind w:left="470" w:hanging="357"/>
        <w:rPr>
          <w:rFonts w:eastAsiaTheme="minorHAnsi" w:cs="Arial"/>
          <w:lang w:eastAsia="en-US"/>
        </w:rPr>
      </w:pPr>
      <w:r w:rsidRPr="00002E56">
        <w:rPr>
          <w:rFonts w:eastAsiaTheme="minorHAnsi" w:cs="Arial"/>
          <w:lang w:eastAsia="en-US"/>
        </w:rPr>
        <w:t xml:space="preserve">Interview purpose: To understand participants’ experience going through the Bowel Screening Pilot. This will help the Ministry of Health and </w:t>
      </w:r>
      <w:proofErr w:type="spellStart"/>
      <w:r w:rsidR="006A2C8B">
        <w:rPr>
          <w:rFonts w:eastAsiaTheme="minorHAnsi" w:cs="Arial"/>
          <w:lang w:eastAsia="en-US"/>
        </w:rPr>
        <w:t>Waitematā</w:t>
      </w:r>
      <w:proofErr w:type="spellEnd"/>
      <w:r w:rsidR="00B92529">
        <w:rPr>
          <w:rFonts w:eastAsiaTheme="minorHAnsi" w:cs="Arial"/>
          <w:lang w:eastAsia="en-US"/>
        </w:rPr>
        <w:t xml:space="preserve"> </w:t>
      </w:r>
      <w:r w:rsidRPr="00002E56">
        <w:rPr>
          <w:rFonts w:eastAsiaTheme="minorHAnsi" w:cs="Arial"/>
          <w:lang w:eastAsia="en-US"/>
        </w:rPr>
        <w:t xml:space="preserve">DHB improve the Pilot. </w:t>
      </w:r>
    </w:p>
    <w:p w14:paraId="1D43C9C3" w14:textId="77777777" w:rsidR="00002E56" w:rsidRPr="00002E56" w:rsidRDefault="00002E56" w:rsidP="00CC5733">
      <w:pPr>
        <w:numPr>
          <w:ilvl w:val="0"/>
          <w:numId w:val="9"/>
        </w:numPr>
        <w:tabs>
          <w:tab w:val="clear" w:pos="1287"/>
          <w:tab w:val="num" w:pos="471"/>
          <w:tab w:val="num" w:pos="709"/>
        </w:tabs>
        <w:spacing w:before="0" w:after="120"/>
        <w:ind w:left="470" w:hanging="357"/>
        <w:rPr>
          <w:rFonts w:eastAsiaTheme="minorHAnsi" w:cs="Arial"/>
          <w:lang w:eastAsia="en-US"/>
        </w:rPr>
      </w:pPr>
      <w:r w:rsidRPr="00002E56">
        <w:rPr>
          <w:rFonts w:eastAsiaTheme="minorHAnsi" w:cs="Arial"/>
          <w:lang w:eastAsia="en-US"/>
        </w:rPr>
        <w:t>Informed consent/time.</w:t>
      </w:r>
    </w:p>
    <w:p w14:paraId="4C9FFAAE" w14:textId="77777777" w:rsidR="00002E56" w:rsidRPr="00002E56" w:rsidRDefault="00002E56" w:rsidP="00CC5733">
      <w:pPr>
        <w:numPr>
          <w:ilvl w:val="0"/>
          <w:numId w:val="11"/>
        </w:numPr>
        <w:spacing w:before="0" w:after="200" w:line="276" w:lineRule="auto"/>
        <w:rPr>
          <w:rFonts w:eastAsiaTheme="minorHAnsi" w:cs="Arial"/>
          <w:b/>
          <w:lang w:eastAsia="en-US"/>
        </w:rPr>
      </w:pPr>
      <w:r w:rsidRPr="00002E56">
        <w:rPr>
          <w:rFonts w:eastAsiaTheme="minorHAnsi" w:cs="Arial"/>
          <w:b/>
          <w:lang w:eastAsia="en-US"/>
        </w:rPr>
        <w:t xml:space="preserve">Participant journey </w:t>
      </w:r>
    </w:p>
    <w:p w14:paraId="3060D1EF" w14:textId="77777777" w:rsidR="00002E56" w:rsidRPr="00002E56" w:rsidRDefault="00002E56" w:rsidP="00002E56">
      <w:pPr>
        <w:spacing w:before="0" w:after="200" w:line="276" w:lineRule="auto"/>
        <w:ind w:left="0"/>
        <w:rPr>
          <w:rFonts w:eastAsiaTheme="minorHAnsi" w:cs="Arial"/>
          <w:u w:val="single"/>
          <w:lang w:eastAsia="en-US"/>
        </w:rPr>
      </w:pPr>
      <w:r w:rsidRPr="00002E56">
        <w:rPr>
          <w:rFonts w:eastAsiaTheme="minorHAnsi" w:cs="Arial"/>
          <w:u w:val="single"/>
          <w:lang w:eastAsia="en-US"/>
        </w:rPr>
        <w:t>Awareness of BSP</w:t>
      </w:r>
    </w:p>
    <w:p w14:paraId="0D6286CF" w14:textId="77777777" w:rsidR="00002E56" w:rsidRPr="00002E56" w:rsidRDefault="00002E56" w:rsidP="00002E56">
      <w:pPr>
        <w:spacing w:before="0" w:after="200" w:line="276" w:lineRule="auto"/>
        <w:ind w:left="0"/>
        <w:rPr>
          <w:rFonts w:eastAsiaTheme="minorHAnsi" w:cs="Arial"/>
          <w:lang w:eastAsia="en-US"/>
        </w:rPr>
      </w:pPr>
      <w:r w:rsidRPr="00002E56">
        <w:rPr>
          <w:rFonts w:eastAsiaTheme="minorHAnsi" w:cs="Arial"/>
          <w:lang w:eastAsia="en-US"/>
        </w:rPr>
        <w:t>How did you find out about the Bowel Screening Pilot?</w:t>
      </w:r>
    </w:p>
    <w:p w14:paraId="17DA6388" w14:textId="77777777" w:rsidR="00002E56" w:rsidRPr="00002E56" w:rsidRDefault="00002E56" w:rsidP="00CC5733">
      <w:pPr>
        <w:numPr>
          <w:ilvl w:val="0"/>
          <w:numId w:val="9"/>
        </w:numPr>
        <w:tabs>
          <w:tab w:val="clear" w:pos="1287"/>
          <w:tab w:val="num" w:pos="471"/>
          <w:tab w:val="num" w:pos="709"/>
        </w:tabs>
        <w:spacing w:before="0" w:after="120"/>
        <w:ind w:left="470" w:hanging="357"/>
        <w:rPr>
          <w:rFonts w:eastAsiaTheme="minorHAnsi" w:cs="Arial"/>
          <w:lang w:eastAsia="en-US"/>
        </w:rPr>
      </w:pPr>
      <w:r w:rsidRPr="00002E56">
        <w:rPr>
          <w:rFonts w:eastAsiaTheme="minorHAnsi" w:cs="Arial"/>
          <w:lang w:eastAsia="en-US"/>
        </w:rPr>
        <w:t xml:space="preserve">Where from? Where else? </w:t>
      </w:r>
      <w:proofErr w:type="spellStart"/>
      <w:r w:rsidRPr="00002E56">
        <w:rPr>
          <w:rFonts w:eastAsiaTheme="minorHAnsi" w:cs="Arial"/>
          <w:lang w:eastAsia="en-US"/>
        </w:rPr>
        <w:t>etc</w:t>
      </w:r>
      <w:proofErr w:type="spellEnd"/>
    </w:p>
    <w:p w14:paraId="302911F4" w14:textId="77777777" w:rsidR="00002E56" w:rsidRPr="00002E56" w:rsidRDefault="00002E56" w:rsidP="00CC5733">
      <w:pPr>
        <w:numPr>
          <w:ilvl w:val="0"/>
          <w:numId w:val="9"/>
        </w:numPr>
        <w:tabs>
          <w:tab w:val="clear" w:pos="1287"/>
          <w:tab w:val="num" w:pos="471"/>
          <w:tab w:val="num" w:pos="709"/>
        </w:tabs>
        <w:spacing w:before="0" w:after="120"/>
        <w:ind w:left="470" w:hanging="357"/>
        <w:rPr>
          <w:rFonts w:eastAsiaTheme="minorHAnsi" w:cs="Arial"/>
          <w:lang w:eastAsia="en-US"/>
        </w:rPr>
      </w:pPr>
      <w:r w:rsidRPr="00002E56">
        <w:rPr>
          <w:rFonts w:eastAsiaTheme="minorHAnsi" w:cs="Arial"/>
          <w:lang w:eastAsia="en-US"/>
        </w:rPr>
        <w:t xml:space="preserve">What did you hear? </w:t>
      </w:r>
    </w:p>
    <w:p w14:paraId="32A2844D" w14:textId="77777777" w:rsidR="00002E56" w:rsidRPr="00002E56" w:rsidRDefault="00002E56" w:rsidP="00CC5733">
      <w:pPr>
        <w:numPr>
          <w:ilvl w:val="0"/>
          <w:numId w:val="9"/>
        </w:numPr>
        <w:tabs>
          <w:tab w:val="clear" w:pos="1287"/>
          <w:tab w:val="num" w:pos="471"/>
          <w:tab w:val="num" w:pos="709"/>
        </w:tabs>
        <w:spacing w:before="0" w:after="120"/>
        <w:ind w:left="470" w:hanging="357"/>
        <w:rPr>
          <w:rFonts w:eastAsiaTheme="minorHAnsi" w:cs="Arial"/>
          <w:lang w:eastAsia="en-US"/>
        </w:rPr>
      </w:pPr>
      <w:r w:rsidRPr="00002E56">
        <w:rPr>
          <w:rFonts w:eastAsiaTheme="minorHAnsi" w:cs="Arial"/>
          <w:lang w:eastAsia="en-US"/>
        </w:rPr>
        <w:t>How useful was the information?</w:t>
      </w:r>
    </w:p>
    <w:p w14:paraId="1FBA3C77" w14:textId="77777777" w:rsidR="00002E56" w:rsidRPr="00002E56" w:rsidRDefault="00002E56" w:rsidP="00002E56">
      <w:pPr>
        <w:spacing w:before="0" w:after="200" w:line="276" w:lineRule="auto"/>
        <w:ind w:left="0"/>
        <w:rPr>
          <w:rFonts w:eastAsiaTheme="minorHAnsi" w:cs="Arial"/>
          <w:i/>
          <w:lang w:eastAsia="en-US"/>
        </w:rPr>
      </w:pPr>
      <w:r w:rsidRPr="00002E56">
        <w:rPr>
          <w:rFonts w:eastAsiaTheme="minorHAnsi" w:cs="Arial"/>
          <w:i/>
          <w:lang w:eastAsia="en-US"/>
        </w:rPr>
        <w:t>[Explore role of CAR]</w:t>
      </w:r>
    </w:p>
    <w:p w14:paraId="46AE6770" w14:textId="77777777" w:rsidR="00002E56" w:rsidRPr="00002E56" w:rsidRDefault="00002E56" w:rsidP="00002E56">
      <w:pPr>
        <w:spacing w:before="0" w:after="200" w:line="276" w:lineRule="auto"/>
        <w:ind w:left="0"/>
        <w:rPr>
          <w:rFonts w:eastAsiaTheme="minorHAnsi" w:cs="Arial"/>
          <w:lang w:eastAsia="en-US"/>
        </w:rPr>
      </w:pPr>
      <w:r w:rsidRPr="00002E56">
        <w:rPr>
          <w:rFonts w:eastAsiaTheme="minorHAnsi" w:cs="Arial"/>
          <w:lang w:eastAsia="en-US"/>
        </w:rPr>
        <w:t xml:space="preserve">Please share with me what happened with the Bowel Screening Pilot after you were first sent a letter explaining that you were eligible to take part. </w:t>
      </w:r>
    </w:p>
    <w:p w14:paraId="2BC31519" w14:textId="77777777" w:rsidR="00002E56" w:rsidRPr="00002E56" w:rsidRDefault="00002E56" w:rsidP="00002E56">
      <w:pPr>
        <w:spacing w:before="0" w:after="200" w:line="276" w:lineRule="auto"/>
        <w:ind w:left="0"/>
        <w:rPr>
          <w:rFonts w:eastAsiaTheme="minorHAnsi" w:cs="Arial"/>
          <w:lang w:eastAsia="en-US"/>
        </w:rPr>
      </w:pPr>
      <w:r w:rsidRPr="00002E56">
        <w:rPr>
          <w:rFonts w:eastAsiaTheme="minorHAnsi" w:cs="Arial"/>
          <w:lang w:eastAsia="en-US"/>
        </w:rPr>
        <w:t xml:space="preserve">Using these post-it notes, pens and sheet of paper, we will draw a visual map of the path that you took on the Pilot. </w:t>
      </w:r>
    </w:p>
    <w:p w14:paraId="760D18A6" w14:textId="77777777" w:rsidR="00002E56" w:rsidRPr="00002E56" w:rsidRDefault="00002E56" w:rsidP="00002E56">
      <w:pPr>
        <w:spacing w:before="0" w:after="200" w:line="276" w:lineRule="auto"/>
        <w:ind w:left="0"/>
        <w:rPr>
          <w:rFonts w:eastAsiaTheme="minorHAnsi" w:cs="Arial"/>
          <w:lang w:eastAsia="en-US"/>
        </w:rPr>
      </w:pPr>
      <w:r w:rsidRPr="00002E56">
        <w:rPr>
          <w:rFonts w:eastAsiaTheme="minorHAnsi" w:cs="Arial"/>
          <w:lang w:eastAsia="en-US"/>
        </w:rPr>
        <w:t>There are only right answers, and it doesn’t matter if you don’t remember everything. Let’s begin at the time you received the first letter and I will guide you through the exercise.</w:t>
      </w:r>
    </w:p>
    <w:p w14:paraId="6F779DD3" w14:textId="77777777" w:rsidR="00002E56" w:rsidRPr="00002E56" w:rsidRDefault="00002E56" w:rsidP="00002E56">
      <w:pPr>
        <w:spacing w:before="0" w:after="200" w:line="276" w:lineRule="auto"/>
        <w:ind w:left="0"/>
        <w:rPr>
          <w:rFonts w:eastAsiaTheme="minorHAnsi" w:cs="Arial"/>
          <w:u w:val="single"/>
          <w:lang w:eastAsia="en-US"/>
        </w:rPr>
      </w:pPr>
      <w:r w:rsidRPr="00002E56">
        <w:rPr>
          <w:rFonts w:eastAsiaTheme="minorHAnsi" w:cs="Arial"/>
          <w:u w:val="single"/>
          <w:lang w:eastAsia="en-US"/>
        </w:rPr>
        <w:t xml:space="preserve">Pre-invitation </w:t>
      </w:r>
    </w:p>
    <w:p w14:paraId="5AEE9BDD" w14:textId="77777777" w:rsidR="00002E56" w:rsidRPr="00002E56" w:rsidRDefault="00002E56" w:rsidP="00CC5733">
      <w:pPr>
        <w:numPr>
          <w:ilvl w:val="0"/>
          <w:numId w:val="9"/>
        </w:numPr>
        <w:tabs>
          <w:tab w:val="clear" w:pos="1287"/>
          <w:tab w:val="num" w:pos="471"/>
          <w:tab w:val="num" w:pos="709"/>
        </w:tabs>
        <w:spacing w:before="0" w:after="120"/>
        <w:ind w:left="470" w:hanging="357"/>
        <w:rPr>
          <w:rFonts w:eastAsiaTheme="minorHAnsi" w:cs="Arial"/>
          <w:lang w:eastAsia="en-US"/>
        </w:rPr>
      </w:pPr>
      <w:r w:rsidRPr="00002E56">
        <w:rPr>
          <w:rFonts w:eastAsiaTheme="minorHAnsi" w:cs="Arial"/>
          <w:lang w:eastAsia="en-US"/>
        </w:rPr>
        <w:t xml:space="preserve">How did you feel when you received this letter? </w:t>
      </w:r>
    </w:p>
    <w:p w14:paraId="0EDE6300" w14:textId="77777777" w:rsidR="00002E56" w:rsidRPr="00002E56" w:rsidRDefault="00002E56" w:rsidP="00CC5733">
      <w:pPr>
        <w:numPr>
          <w:ilvl w:val="0"/>
          <w:numId w:val="9"/>
        </w:numPr>
        <w:tabs>
          <w:tab w:val="clear" w:pos="1287"/>
          <w:tab w:val="num" w:pos="471"/>
          <w:tab w:val="num" w:pos="709"/>
        </w:tabs>
        <w:spacing w:before="0" w:after="120"/>
        <w:ind w:left="470" w:hanging="357"/>
        <w:rPr>
          <w:rFonts w:eastAsiaTheme="minorHAnsi" w:cs="Arial"/>
          <w:lang w:eastAsia="en-US"/>
        </w:rPr>
      </w:pPr>
      <w:r w:rsidRPr="00002E56">
        <w:rPr>
          <w:rFonts w:eastAsiaTheme="minorHAnsi" w:cs="Arial"/>
          <w:lang w:eastAsia="en-US"/>
        </w:rPr>
        <w:t>What did you do?  Who did you talk to?</w:t>
      </w:r>
    </w:p>
    <w:p w14:paraId="0488B831" w14:textId="77777777" w:rsidR="00002E56" w:rsidRPr="00002E56" w:rsidRDefault="00002E56" w:rsidP="00CC5733">
      <w:pPr>
        <w:numPr>
          <w:ilvl w:val="0"/>
          <w:numId w:val="9"/>
        </w:numPr>
        <w:tabs>
          <w:tab w:val="clear" w:pos="1287"/>
          <w:tab w:val="num" w:pos="471"/>
          <w:tab w:val="num" w:pos="709"/>
        </w:tabs>
        <w:spacing w:before="0" w:after="120"/>
        <w:ind w:left="470" w:hanging="357"/>
        <w:rPr>
          <w:rFonts w:eastAsiaTheme="minorHAnsi" w:cs="Arial"/>
          <w:lang w:eastAsia="en-US"/>
        </w:rPr>
      </w:pPr>
      <w:r w:rsidRPr="00002E56">
        <w:rPr>
          <w:rFonts w:eastAsiaTheme="minorHAnsi" w:cs="Arial"/>
          <w:lang w:eastAsia="en-US"/>
        </w:rPr>
        <w:t>How easy was the information to understand?</w:t>
      </w:r>
    </w:p>
    <w:p w14:paraId="0C0EE454" w14:textId="77777777" w:rsidR="00002E56" w:rsidRPr="00002E56" w:rsidRDefault="00002E56" w:rsidP="00002E56">
      <w:pPr>
        <w:spacing w:before="0" w:after="200" w:line="276" w:lineRule="auto"/>
        <w:ind w:left="0"/>
        <w:rPr>
          <w:rFonts w:eastAsiaTheme="minorHAnsi" w:cs="Arial"/>
          <w:u w:val="single"/>
          <w:lang w:eastAsia="en-US"/>
        </w:rPr>
      </w:pPr>
      <w:r w:rsidRPr="00002E56">
        <w:rPr>
          <w:rFonts w:eastAsiaTheme="minorHAnsi" w:cs="Arial"/>
          <w:u w:val="single"/>
          <w:lang w:eastAsia="en-US"/>
        </w:rPr>
        <w:t xml:space="preserve">Receiving, using and returning the kit </w:t>
      </w:r>
    </w:p>
    <w:p w14:paraId="325A2AA8" w14:textId="77777777" w:rsidR="00002E56" w:rsidRPr="00002E56" w:rsidRDefault="00002E56" w:rsidP="00CC5733">
      <w:pPr>
        <w:numPr>
          <w:ilvl w:val="0"/>
          <w:numId w:val="9"/>
        </w:numPr>
        <w:tabs>
          <w:tab w:val="clear" w:pos="1287"/>
          <w:tab w:val="num" w:pos="471"/>
          <w:tab w:val="num" w:pos="709"/>
        </w:tabs>
        <w:spacing w:before="0" w:after="120"/>
        <w:ind w:left="470" w:hanging="357"/>
        <w:rPr>
          <w:rFonts w:eastAsiaTheme="minorHAnsi" w:cs="Arial"/>
          <w:lang w:eastAsia="en-US"/>
        </w:rPr>
      </w:pPr>
      <w:r w:rsidRPr="00002E56">
        <w:rPr>
          <w:rFonts w:eastAsiaTheme="minorHAnsi" w:cs="Arial"/>
          <w:lang w:eastAsia="en-US"/>
        </w:rPr>
        <w:t xml:space="preserve">How did you feel when you received this letter? </w:t>
      </w:r>
    </w:p>
    <w:p w14:paraId="48233517" w14:textId="77777777" w:rsidR="00002E56" w:rsidRPr="00002E56" w:rsidRDefault="00002E56" w:rsidP="00CC5733">
      <w:pPr>
        <w:numPr>
          <w:ilvl w:val="0"/>
          <w:numId w:val="9"/>
        </w:numPr>
        <w:tabs>
          <w:tab w:val="clear" w:pos="1287"/>
          <w:tab w:val="num" w:pos="471"/>
          <w:tab w:val="num" w:pos="709"/>
        </w:tabs>
        <w:spacing w:before="0" w:after="120"/>
        <w:ind w:left="470" w:hanging="357"/>
        <w:rPr>
          <w:rFonts w:eastAsiaTheme="minorHAnsi" w:cs="Arial"/>
          <w:lang w:eastAsia="en-US"/>
        </w:rPr>
      </w:pPr>
      <w:r w:rsidRPr="00002E56">
        <w:rPr>
          <w:rFonts w:eastAsiaTheme="minorHAnsi" w:cs="Arial"/>
          <w:lang w:eastAsia="en-US"/>
        </w:rPr>
        <w:t>What did you do?  Who did you talk to?</w:t>
      </w:r>
    </w:p>
    <w:p w14:paraId="09B886D4" w14:textId="77777777" w:rsidR="00002E56" w:rsidRPr="00002E56" w:rsidRDefault="00002E56" w:rsidP="00CC5733">
      <w:pPr>
        <w:numPr>
          <w:ilvl w:val="0"/>
          <w:numId w:val="9"/>
        </w:numPr>
        <w:tabs>
          <w:tab w:val="clear" w:pos="1287"/>
          <w:tab w:val="num" w:pos="471"/>
          <w:tab w:val="num" w:pos="709"/>
        </w:tabs>
        <w:spacing w:before="0" w:after="120"/>
        <w:ind w:left="470" w:hanging="357"/>
        <w:rPr>
          <w:rFonts w:eastAsiaTheme="minorHAnsi" w:cs="Arial"/>
          <w:lang w:eastAsia="en-US"/>
        </w:rPr>
      </w:pPr>
      <w:r w:rsidRPr="00002E56">
        <w:rPr>
          <w:rFonts w:eastAsiaTheme="minorHAnsi" w:cs="Arial"/>
          <w:lang w:eastAsia="en-US"/>
        </w:rPr>
        <w:t>How easy was the kit to understand?</w:t>
      </w:r>
    </w:p>
    <w:p w14:paraId="071933D5" w14:textId="77777777" w:rsidR="00002E56" w:rsidRPr="00002E56" w:rsidRDefault="00002E56" w:rsidP="00CC5733">
      <w:pPr>
        <w:numPr>
          <w:ilvl w:val="0"/>
          <w:numId w:val="9"/>
        </w:numPr>
        <w:tabs>
          <w:tab w:val="clear" w:pos="1287"/>
          <w:tab w:val="num" w:pos="471"/>
          <w:tab w:val="num" w:pos="709"/>
        </w:tabs>
        <w:spacing w:before="0" w:after="120"/>
        <w:ind w:left="470" w:hanging="357"/>
        <w:rPr>
          <w:rFonts w:eastAsiaTheme="minorHAnsi" w:cs="Arial"/>
          <w:lang w:eastAsia="en-US"/>
        </w:rPr>
      </w:pPr>
      <w:r w:rsidRPr="00002E56">
        <w:rPr>
          <w:rFonts w:eastAsiaTheme="minorHAnsi" w:cs="Arial"/>
          <w:lang w:eastAsia="en-US"/>
        </w:rPr>
        <w:t xml:space="preserve">For what reasons did you decide to complete the kit? </w:t>
      </w:r>
    </w:p>
    <w:p w14:paraId="6CE62A6C" w14:textId="77777777" w:rsidR="00002E56" w:rsidRPr="00002E56" w:rsidRDefault="00002E56" w:rsidP="00CC5733">
      <w:pPr>
        <w:numPr>
          <w:ilvl w:val="1"/>
          <w:numId w:val="13"/>
        </w:numPr>
        <w:spacing w:before="0" w:after="120"/>
        <w:ind w:left="1190" w:hanging="357"/>
        <w:rPr>
          <w:rFonts w:eastAsiaTheme="minorHAnsi" w:cs="Arial"/>
          <w:lang w:eastAsia="en-US"/>
        </w:rPr>
      </w:pPr>
      <w:r w:rsidRPr="00002E56">
        <w:rPr>
          <w:rFonts w:eastAsiaTheme="minorHAnsi" w:cs="Arial"/>
          <w:lang w:eastAsia="en-US"/>
        </w:rPr>
        <w:lastRenderedPageBreak/>
        <w:t>When did you decide this?</w:t>
      </w:r>
    </w:p>
    <w:p w14:paraId="54F66C57" w14:textId="77777777" w:rsidR="00002E56" w:rsidRPr="00002E56" w:rsidRDefault="00002E56" w:rsidP="00CC5733">
      <w:pPr>
        <w:numPr>
          <w:ilvl w:val="1"/>
          <w:numId w:val="13"/>
        </w:numPr>
        <w:spacing w:before="0" w:after="120"/>
        <w:ind w:left="1190" w:hanging="357"/>
        <w:rPr>
          <w:rFonts w:eastAsiaTheme="minorHAnsi" w:cs="Arial"/>
          <w:lang w:eastAsia="en-US"/>
        </w:rPr>
      </w:pPr>
      <w:r w:rsidRPr="00002E56">
        <w:rPr>
          <w:rFonts w:eastAsiaTheme="minorHAnsi" w:cs="Arial"/>
          <w:lang w:eastAsia="en-US"/>
        </w:rPr>
        <w:t>Who did you talk to about whether or not to do the test?</w:t>
      </w:r>
    </w:p>
    <w:p w14:paraId="0CA7303B" w14:textId="77777777" w:rsidR="00002E56" w:rsidRPr="00002E56" w:rsidRDefault="00002E56" w:rsidP="00CC5733">
      <w:pPr>
        <w:numPr>
          <w:ilvl w:val="1"/>
          <w:numId w:val="13"/>
        </w:numPr>
        <w:spacing w:before="0" w:after="120"/>
        <w:ind w:left="1190" w:hanging="357"/>
        <w:rPr>
          <w:rFonts w:eastAsiaTheme="minorHAnsi" w:cs="Arial"/>
          <w:lang w:eastAsia="en-US"/>
        </w:rPr>
      </w:pPr>
      <w:r w:rsidRPr="00002E56">
        <w:rPr>
          <w:rFonts w:eastAsiaTheme="minorHAnsi" w:cs="Arial"/>
          <w:lang w:eastAsia="en-US"/>
        </w:rPr>
        <w:t>What was the main reason?</w:t>
      </w:r>
    </w:p>
    <w:p w14:paraId="04F20D1F" w14:textId="77777777" w:rsidR="00002E56" w:rsidRPr="00002E56" w:rsidRDefault="00002E56" w:rsidP="00CC5733">
      <w:pPr>
        <w:numPr>
          <w:ilvl w:val="1"/>
          <w:numId w:val="13"/>
        </w:numPr>
        <w:spacing w:before="0" w:after="120"/>
        <w:ind w:left="1190" w:hanging="357"/>
        <w:rPr>
          <w:rFonts w:eastAsiaTheme="minorHAnsi" w:cs="Arial"/>
          <w:lang w:eastAsia="en-US"/>
        </w:rPr>
      </w:pPr>
      <w:r w:rsidRPr="00002E56">
        <w:rPr>
          <w:rFonts w:eastAsiaTheme="minorHAnsi" w:cs="Arial"/>
          <w:lang w:eastAsia="en-US"/>
        </w:rPr>
        <w:t>What if anything put you off the idea of completing the test?</w:t>
      </w:r>
    </w:p>
    <w:p w14:paraId="54EE0EE4" w14:textId="77777777" w:rsidR="00002E56" w:rsidRPr="00002E56" w:rsidRDefault="00002E56" w:rsidP="00CC5733">
      <w:pPr>
        <w:numPr>
          <w:ilvl w:val="0"/>
          <w:numId w:val="9"/>
        </w:numPr>
        <w:tabs>
          <w:tab w:val="clear" w:pos="1287"/>
          <w:tab w:val="num" w:pos="471"/>
          <w:tab w:val="num" w:pos="709"/>
        </w:tabs>
        <w:spacing w:before="0" w:after="120"/>
        <w:ind w:left="470" w:hanging="357"/>
        <w:rPr>
          <w:rFonts w:eastAsiaTheme="minorHAnsi" w:cs="Arial"/>
          <w:lang w:eastAsia="en-US"/>
        </w:rPr>
      </w:pPr>
      <w:r w:rsidRPr="00002E56">
        <w:rPr>
          <w:rFonts w:eastAsiaTheme="minorHAnsi" w:cs="Arial"/>
          <w:lang w:eastAsia="en-US"/>
        </w:rPr>
        <w:t>How easy was it to complete? How did it make you feel completing the kit?</w:t>
      </w:r>
    </w:p>
    <w:p w14:paraId="4BBE163F" w14:textId="77777777" w:rsidR="00002E56" w:rsidRPr="00002E56" w:rsidRDefault="00002E56" w:rsidP="00CC5733">
      <w:pPr>
        <w:numPr>
          <w:ilvl w:val="0"/>
          <w:numId w:val="9"/>
        </w:numPr>
        <w:tabs>
          <w:tab w:val="clear" w:pos="1287"/>
          <w:tab w:val="num" w:pos="471"/>
          <w:tab w:val="num" w:pos="709"/>
        </w:tabs>
        <w:spacing w:before="0" w:after="120"/>
        <w:ind w:left="470" w:hanging="357"/>
        <w:rPr>
          <w:rFonts w:eastAsiaTheme="minorHAnsi" w:cs="Arial"/>
          <w:lang w:eastAsia="en-US"/>
        </w:rPr>
      </w:pPr>
      <w:r w:rsidRPr="00002E56">
        <w:rPr>
          <w:rFonts w:eastAsiaTheme="minorHAnsi" w:cs="Arial"/>
          <w:lang w:eastAsia="en-US"/>
        </w:rPr>
        <w:t>What did you do with the test once you had completed it?</w:t>
      </w:r>
    </w:p>
    <w:p w14:paraId="56684B6C" w14:textId="77777777" w:rsidR="00002E56" w:rsidRPr="00002E56" w:rsidRDefault="00002E56" w:rsidP="00002E56">
      <w:pPr>
        <w:spacing w:before="0" w:after="200" w:line="276" w:lineRule="auto"/>
        <w:ind w:left="0"/>
        <w:rPr>
          <w:rFonts w:eastAsiaTheme="minorHAnsi" w:cs="Arial"/>
          <w:u w:val="single"/>
          <w:lang w:eastAsia="en-US"/>
        </w:rPr>
      </w:pPr>
      <w:r w:rsidRPr="00002E56">
        <w:rPr>
          <w:rFonts w:eastAsiaTheme="minorHAnsi" w:cs="Arial"/>
          <w:u w:val="single"/>
          <w:lang w:eastAsia="en-US"/>
        </w:rPr>
        <w:t>Receiving results (General Practice/</w:t>
      </w:r>
      <w:r w:rsidR="009E3E09">
        <w:rPr>
          <w:rFonts w:eastAsiaTheme="minorHAnsi" w:cs="Arial"/>
          <w:u w:val="single"/>
          <w:lang w:eastAsia="en-US"/>
        </w:rPr>
        <w:t xml:space="preserve">Endoscopy </w:t>
      </w:r>
      <w:proofErr w:type="spellStart"/>
      <w:r w:rsidR="009E3E09">
        <w:rPr>
          <w:rFonts w:eastAsiaTheme="minorHAnsi" w:cs="Arial"/>
          <w:u w:val="single"/>
          <w:lang w:eastAsia="en-US"/>
        </w:rPr>
        <w:t>Unit</w:t>
      </w:r>
      <w:r w:rsidRPr="00002E56">
        <w:rPr>
          <w:rFonts w:eastAsiaTheme="minorHAnsi" w:cs="Arial"/>
          <w:u w:val="single"/>
          <w:lang w:eastAsia="en-US"/>
        </w:rPr>
        <w:t>by</w:t>
      </w:r>
      <w:proofErr w:type="spellEnd"/>
      <w:r w:rsidRPr="00002E56">
        <w:rPr>
          <w:rFonts w:eastAsiaTheme="minorHAnsi" w:cs="Arial"/>
          <w:u w:val="single"/>
          <w:lang w:eastAsia="en-US"/>
        </w:rPr>
        <w:t xml:space="preserve"> phone or letter) </w:t>
      </w:r>
    </w:p>
    <w:p w14:paraId="7A225495" w14:textId="77777777" w:rsidR="00002E56" w:rsidRPr="00002E56" w:rsidRDefault="00002E56" w:rsidP="00CC5733">
      <w:pPr>
        <w:numPr>
          <w:ilvl w:val="0"/>
          <w:numId w:val="9"/>
        </w:numPr>
        <w:tabs>
          <w:tab w:val="clear" w:pos="1287"/>
          <w:tab w:val="num" w:pos="471"/>
          <w:tab w:val="num" w:pos="709"/>
        </w:tabs>
        <w:spacing w:before="0" w:after="120"/>
        <w:ind w:left="470" w:hanging="357"/>
        <w:rPr>
          <w:rFonts w:eastAsiaTheme="minorHAnsi" w:cs="Arial"/>
          <w:i/>
          <w:lang w:eastAsia="en-US"/>
        </w:rPr>
      </w:pPr>
      <w:r w:rsidRPr="00002E56">
        <w:rPr>
          <w:rFonts w:eastAsiaTheme="minorHAnsi" w:cs="Arial"/>
          <w:lang w:eastAsia="en-US"/>
        </w:rPr>
        <w:t xml:space="preserve">How did you find out about the results of your test? </w:t>
      </w:r>
      <w:r w:rsidRPr="00002E56">
        <w:rPr>
          <w:rFonts w:eastAsiaTheme="minorHAnsi" w:cs="Arial"/>
          <w:i/>
          <w:lang w:eastAsia="en-US"/>
        </w:rPr>
        <w:t>[General Practice/</w:t>
      </w:r>
      <w:r w:rsidR="009E3E09">
        <w:rPr>
          <w:rFonts w:eastAsiaTheme="minorHAnsi" w:cs="Arial"/>
          <w:i/>
          <w:lang w:eastAsia="en-US"/>
        </w:rPr>
        <w:t xml:space="preserve">Endoscopy </w:t>
      </w:r>
      <w:proofErr w:type="spellStart"/>
      <w:r w:rsidR="009E3E09">
        <w:rPr>
          <w:rFonts w:eastAsiaTheme="minorHAnsi" w:cs="Arial"/>
          <w:i/>
          <w:lang w:eastAsia="en-US"/>
        </w:rPr>
        <w:t>Unit</w:t>
      </w:r>
      <w:r w:rsidRPr="00002E56">
        <w:rPr>
          <w:rFonts w:eastAsiaTheme="minorHAnsi" w:cs="Arial"/>
          <w:i/>
          <w:lang w:eastAsia="en-US"/>
        </w:rPr>
        <w:t>by</w:t>
      </w:r>
      <w:proofErr w:type="spellEnd"/>
      <w:r w:rsidRPr="00002E56">
        <w:rPr>
          <w:rFonts w:eastAsiaTheme="minorHAnsi" w:cs="Arial"/>
          <w:i/>
          <w:lang w:eastAsia="en-US"/>
        </w:rPr>
        <w:t xml:space="preserve"> phone or letter]</w:t>
      </w:r>
    </w:p>
    <w:p w14:paraId="1213DCFB" w14:textId="77777777" w:rsidR="00002E56" w:rsidRPr="00002E56" w:rsidRDefault="00002E56" w:rsidP="00CC5733">
      <w:pPr>
        <w:numPr>
          <w:ilvl w:val="0"/>
          <w:numId w:val="9"/>
        </w:numPr>
        <w:tabs>
          <w:tab w:val="clear" w:pos="1287"/>
          <w:tab w:val="num" w:pos="471"/>
          <w:tab w:val="num" w:pos="709"/>
        </w:tabs>
        <w:spacing w:before="0" w:after="120"/>
        <w:ind w:left="470" w:hanging="357"/>
        <w:rPr>
          <w:rFonts w:eastAsiaTheme="minorHAnsi" w:cs="Arial"/>
          <w:lang w:eastAsia="en-US"/>
        </w:rPr>
      </w:pPr>
      <w:r w:rsidRPr="00002E56">
        <w:rPr>
          <w:rFonts w:eastAsiaTheme="minorHAnsi" w:cs="Arial"/>
          <w:i/>
          <w:lang w:eastAsia="en-US"/>
        </w:rPr>
        <w:t>[if GP]</w:t>
      </w:r>
      <w:r w:rsidRPr="00002E56">
        <w:rPr>
          <w:rFonts w:eastAsiaTheme="minorHAnsi" w:cs="Arial"/>
          <w:lang w:eastAsia="en-US"/>
        </w:rPr>
        <w:t xml:space="preserve"> Who from your General Practice called you? </w:t>
      </w:r>
    </w:p>
    <w:p w14:paraId="1F113E9C" w14:textId="77777777" w:rsidR="00002E56" w:rsidRPr="00002E56" w:rsidRDefault="00002E56" w:rsidP="00CC5733">
      <w:pPr>
        <w:numPr>
          <w:ilvl w:val="1"/>
          <w:numId w:val="12"/>
        </w:numPr>
        <w:spacing w:before="0" w:after="120"/>
        <w:ind w:left="1190" w:hanging="357"/>
        <w:rPr>
          <w:rFonts w:eastAsiaTheme="minorHAnsi" w:cs="Arial"/>
          <w:lang w:eastAsia="en-US"/>
        </w:rPr>
      </w:pPr>
      <w:r w:rsidRPr="00002E56">
        <w:rPr>
          <w:rFonts w:eastAsiaTheme="minorHAnsi" w:cs="Arial"/>
          <w:lang w:eastAsia="en-US"/>
        </w:rPr>
        <w:t>How were you told about the results [phone/ face to face]?</w:t>
      </w:r>
    </w:p>
    <w:p w14:paraId="739BADB3" w14:textId="77777777" w:rsidR="00002E56" w:rsidRPr="00002E56" w:rsidRDefault="00002E56" w:rsidP="00CC5733">
      <w:pPr>
        <w:numPr>
          <w:ilvl w:val="1"/>
          <w:numId w:val="12"/>
        </w:numPr>
        <w:spacing w:before="0" w:after="120"/>
        <w:ind w:left="1190" w:hanging="357"/>
        <w:rPr>
          <w:rFonts w:eastAsiaTheme="minorHAnsi" w:cs="Arial"/>
          <w:lang w:eastAsia="en-US"/>
        </w:rPr>
      </w:pPr>
      <w:r w:rsidRPr="00002E56">
        <w:rPr>
          <w:rFonts w:eastAsiaTheme="minorHAnsi" w:cs="Arial"/>
          <w:lang w:eastAsia="en-US"/>
        </w:rPr>
        <w:t xml:space="preserve">What did they tell you about your results? </w:t>
      </w:r>
    </w:p>
    <w:p w14:paraId="3663B3B9" w14:textId="77777777" w:rsidR="00002E56" w:rsidRPr="00002E56" w:rsidRDefault="00002E56" w:rsidP="00CC5733">
      <w:pPr>
        <w:numPr>
          <w:ilvl w:val="1"/>
          <w:numId w:val="12"/>
        </w:numPr>
        <w:spacing w:before="0" w:after="120"/>
        <w:ind w:left="1190" w:hanging="357"/>
        <w:rPr>
          <w:rFonts w:eastAsiaTheme="minorHAnsi" w:cs="Arial"/>
          <w:lang w:eastAsia="en-US"/>
        </w:rPr>
      </w:pPr>
      <w:r w:rsidRPr="00002E56">
        <w:rPr>
          <w:rFonts w:eastAsiaTheme="minorHAnsi" w:cs="Arial"/>
          <w:lang w:eastAsia="en-US"/>
        </w:rPr>
        <w:t>What did they tell about what happened next?</w:t>
      </w:r>
    </w:p>
    <w:p w14:paraId="29F29840" w14:textId="77777777" w:rsidR="00002E56" w:rsidRPr="00002E56" w:rsidRDefault="00002E56" w:rsidP="00CC5733">
      <w:pPr>
        <w:numPr>
          <w:ilvl w:val="1"/>
          <w:numId w:val="12"/>
        </w:numPr>
        <w:spacing w:before="0" w:after="120"/>
        <w:ind w:left="1190" w:hanging="357"/>
        <w:rPr>
          <w:rFonts w:eastAsiaTheme="minorHAnsi" w:cs="Arial"/>
          <w:lang w:eastAsia="en-US"/>
        </w:rPr>
      </w:pPr>
      <w:r w:rsidRPr="00002E56">
        <w:rPr>
          <w:rFonts w:eastAsiaTheme="minorHAnsi" w:cs="Arial"/>
          <w:lang w:eastAsia="en-US"/>
        </w:rPr>
        <w:t>How did you feel about being informed this way? What was good about being told by GP/ Practice Nurse? Not so good?</w:t>
      </w:r>
    </w:p>
    <w:p w14:paraId="5AC79322" w14:textId="77777777" w:rsidR="00002E56" w:rsidRPr="00002E56" w:rsidRDefault="00002E56" w:rsidP="00CC5733">
      <w:pPr>
        <w:numPr>
          <w:ilvl w:val="1"/>
          <w:numId w:val="12"/>
        </w:numPr>
        <w:spacing w:before="0" w:after="120"/>
        <w:ind w:left="1190" w:hanging="357"/>
        <w:rPr>
          <w:rFonts w:eastAsiaTheme="minorHAnsi" w:cs="Arial"/>
          <w:lang w:eastAsia="en-US"/>
        </w:rPr>
      </w:pPr>
      <w:r w:rsidRPr="00002E56">
        <w:rPr>
          <w:rFonts w:eastAsiaTheme="minorHAnsi" w:cs="Arial"/>
          <w:lang w:eastAsia="en-US"/>
        </w:rPr>
        <w:t>What was good about being informed by the GP/ Practice Nurse? Not so good?</w:t>
      </w:r>
    </w:p>
    <w:p w14:paraId="35646EEC" w14:textId="77777777" w:rsidR="00002E56" w:rsidRPr="00002E56" w:rsidRDefault="00002E56" w:rsidP="00CC5733">
      <w:pPr>
        <w:numPr>
          <w:ilvl w:val="0"/>
          <w:numId w:val="9"/>
        </w:numPr>
        <w:tabs>
          <w:tab w:val="clear" w:pos="1287"/>
          <w:tab w:val="num" w:pos="471"/>
          <w:tab w:val="num" w:pos="709"/>
        </w:tabs>
        <w:spacing w:before="0" w:after="120"/>
        <w:ind w:left="470" w:hanging="357"/>
        <w:rPr>
          <w:rFonts w:eastAsiaTheme="minorHAnsi" w:cs="Arial"/>
          <w:lang w:eastAsia="en-US"/>
        </w:rPr>
      </w:pPr>
      <w:r w:rsidRPr="00002E56">
        <w:rPr>
          <w:rFonts w:eastAsiaTheme="minorHAnsi" w:cs="Arial"/>
          <w:i/>
          <w:lang w:eastAsia="en-US"/>
        </w:rPr>
        <w:t xml:space="preserve">[If not GP, ask] </w:t>
      </w:r>
      <w:r w:rsidRPr="00002E56">
        <w:rPr>
          <w:rFonts w:eastAsiaTheme="minorHAnsi" w:cs="Arial"/>
          <w:lang w:eastAsia="en-US"/>
        </w:rPr>
        <w:t xml:space="preserve">Did someone call from the </w:t>
      </w:r>
      <w:r w:rsidR="009E3E09">
        <w:rPr>
          <w:rFonts w:eastAsiaTheme="minorHAnsi" w:cs="Arial"/>
          <w:lang w:eastAsia="en-US"/>
        </w:rPr>
        <w:t>Endoscopy Unit</w:t>
      </w:r>
      <w:r w:rsidRPr="00002E56">
        <w:rPr>
          <w:rFonts w:eastAsiaTheme="minorHAnsi" w:cs="Arial"/>
          <w:lang w:eastAsia="en-US"/>
        </w:rPr>
        <w:t xml:space="preserve"> where you had the colonoscopy?  Or did you receive a letter?</w:t>
      </w:r>
    </w:p>
    <w:p w14:paraId="690018F7" w14:textId="77777777" w:rsidR="00002E56" w:rsidRPr="00002E56" w:rsidRDefault="00002E56" w:rsidP="00CC5733">
      <w:pPr>
        <w:numPr>
          <w:ilvl w:val="1"/>
          <w:numId w:val="13"/>
        </w:numPr>
        <w:spacing w:before="0" w:after="120"/>
        <w:ind w:left="1190" w:hanging="357"/>
        <w:rPr>
          <w:rFonts w:eastAsiaTheme="minorHAnsi" w:cs="Arial"/>
          <w:lang w:eastAsia="en-US"/>
        </w:rPr>
      </w:pPr>
      <w:r w:rsidRPr="00002E56">
        <w:rPr>
          <w:rFonts w:eastAsiaTheme="minorHAnsi" w:cs="Arial"/>
          <w:lang w:eastAsia="en-US"/>
        </w:rPr>
        <w:t xml:space="preserve">What did they tell you about your results? </w:t>
      </w:r>
    </w:p>
    <w:p w14:paraId="43CAB5A4" w14:textId="77777777" w:rsidR="00002E56" w:rsidRPr="00002E56" w:rsidRDefault="00002E56" w:rsidP="00CC5733">
      <w:pPr>
        <w:numPr>
          <w:ilvl w:val="1"/>
          <w:numId w:val="13"/>
        </w:numPr>
        <w:spacing w:before="0" w:after="120"/>
        <w:ind w:left="1190" w:hanging="357"/>
        <w:rPr>
          <w:rFonts w:eastAsiaTheme="minorHAnsi" w:cs="Arial"/>
          <w:lang w:eastAsia="en-US"/>
        </w:rPr>
      </w:pPr>
      <w:r w:rsidRPr="00002E56">
        <w:rPr>
          <w:rFonts w:eastAsiaTheme="minorHAnsi" w:cs="Arial"/>
          <w:lang w:eastAsia="en-US"/>
        </w:rPr>
        <w:t>What did they tell about what happened next?</w:t>
      </w:r>
    </w:p>
    <w:p w14:paraId="52A71C5C" w14:textId="77777777" w:rsidR="00002E56" w:rsidRPr="00002E56" w:rsidRDefault="00002E56" w:rsidP="00CC5733">
      <w:pPr>
        <w:numPr>
          <w:ilvl w:val="1"/>
          <w:numId w:val="13"/>
        </w:numPr>
        <w:spacing w:before="0" w:after="120"/>
        <w:ind w:left="1190" w:hanging="357"/>
        <w:rPr>
          <w:rFonts w:eastAsiaTheme="minorHAnsi" w:cs="Arial"/>
          <w:lang w:eastAsia="en-US"/>
        </w:rPr>
      </w:pPr>
      <w:r w:rsidRPr="00002E56">
        <w:rPr>
          <w:rFonts w:eastAsiaTheme="minorHAnsi" w:cs="Arial"/>
          <w:lang w:eastAsia="en-US"/>
        </w:rPr>
        <w:t xml:space="preserve">How did you feel about being informed by the </w:t>
      </w:r>
      <w:r w:rsidR="009E3E09">
        <w:rPr>
          <w:rFonts w:eastAsiaTheme="minorHAnsi" w:cs="Arial"/>
          <w:lang w:eastAsia="en-US"/>
        </w:rPr>
        <w:t>Endoscopy Unit</w:t>
      </w:r>
      <w:r w:rsidRPr="00002E56">
        <w:rPr>
          <w:rFonts w:eastAsiaTheme="minorHAnsi" w:cs="Arial"/>
          <w:lang w:eastAsia="en-US"/>
        </w:rPr>
        <w:t xml:space="preserve"> about your results?</w:t>
      </w:r>
    </w:p>
    <w:p w14:paraId="6FF7CFB5" w14:textId="77777777" w:rsidR="00002E56" w:rsidRPr="00002E56" w:rsidRDefault="00002E56" w:rsidP="00CC5733">
      <w:pPr>
        <w:numPr>
          <w:ilvl w:val="1"/>
          <w:numId w:val="13"/>
        </w:numPr>
        <w:spacing w:before="0" w:after="120"/>
        <w:ind w:left="1190" w:hanging="357"/>
        <w:rPr>
          <w:rFonts w:eastAsiaTheme="minorHAnsi" w:cs="Arial"/>
          <w:lang w:eastAsia="en-US"/>
        </w:rPr>
      </w:pPr>
      <w:r w:rsidRPr="00002E56">
        <w:rPr>
          <w:rFonts w:eastAsiaTheme="minorHAnsi" w:cs="Arial"/>
          <w:lang w:eastAsia="en-US"/>
        </w:rPr>
        <w:t xml:space="preserve">What was good about being informed by the </w:t>
      </w:r>
      <w:r w:rsidR="009E3E09">
        <w:rPr>
          <w:rFonts w:eastAsiaTheme="minorHAnsi" w:cs="Arial"/>
          <w:lang w:eastAsia="en-US"/>
        </w:rPr>
        <w:t>Endoscopy Unit</w:t>
      </w:r>
      <w:r w:rsidRPr="00002E56">
        <w:rPr>
          <w:rFonts w:eastAsiaTheme="minorHAnsi" w:cs="Arial"/>
          <w:lang w:eastAsia="en-US"/>
        </w:rPr>
        <w:t>? Not so good?</w:t>
      </w:r>
    </w:p>
    <w:p w14:paraId="10E84E3D" w14:textId="77777777" w:rsidR="00002E56" w:rsidRPr="00002E56" w:rsidRDefault="00002E56" w:rsidP="00CC5733">
      <w:pPr>
        <w:numPr>
          <w:ilvl w:val="1"/>
          <w:numId w:val="13"/>
        </w:numPr>
        <w:spacing w:before="0" w:after="120"/>
        <w:ind w:left="1190" w:hanging="357"/>
        <w:rPr>
          <w:rFonts w:eastAsiaTheme="minorHAnsi" w:cs="Arial"/>
          <w:i/>
          <w:lang w:eastAsia="en-US"/>
        </w:rPr>
      </w:pPr>
      <w:r w:rsidRPr="00002E56">
        <w:rPr>
          <w:rFonts w:eastAsiaTheme="minorHAnsi" w:cs="Arial"/>
          <w:lang w:eastAsia="en-US"/>
        </w:rPr>
        <w:t xml:space="preserve">Do you have a GP?  </w:t>
      </w:r>
      <w:r w:rsidRPr="00002E56">
        <w:rPr>
          <w:rFonts w:eastAsiaTheme="minorHAnsi" w:cs="Arial"/>
          <w:i/>
          <w:lang w:eastAsia="en-US"/>
        </w:rPr>
        <w:t>[If yes]</w:t>
      </w:r>
      <w:r w:rsidRPr="00002E56">
        <w:rPr>
          <w:rFonts w:eastAsiaTheme="minorHAnsi" w:cs="Arial"/>
          <w:lang w:eastAsia="en-US"/>
        </w:rPr>
        <w:t xml:space="preserve"> People who have a positive result are usually contacted by someone from their general practice to tell them about the result and to discuss what it means.  Did you tick the box on the consent form saying you did not want your GP informed?  </w:t>
      </w:r>
      <w:r w:rsidRPr="00002E56">
        <w:rPr>
          <w:rFonts w:eastAsiaTheme="minorHAnsi" w:cs="Arial"/>
          <w:i/>
          <w:lang w:eastAsia="en-US"/>
        </w:rPr>
        <w:t xml:space="preserve">[Check whether this was in error if done </w:t>
      </w:r>
      <w:proofErr w:type="spellStart"/>
      <w:r w:rsidRPr="00002E56">
        <w:rPr>
          <w:rFonts w:eastAsiaTheme="minorHAnsi" w:cs="Arial"/>
          <w:i/>
          <w:lang w:eastAsia="en-US"/>
        </w:rPr>
        <w:t>ie</w:t>
      </w:r>
      <w:proofErr w:type="spellEnd"/>
      <w:r w:rsidRPr="00002E56">
        <w:rPr>
          <w:rFonts w:eastAsiaTheme="minorHAnsi" w:cs="Arial"/>
          <w:i/>
          <w:lang w:eastAsia="en-US"/>
        </w:rPr>
        <w:t xml:space="preserve"> they did want their GP to be informed and thought ticking the box meant this would happen]</w:t>
      </w:r>
    </w:p>
    <w:p w14:paraId="3B0E3AD3" w14:textId="77777777" w:rsidR="00002E56" w:rsidRPr="00002E56" w:rsidRDefault="00002E56" w:rsidP="00CC5733">
      <w:pPr>
        <w:numPr>
          <w:ilvl w:val="1"/>
          <w:numId w:val="13"/>
        </w:numPr>
        <w:spacing w:before="0" w:after="120"/>
        <w:ind w:left="1190" w:hanging="357"/>
        <w:rPr>
          <w:rFonts w:eastAsiaTheme="minorHAnsi" w:cs="Arial"/>
          <w:lang w:eastAsia="en-US"/>
        </w:rPr>
      </w:pPr>
      <w:r w:rsidRPr="00002E56">
        <w:rPr>
          <w:rFonts w:eastAsiaTheme="minorHAnsi" w:cs="Arial"/>
          <w:i/>
          <w:lang w:eastAsia="en-US"/>
        </w:rPr>
        <w:t xml:space="preserve">[If have a GP and not called] </w:t>
      </w:r>
      <w:r w:rsidRPr="00002E56">
        <w:rPr>
          <w:rFonts w:eastAsiaTheme="minorHAnsi" w:cs="Arial"/>
          <w:lang w:eastAsia="en-US"/>
        </w:rPr>
        <w:t xml:space="preserve">BSP has very strict rules to ensure people are told about positive results quickly, this may have resulted in the </w:t>
      </w:r>
      <w:r w:rsidR="009E3E09">
        <w:rPr>
          <w:rFonts w:eastAsiaTheme="minorHAnsi" w:cs="Arial"/>
          <w:lang w:eastAsia="en-US"/>
        </w:rPr>
        <w:t>Endoscopy Unit</w:t>
      </w:r>
      <w:r w:rsidRPr="00002E56">
        <w:rPr>
          <w:rFonts w:eastAsiaTheme="minorHAnsi" w:cs="Arial"/>
          <w:lang w:eastAsia="en-US"/>
        </w:rPr>
        <w:t xml:space="preserve"> calling you first.  Would you have preferred to hear about your results from your GP or Practice Nurse instead of the </w:t>
      </w:r>
      <w:r w:rsidR="009E3E09">
        <w:rPr>
          <w:rFonts w:eastAsiaTheme="minorHAnsi" w:cs="Arial"/>
          <w:lang w:eastAsia="en-US"/>
        </w:rPr>
        <w:t>Endoscopy Unit</w:t>
      </w:r>
      <w:r w:rsidRPr="00002E56">
        <w:rPr>
          <w:rFonts w:eastAsiaTheme="minorHAnsi" w:cs="Arial"/>
          <w:lang w:eastAsia="en-US"/>
        </w:rPr>
        <w:t>?  How come?</w:t>
      </w:r>
    </w:p>
    <w:p w14:paraId="2BF38120" w14:textId="77777777" w:rsidR="00002E56" w:rsidRPr="00002E56" w:rsidRDefault="00002E56" w:rsidP="00CC5733">
      <w:pPr>
        <w:numPr>
          <w:ilvl w:val="0"/>
          <w:numId w:val="9"/>
        </w:numPr>
        <w:tabs>
          <w:tab w:val="clear" w:pos="1287"/>
          <w:tab w:val="num" w:pos="471"/>
          <w:tab w:val="num" w:pos="709"/>
        </w:tabs>
        <w:spacing w:before="0" w:after="120"/>
        <w:ind w:left="470" w:hanging="357"/>
        <w:rPr>
          <w:rFonts w:eastAsiaTheme="minorHAnsi" w:cs="Arial"/>
          <w:lang w:eastAsia="en-US"/>
        </w:rPr>
      </w:pPr>
      <w:r w:rsidRPr="00002E56">
        <w:rPr>
          <w:rFonts w:eastAsiaTheme="minorHAnsi" w:cs="Arial"/>
          <w:lang w:eastAsia="en-US"/>
        </w:rPr>
        <w:t xml:space="preserve">One of the things that the BSP is exploring is the best way to inform people if they have a positive result from the </w:t>
      </w:r>
      <w:proofErr w:type="spellStart"/>
      <w:r w:rsidRPr="00002E56">
        <w:rPr>
          <w:rFonts w:eastAsiaTheme="minorHAnsi" w:cs="Arial"/>
          <w:lang w:eastAsia="en-US"/>
        </w:rPr>
        <w:t>iFOBT</w:t>
      </w:r>
      <w:proofErr w:type="spellEnd"/>
      <w:r w:rsidRPr="00002E56">
        <w:rPr>
          <w:rFonts w:eastAsiaTheme="minorHAnsi" w:cs="Arial"/>
          <w:lang w:eastAsia="en-US"/>
        </w:rPr>
        <w:t xml:space="preserve"> via a call from their General Practice or the </w:t>
      </w:r>
      <w:r w:rsidR="009E3E09">
        <w:rPr>
          <w:rFonts w:eastAsiaTheme="minorHAnsi" w:cs="Arial"/>
          <w:lang w:eastAsia="en-US"/>
        </w:rPr>
        <w:t>Endoscopy Unit</w:t>
      </w:r>
      <w:r w:rsidRPr="00002E56">
        <w:rPr>
          <w:rFonts w:eastAsiaTheme="minorHAnsi" w:cs="Arial"/>
          <w:lang w:eastAsia="en-US"/>
        </w:rPr>
        <w:t xml:space="preserve">.  </w:t>
      </w:r>
    </w:p>
    <w:p w14:paraId="37AD859D" w14:textId="77777777" w:rsidR="00002E56" w:rsidRPr="00002E56" w:rsidRDefault="00002E56" w:rsidP="00CC5733">
      <w:pPr>
        <w:numPr>
          <w:ilvl w:val="1"/>
          <w:numId w:val="13"/>
        </w:numPr>
        <w:spacing w:before="0" w:after="120"/>
        <w:ind w:left="1190" w:hanging="357"/>
        <w:rPr>
          <w:rFonts w:eastAsiaTheme="minorHAnsi" w:cs="Arial"/>
          <w:lang w:eastAsia="en-US"/>
        </w:rPr>
      </w:pPr>
      <w:r w:rsidRPr="00002E56">
        <w:rPr>
          <w:rFonts w:eastAsiaTheme="minorHAnsi" w:cs="Arial"/>
          <w:lang w:eastAsia="en-US"/>
        </w:rPr>
        <w:t>What are the benefits in hearing about a positive result from your GP?  What are the downsides?</w:t>
      </w:r>
    </w:p>
    <w:p w14:paraId="16EB9B79" w14:textId="77777777" w:rsidR="00002E56" w:rsidRPr="00002E56" w:rsidRDefault="00002E56" w:rsidP="00CC5733">
      <w:pPr>
        <w:numPr>
          <w:ilvl w:val="1"/>
          <w:numId w:val="13"/>
        </w:numPr>
        <w:spacing w:before="0" w:after="120"/>
        <w:ind w:left="1190" w:hanging="357"/>
        <w:rPr>
          <w:rFonts w:eastAsiaTheme="minorHAnsi" w:cs="Arial"/>
          <w:lang w:eastAsia="en-US"/>
        </w:rPr>
      </w:pPr>
      <w:r w:rsidRPr="00002E56">
        <w:rPr>
          <w:rFonts w:eastAsiaTheme="minorHAnsi" w:cs="Arial"/>
          <w:lang w:eastAsia="en-US"/>
        </w:rPr>
        <w:t xml:space="preserve">What are the benefits in hearing about a positive result from the </w:t>
      </w:r>
      <w:r w:rsidR="009E3E09">
        <w:rPr>
          <w:rFonts w:eastAsiaTheme="minorHAnsi" w:cs="Arial"/>
          <w:lang w:eastAsia="en-US"/>
        </w:rPr>
        <w:t>Endoscopy Unit</w:t>
      </w:r>
      <w:r w:rsidRPr="00002E56">
        <w:rPr>
          <w:rFonts w:eastAsiaTheme="minorHAnsi" w:cs="Arial"/>
          <w:lang w:eastAsia="en-US"/>
        </w:rPr>
        <w:t>?  What are the downsides?</w:t>
      </w:r>
    </w:p>
    <w:p w14:paraId="67B836B7" w14:textId="77777777" w:rsidR="00002E56" w:rsidRPr="00002E56" w:rsidRDefault="00002E56" w:rsidP="00CC5733">
      <w:pPr>
        <w:numPr>
          <w:ilvl w:val="1"/>
          <w:numId w:val="13"/>
        </w:numPr>
        <w:spacing w:before="0" w:after="120"/>
        <w:ind w:left="1190" w:hanging="357"/>
        <w:rPr>
          <w:rFonts w:eastAsiaTheme="minorHAnsi" w:cs="Arial"/>
          <w:lang w:eastAsia="en-US"/>
        </w:rPr>
      </w:pPr>
      <w:r w:rsidRPr="00002E56">
        <w:rPr>
          <w:rFonts w:eastAsiaTheme="minorHAnsi" w:cs="Arial"/>
          <w:lang w:eastAsia="en-US"/>
        </w:rPr>
        <w:t>Which do you prefer?  Why?</w:t>
      </w:r>
    </w:p>
    <w:p w14:paraId="2117E871" w14:textId="77777777" w:rsidR="00002E56" w:rsidRPr="00002E56" w:rsidRDefault="00002E56" w:rsidP="00CC5733">
      <w:pPr>
        <w:numPr>
          <w:ilvl w:val="0"/>
          <w:numId w:val="9"/>
        </w:numPr>
        <w:tabs>
          <w:tab w:val="clear" w:pos="1287"/>
          <w:tab w:val="num" w:pos="471"/>
          <w:tab w:val="num" w:pos="709"/>
        </w:tabs>
        <w:spacing w:before="0" w:after="120"/>
        <w:ind w:left="470" w:hanging="357"/>
        <w:rPr>
          <w:rFonts w:eastAsiaTheme="minorHAnsi" w:cs="Arial"/>
          <w:lang w:eastAsia="en-US"/>
        </w:rPr>
      </w:pPr>
      <w:r w:rsidRPr="00002E56">
        <w:rPr>
          <w:rFonts w:eastAsiaTheme="minorHAnsi" w:cs="Arial"/>
          <w:i/>
          <w:lang w:eastAsia="en-US"/>
        </w:rPr>
        <w:t>[if strongly pro-GP or no preference explore]</w:t>
      </w:r>
      <w:r w:rsidRPr="00002E56">
        <w:rPr>
          <w:rFonts w:eastAsiaTheme="minorHAnsi" w:cs="Arial"/>
          <w:lang w:eastAsia="en-US"/>
        </w:rPr>
        <w:t xml:space="preserve"> People who do not have a GP are called and told about their positive result by nurse from the </w:t>
      </w:r>
      <w:r w:rsidR="009E3E09">
        <w:rPr>
          <w:rFonts w:eastAsiaTheme="minorHAnsi" w:cs="Arial"/>
          <w:lang w:eastAsia="en-US"/>
        </w:rPr>
        <w:t>Endoscopy Unit</w:t>
      </w:r>
      <w:r w:rsidRPr="00002E56">
        <w:rPr>
          <w:rFonts w:eastAsiaTheme="minorHAnsi" w:cs="Arial"/>
          <w:lang w:eastAsia="en-US"/>
        </w:rPr>
        <w:t xml:space="preserve"> – these people tend to hear </w:t>
      </w:r>
      <w:r w:rsidRPr="00002E56">
        <w:rPr>
          <w:rFonts w:eastAsiaTheme="minorHAnsi" w:cs="Arial"/>
          <w:lang w:eastAsia="en-US"/>
        </w:rPr>
        <w:lastRenderedPageBreak/>
        <w:t xml:space="preserve">about their results faster (by about two weeks) than those who receive their results from their GP.  To what extent are the benefits of having your GP inform you more important than having a slightly faster test result?  </w:t>
      </w:r>
    </w:p>
    <w:p w14:paraId="2D3D0859" w14:textId="77777777" w:rsidR="00002E56" w:rsidRPr="00002E56" w:rsidRDefault="00002E56" w:rsidP="00CC5733">
      <w:pPr>
        <w:numPr>
          <w:ilvl w:val="0"/>
          <w:numId w:val="9"/>
        </w:numPr>
        <w:tabs>
          <w:tab w:val="clear" w:pos="1287"/>
          <w:tab w:val="num" w:pos="471"/>
          <w:tab w:val="num" w:pos="709"/>
        </w:tabs>
        <w:spacing w:before="0" w:after="120"/>
        <w:ind w:left="470" w:hanging="357"/>
        <w:rPr>
          <w:rFonts w:eastAsiaTheme="minorHAnsi" w:cs="Arial"/>
          <w:lang w:eastAsia="en-US"/>
        </w:rPr>
      </w:pPr>
      <w:r w:rsidRPr="00002E56">
        <w:rPr>
          <w:rFonts w:eastAsiaTheme="minorHAnsi" w:cs="Arial"/>
          <w:lang w:eastAsia="en-US"/>
        </w:rPr>
        <w:t xml:space="preserve">If your General Practice was not involved in the BSP – that is if it was just the </w:t>
      </w:r>
      <w:r w:rsidR="009E3E09">
        <w:rPr>
          <w:rFonts w:eastAsiaTheme="minorHAnsi" w:cs="Arial"/>
          <w:lang w:eastAsia="en-US"/>
        </w:rPr>
        <w:t>Endoscopy Unit</w:t>
      </w:r>
      <w:r w:rsidRPr="00002E56">
        <w:rPr>
          <w:rFonts w:eastAsiaTheme="minorHAnsi" w:cs="Arial"/>
          <w:lang w:eastAsia="en-US"/>
        </w:rPr>
        <w:t xml:space="preserve"> that called with positive results – how would this have effected your decision to undertake a colonoscopy? </w:t>
      </w:r>
    </w:p>
    <w:p w14:paraId="19761B3F" w14:textId="77777777" w:rsidR="00002E56" w:rsidRPr="00002E56" w:rsidRDefault="00002E56" w:rsidP="00CC5733">
      <w:pPr>
        <w:numPr>
          <w:ilvl w:val="0"/>
          <w:numId w:val="9"/>
        </w:numPr>
        <w:tabs>
          <w:tab w:val="clear" w:pos="1287"/>
          <w:tab w:val="num" w:pos="471"/>
          <w:tab w:val="num" w:pos="709"/>
        </w:tabs>
        <w:spacing w:before="0" w:after="120"/>
        <w:ind w:left="470" w:hanging="357"/>
        <w:rPr>
          <w:rFonts w:eastAsiaTheme="minorHAnsi" w:cs="Arial"/>
          <w:lang w:eastAsia="en-US"/>
        </w:rPr>
      </w:pPr>
      <w:r w:rsidRPr="00002E56">
        <w:rPr>
          <w:rFonts w:eastAsiaTheme="minorHAnsi" w:cs="Arial"/>
          <w:lang w:eastAsia="en-US"/>
        </w:rPr>
        <w:t>Please describe your relationship with your General Practice? GP?</w:t>
      </w:r>
    </w:p>
    <w:p w14:paraId="62FFFC5A" w14:textId="77777777" w:rsidR="00002E56" w:rsidRPr="00002E56" w:rsidRDefault="00002E56" w:rsidP="00002E56">
      <w:pPr>
        <w:spacing w:before="0" w:after="200" w:line="276" w:lineRule="auto"/>
        <w:ind w:left="0"/>
        <w:rPr>
          <w:rFonts w:eastAsiaTheme="minorHAnsi" w:cs="Arial"/>
          <w:u w:val="single"/>
          <w:lang w:eastAsia="en-US"/>
        </w:rPr>
      </w:pPr>
      <w:r w:rsidRPr="00002E56">
        <w:rPr>
          <w:rFonts w:eastAsiaTheme="minorHAnsi" w:cs="Arial"/>
          <w:u w:val="single"/>
          <w:lang w:eastAsia="en-US"/>
        </w:rPr>
        <w:t xml:space="preserve">Pre-assessment with the </w:t>
      </w:r>
      <w:r w:rsidR="009E3E09">
        <w:rPr>
          <w:rFonts w:eastAsiaTheme="minorHAnsi" w:cs="Arial"/>
          <w:u w:val="single"/>
          <w:lang w:eastAsia="en-US"/>
        </w:rPr>
        <w:t>Endoscopy Unit</w:t>
      </w:r>
    </w:p>
    <w:p w14:paraId="1180F8F1" w14:textId="77777777" w:rsidR="00002E56" w:rsidRPr="00002E56" w:rsidRDefault="00002E56" w:rsidP="00CC5733">
      <w:pPr>
        <w:numPr>
          <w:ilvl w:val="0"/>
          <w:numId w:val="9"/>
        </w:numPr>
        <w:tabs>
          <w:tab w:val="clear" w:pos="1287"/>
          <w:tab w:val="num" w:pos="471"/>
          <w:tab w:val="num" w:pos="709"/>
        </w:tabs>
        <w:spacing w:before="0" w:after="120"/>
        <w:ind w:left="471" w:hanging="357"/>
        <w:rPr>
          <w:rFonts w:eastAsiaTheme="minorHAnsi" w:cs="Arial"/>
          <w:lang w:eastAsia="en-US"/>
        </w:rPr>
      </w:pPr>
      <w:r w:rsidRPr="00002E56">
        <w:rPr>
          <w:rFonts w:eastAsiaTheme="minorHAnsi" w:cs="Arial"/>
          <w:lang w:eastAsia="en-US"/>
        </w:rPr>
        <w:t xml:space="preserve">How did you feel about the </w:t>
      </w:r>
      <w:proofErr w:type="spellStart"/>
      <w:r w:rsidRPr="00002E56">
        <w:rPr>
          <w:rFonts w:eastAsiaTheme="minorHAnsi" w:cs="Arial"/>
          <w:lang w:eastAsia="en-US"/>
        </w:rPr>
        <w:t>preassessment</w:t>
      </w:r>
      <w:proofErr w:type="spellEnd"/>
      <w:r w:rsidRPr="00002E56">
        <w:rPr>
          <w:rFonts w:eastAsiaTheme="minorHAnsi" w:cs="Arial"/>
          <w:lang w:eastAsia="en-US"/>
        </w:rPr>
        <w:t xml:space="preserve"> phone call, when the nurse from the </w:t>
      </w:r>
      <w:r w:rsidR="009E3E09">
        <w:rPr>
          <w:rFonts w:eastAsiaTheme="minorHAnsi" w:cs="Arial"/>
          <w:lang w:eastAsia="en-US"/>
        </w:rPr>
        <w:t>Endoscopy Unit</w:t>
      </w:r>
      <w:r w:rsidRPr="00002E56">
        <w:rPr>
          <w:rFonts w:eastAsiaTheme="minorHAnsi" w:cs="Arial"/>
          <w:lang w:eastAsia="en-US"/>
        </w:rPr>
        <w:t xml:space="preserve"> called to find out more about you and your health?</w:t>
      </w:r>
    </w:p>
    <w:p w14:paraId="1BDAECC7" w14:textId="77777777" w:rsidR="00002E56" w:rsidRPr="00002E56" w:rsidRDefault="00002E56" w:rsidP="00CC5733">
      <w:pPr>
        <w:numPr>
          <w:ilvl w:val="1"/>
          <w:numId w:val="13"/>
        </w:numPr>
        <w:spacing w:before="0" w:after="120"/>
        <w:ind w:hanging="357"/>
        <w:rPr>
          <w:rFonts w:eastAsiaTheme="minorHAnsi" w:cs="Arial"/>
          <w:lang w:eastAsia="en-US"/>
        </w:rPr>
      </w:pPr>
      <w:r w:rsidRPr="00002E56">
        <w:rPr>
          <w:rFonts w:eastAsiaTheme="minorHAnsi" w:cs="Arial"/>
          <w:lang w:eastAsia="en-US"/>
        </w:rPr>
        <w:t>What was good about it?</w:t>
      </w:r>
    </w:p>
    <w:p w14:paraId="38BA3CC0" w14:textId="77777777" w:rsidR="00002E56" w:rsidRPr="00002E56" w:rsidRDefault="00002E56" w:rsidP="00CC5733">
      <w:pPr>
        <w:numPr>
          <w:ilvl w:val="1"/>
          <w:numId w:val="13"/>
        </w:numPr>
        <w:spacing w:before="0" w:after="120"/>
        <w:ind w:hanging="357"/>
        <w:rPr>
          <w:rFonts w:eastAsiaTheme="minorHAnsi" w:cs="Arial"/>
          <w:lang w:eastAsia="en-US"/>
        </w:rPr>
      </w:pPr>
      <w:r w:rsidRPr="00002E56">
        <w:rPr>
          <w:rFonts w:eastAsiaTheme="minorHAnsi" w:cs="Arial"/>
          <w:lang w:eastAsia="en-US"/>
        </w:rPr>
        <w:t>What could be improved?</w:t>
      </w:r>
    </w:p>
    <w:p w14:paraId="5BB95CE7" w14:textId="77777777" w:rsidR="00002E56" w:rsidRPr="00002E56" w:rsidRDefault="00002E56" w:rsidP="00CC5733">
      <w:pPr>
        <w:numPr>
          <w:ilvl w:val="1"/>
          <w:numId w:val="13"/>
        </w:numPr>
        <w:spacing w:before="0" w:after="120"/>
        <w:ind w:hanging="357"/>
        <w:rPr>
          <w:rFonts w:eastAsiaTheme="minorHAnsi" w:cs="Arial"/>
          <w:lang w:eastAsia="en-US"/>
        </w:rPr>
      </w:pPr>
      <w:r w:rsidRPr="00002E56">
        <w:rPr>
          <w:rFonts w:eastAsiaTheme="minorHAnsi" w:cs="Arial"/>
          <w:lang w:eastAsia="en-US"/>
        </w:rPr>
        <w:t>What other/different information did you need at this time?</w:t>
      </w:r>
    </w:p>
    <w:p w14:paraId="712DEADF" w14:textId="77777777" w:rsidR="00002E56" w:rsidRPr="00002E56" w:rsidRDefault="00002E56" w:rsidP="00CC5733">
      <w:pPr>
        <w:numPr>
          <w:ilvl w:val="1"/>
          <w:numId w:val="13"/>
        </w:numPr>
        <w:spacing w:before="0" w:after="120"/>
        <w:ind w:hanging="357"/>
        <w:rPr>
          <w:rFonts w:eastAsiaTheme="minorHAnsi" w:cs="Arial"/>
          <w:lang w:eastAsia="en-US"/>
        </w:rPr>
      </w:pPr>
      <w:r w:rsidRPr="00002E56">
        <w:rPr>
          <w:rFonts w:eastAsiaTheme="minorHAnsi" w:cs="Arial"/>
          <w:lang w:eastAsia="en-US"/>
        </w:rPr>
        <w:t>[If Pacific] where you offered support/ translator?</w:t>
      </w:r>
    </w:p>
    <w:p w14:paraId="09986EDE" w14:textId="77777777" w:rsidR="00002E56" w:rsidRPr="00002E56" w:rsidRDefault="00002E56" w:rsidP="00002E56">
      <w:pPr>
        <w:spacing w:before="0" w:after="200" w:line="276" w:lineRule="auto"/>
        <w:ind w:left="0"/>
        <w:rPr>
          <w:rFonts w:eastAsiaTheme="minorHAnsi" w:cs="Arial"/>
          <w:u w:val="single"/>
          <w:lang w:eastAsia="en-US"/>
        </w:rPr>
      </w:pPr>
      <w:r w:rsidRPr="00002E56">
        <w:rPr>
          <w:rFonts w:eastAsiaTheme="minorHAnsi" w:cs="Arial"/>
          <w:u w:val="single"/>
          <w:lang w:eastAsia="en-US"/>
        </w:rPr>
        <w:t>Colonoscopy (incl. appointment process)</w:t>
      </w:r>
    </w:p>
    <w:p w14:paraId="37E1E5E2" w14:textId="77777777" w:rsidR="00002E56" w:rsidRPr="00002E56" w:rsidRDefault="00002E56" w:rsidP="00CC5733">
      <w:pPr>
        <w:numPr>
          <w:ilvl w:val="0"/>
          <w:numId w:val="9"/>
        </w:numPr>
        <w:tabs>
          <w:tab w:val="clear" w:pos="1287"/>
          <w:tab w:val="num" w:pos="471"/>
          <w:tab w:val="num" w:pos="709"/>
        </w:tabs>
        <w:spacing w:before="0" w:after="120"/>
        <w:ind w:left="471" w:hanging="357"/>
        <w:rPr>
          <w:rFonts w:eastAsiaTheme="minorHAnsi" w:cs="Arial"/>
          <w:lang w:eastAsia="en-US"/>
        </w:rPr>
      </w:pPr>
      <w:r w:rsidRPr="00002E56">
        <w:rPr>
          <w:rFonts w:eastAsiaTheme="minorHAnsi" w:cs="Arial"/>
          <w:lang w:eastAsia="en-US"/>
        </w:rPr>
        <w:t xml:space="preserve">How did you feel about the colonoscopy? </w:t>
      </w:r>
    </w:p>
    <w:p w14:paraId="703CE185" w14:textId="77777777" w:rsidR="00002E56" w:rsidRPr="00002E56" w:rsidRDefault="00002E56" w:rsidP="00CC5733">
      <w:pPr>
        <w:numPr>
          <w:ilvl w:val="1"/>
          <w:numId w:val="13"/>
        </w:numPr>
        <w:spacing w:before="0" w:after="120"/>
        <w:ind w:hanging="357"/>
        <w:rPr>
          <w:rFonts w:eastAsiaTheme="minorHAnsi" w:cs="Arial"/>
          <w:lang w:eastAsia="en-US"/>
        </w:rPr>
      </w:pPr>
      <w:r w:rsidRPr="00002E56">
        <w:rPr>
          <w:rFonts w:eastAsiaTheme="minorHAnsi" w:cs="Arial"/>
          <w:lang w:eastAsia="en-US"/>
        </w:rPr>
        <w:t>What went well?</w:t>
      </w:r>
    </w:p>
    <w:p w14:paraId="6AA4A406" w14:textId="77777777" w:rsidR="00002E56" w:rsidRPr="00002E56" w:rsidRDefault="00002E56" w:rsidP="00CC5733">
      <w:pPr>
        <w:numPr>
          <w:ilvl w:val="1"/>
          <w:numId w:val="13"/>
        </w:numPr>
        <w:spacing w:before="0" w:after="120"/>
        <w:ind w:hanging="357"/>
        <w:rPr>
          <w:rFonts w:eastAsiaTheme="minorHAnsi" w:cs="Arial"/>
          <w:lang w:eastAsia="en-US"/>
        </w:rPr>
      </w:pPr>
      <w:r w:rsidRPr="00002E56">
        <w:rPr>
          <w:rFonts w:eastAsiaTheme="minorHAnsi" w:cs="Arial"/>
          <w:lang w:eastAsia="en-US"/>
        </w:rPr>
        <w:t>What could be improved?</w:t>
      </w:r>
    </w:p>
    <w:p w14:paraId="49356BFF" w14:textId="77777777" w:rsidR="00002E56" w:rsidRPr="00002E56" w:rsidRDefault="00002E56" w:rsidP="00002E56">
      <w:pPr>
        <w:spacing w:before="0" w:after="200" w:line="276" w:lineRule="auto"/>
        <w:ind w:left="0"/>
        <w:rPr>
          <w:rFonts w:eastAsiaTheme="minorHAnsi" w:cs="Arial"/>
          <w:u w:val="single"/>
          <w:lang w:eastAsia="en-US"/>
        </w:rPr>
      </w:pPr>
      <w:r w:rsidRPr="00002E56">
        <w:rPr>
          <w:rFonts w:eastAsiaTheme="minorHAnsi" w:cs="Arial"/>
          <w:u w:val="single"/>
          <w:lang w:eastAsia="en-US"/>
        </w:rPr>
        <w:t>Next steps</w:t>
      </w:r>
    </w:p>
    <w:p w14:paraId="217CEC1B" w14:textId="77777777" w:rsidR="00002E56" w:rsidRPr="00002E56" w:rsidRDefault="00002E56" w:rsidP="00CC5733">
      <w:pPr>
        <w:numPr>
          <w:ilvl w:val="0"/>
          <w:numId w:val="9"/>
        </w:numPr>
        <w:tabs>
          <w:tab w:val="clear" w:pos="1287"/>
          <w:tab w:val="num" w:pos="471"/>
          <w:tab w:val="num" w:pos="709"/>
        </w:tabs>
        <w:spacing w:before="0" w:after="120"/>
        <w:ind w:left="471" w:hanging="357"/>
        <w:rPr>
          <w:rFonts w:eastAsiaTheme="minorHAnsi" w:cs="Arial"/>
          <w:lang w:eastAsia="en-US"/>
        </w:rPr>
      </w:pPr>
      <w:r w:rsidRPr="00002E56">
        <w:rPr>
          <w:rFonts w:eastAsiaTheme="minorHAnsi" w:cs="Arial"/>
          <w:lang w:eastAsia="en-US"/>
        </w:rPr>
        <w:t xml:space="preserve">What happens next for you?  </w:t>
      </w:r>
      <w:r w:rsidRPr="00002E56">
        <w:rPr>
          <w:rFonts w:eastAsiaTheme="minorHAnsi" w:cs="Arial"/>
          <w:i/>
          <w:lang w:eastAsia="en-US"/>
        </w:rPr>
        <w:t>[probe awareness of surveillance or follow up in 5 years]</w:t>
      </w:r>
    </w:p>
    <w:p w14:paraId="507A92D0" w14:textId="77777777" w:rsidR="00002E56" w:rsidRPr="00002E56" w:rsidRDefault="00002E56" w:rsidP="00CC5733">
      <w:pPr>
        <w:numPr>
          <w:ilvl w:val="0"/>
          <w:numId w:val="11"/>
        </w:numPr>
        <w:spacing w:before="0" w:after="200" w:line="276" w:lineRule="auto"/>
        <w:rPr>
          <w:rFonts w:eastAsiaTheme="minorHAnsi" w:cs="Arial"/>
          <w:b/>
          <w:lang w:eastAsia="en-US"/>
        </w:rPr>
      </w:pPr>
      <w:r w:rsidRPr="00002E56">
        <w:rPr>
          <w:rFonts w:eastAsiaTheme="minorHAnsi" w:cs="Arial"/>
          <w:b/>
          <w:lang w:eastAsia="en-US"/>
        </w:rPr>
        <w:t>Close</w:t>
      </w:r>
    </w:p>
    <w:p w14:paraId="095F0896" w14:textId="77777777" w:rsidR="00002E56" w:rsidRPr="00002E56" w:rsidRDefault="00002E56" w:rsidP="00CC5733">
      <w:pPr>
        <w:numPr>
          <w:ilvl w:val="0"/>
          <w:numId w:val="9"/>
        </w:numPr>
        <w:tabs>
          <w:tab w:val="clear" w:pos="1287"/>
          <w:tab w:val="num" w:pos="471"/>
          <w:tab w:val="num" w:pos="709"/>
        </w:tabs>
        <w:spacing w:before="0" w:after="200" w:line="276" w:lineRule="auto"/>
        <w:ind w:left="471"/>
        <w:rPr>
          <w:rFonts w:eastAsiaTheme="minorHAnsi" w:cs="Arial"/>
          <w:lang w:eastAsia="en-US"/>
        </w:rPr>
      </w:pPr>
      <w:r w:rsidRPr="00002E56">
        <w:rPr>
          <w:rFonts w:eastAsiaTheme="minorHAnsi" w:cs="Arial"/>
          <w:lang w:eastAsia="en-US"/>
        </w:rPr>
        <w:t xml:space="preserve">What other comments would you like to make about the Bowel Screening Pilot? </w:t>
      </w:r>
    </w:p>
    <w:p w14:paraId="1DD91FDC" w14:textId="77777777" w:rsidR="00192DD8" w:rsidRPr="00192DD8" w:rsidRDefault="00192DD8" w:rsidP="00192DD8"/>
    <w:p w14:paraId="2DA80BB2" w14:textId="77777777" w:rsidR="00753189" w:rsidRDefault="00753189">
      <w:pPr>
        <w:spacing w:before="0"/>
        <w:ind w:left="0"/>
      </w:pPr>
      <w:r>
        <w:br w:type="page"/>
      </w:r>
    </w:p>
    <w:p w14:paraId="22D57E2A" w14:textId="77777777" w:rsidR="00AC71B2" w:rsidRDefault="00753189" w:rsidP="00753189">
      <w:pPr>
        <w:pStyle w:val="Heading2"/>
      </w:pPr>
      <w:bookmarkStart w:id="70" w:name="_Toc380424722"/>
      <w:r>
        <w:lastRenderedPageBreak/>
        <w:t>Appendix 3</w:t>
      </w:r>
      <w:r w:rsidR="00BF1548">
        <w:t xml:space="preserve"> -</w:t>
      </w:r>
      <w:r>
        <w:t xml:space="preserve"> Prefer</w:t>
      </w:r>
      <w:r w:rsidR="00375A28">
        <w:t>red</w:t>
      </w:r>
      <w:r>
        <w:t xml:space="preserve"> method to hear about</w:t>
      </w:r>
      <w:r w:rsidR="00CF497E">
        <w:t xml:space="preserve"> positive </w:t>
      </w:r>
      <w:proofErr w:type="spellStart"/>
      <w:r w:rsidR="00CF497E">
        <w:t>iFOBT</w:t>
      </w:r>
      <w:bookmarkEnd w:id="70"/>
      <w:proofErr w:type="spellEnd"/>
    </w:p>
    <w:p w14:paraId="7355C435" w14:textId="77777777" w:rsidR="00753189" w:rsidRDefault="00753189" w:rsidP="00753189">
      <w:pPr>
        <w:pStyle w:val="Figureheading"/>
        <w:ind w:right="1136"/>
      </w:pPr>
      <w:bookmarkStart w:id="71" w:name="_Toc377756811"/>
      <w:r>
        <w:t xml:space="preserve">Figure </w:t>
      </w:r>
      <w:r w:rsidR="009233A8">
        <w:t>1</w:t>
      </w:r>
      <w:r>
        <w:t xml:space="preserve">: Level of agreement with the statement ‘it is very reassuring if your GP or practice nurse is the one who tells you if you have a positive FOBT test result’, </w:t>
      </w:r>
      <w:proofErr w:type="spellStart"/>
      <w:r w:rsidR="006A2C8B">
        <w:t>Waitematā</w:t>
      </w:r>
      <w:proofErr w:type="spellEnd"/>
      <w:r>
        <w:t xml:space="preserve"> District Health Board, 2013</w:t>
      </w:r>
      <w:bookmarkEnd w:id="71"/>
    </w:p>
    <w:p w14:paraId="3C5512E0" w14:textId="77777777" w:rsidR="00753189" w:rsidRDefault="00753189" w:rsidP="00753189">
      <w:pPr>
        <w:spacing w:before="0"/>
        <w:rPr>
          <w:sz w:val="18"/>
        </w:rPr>
      </w:pPr>
      <w:r>
        <w:rPr>
          <w:noProof/>
          <w:lang w:eastAsia="en-NZ"/>
        </w:rPr>
        <w:drawing>
          <wp:inline distT="0" distB="0" distL="0" distR="0" wp14:anchorId="1690E95A" wp14:editId="5054DDB6">
            <wp:extent cx="4669200" cy="3042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9200" cy="3042000"/>
                    </a:xfrm>
                    <a:prstGeom prst="rect">
                      <a:avLst/>
                    </a:prstGeom>
                    <a:noFill/>
                    <a:ln>
                      <a:noFill/>
                    </a:ln>
                  </pic:spPr>
                </pic:pic>
              </a:graphicData>
            </a:graphic>
          </wp:inline>
        </w:drawing>
      </w:r>
    </w:p>
    <w:p w14:paraId="26C1EB53" w14:textId="77777777" w:rsidR="00753189" w:rsidRDefault="00753189" w:rsidP="00753189">
      <w:pPr>
        <w:spacing w:before="0"/>
        <w:rPr>
          <w:sz w:val="18"/>
        </w:rPr>
      </w:pPr>
      <w:r>
        <w:rPr>
          <w:sz w:val="18"/>
        </w:rPr>
        <w:t>Base: Respondents who have never had bowel cancer except those diagnosed by the BSP</w:t>
      </w:r>
    </w:p>
    <w:p w14:paraId="786DA1B8" w14:textId="77777777" w:rsidR="00753189" w:rsidRDefault="00753189" w:rsidP="00753189">
      <w:pPr>
        <w:spacing w:before="0"/>
        <w:rPr>
          <w:sz w:val="18"/>
        </w:rPr>
      </w:pPr>
      <w:r>
        <w:rPr>
          <w:sz w:val="18"/>
        </w:rPr>
        <w:t xml:space="preserve">Source: BSP Evaluation telephone survey, 2013 </w:t>
      </w:r>
    </w:p>
    <w:p w14:paraId="20E2167E" w14:textId="77777777" w:rsidR="00753189" w:rsidRDefault="00753189" w:rsidP="00753189">
      <w:pPr>
        <w:spacing w:before="0"/>
        <w:rPr>
          <w:sz w:val="18"/>
        </w:rPr>
      </w:pPr>
      <w:r>
        <w:rPr>
          <w:sz w:val="18"/>
        </w:rPr>
        <w:t>Note: Not asked in 2011</w:t>
      </w:r>
    </w:p>
    <w:p w14:paraId="1C85A2FD" w14:textId="77777777" w:rsidR="00753189" w:rsidRDefault="00753189" w:rsidP="00753189">
      <w:pPr>
        <w:pStyle w:val="Figureheading"/>
        <w:ind w:right="1136"/>
      </w:pPr>
      <w:bookmarkStart w:id="72" w:name="_Toc377756812"/>
      <w:r>
        <w:t xml:space="preserve">Figure </w:t>
      </w:r>
      <w:r w:rsidR="009233A8">
        <w:t>2</w:t>
      </w:r>
      <w:r>
        <w:t xml:space="preserve">: Level of agreement with the statement ‘you are happy for someone else from the screening programme to contact you if you have a positive FOBT result’, </w:t>
      </w:r>
      <w:proofErr w:type="spellStart"/>
      <w:r w:rsidR="006A2C8B">
        <w:t>Waitematā</w:t>
      </w:r>
      <w:proofErr w:type="spellEnd"/>
      <w:r>
        <w:t xml:space="preserve"> District Health Board, 2013</w:t>
      </w:r>
      <w:bookmarkEnd w:id="72"/>
    </w:p>
    <w:p w14:paraId="4DCA74C3" w14:textId="77777777" w:rsidR="00753189" w:rsidRDefault="00753189" w:rsidP="00753189">
      <w:pPr>
        <w:spacing w:before="0"/>
        <w:rPr>
          <w:sz w:val="18"/>
        </w:rPr>
      </w:pPr>
      <w:r>
        <w:rPr>
          <w:noProof/>
          <w:lang w:eastAsia="en-NZ"/>
        </w:rPr>
        <w:drawing>
          <wp:inline distT="0" distB="0" distL="0" distR="0" wp14:anchorId="62CA7BE9" wp14:editId="0D008FF6">
            <wp:extent cx="4669200" cy="30420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69200" cy="3042000"/>
                    </a:xfrm>
                    <a:prstGeom prst="rect">
                      <a:avLst/>
                    </a:prstGeom>
                    <a:noFill/>
                    <a:ln>
                      <a:noFill/>
                    </a:ln>
                  </pic:spPr>
                </pic:pic>
              </a:graphicData>
            </a:graphic>
          </wp:inline>
        </w:drawing>
      </w:r>
    </w:p>
    <w:p w14:paraId="6AEE4729" w14:textId="77777777" w:rsidR="00753189" w:rsidRDefault="00753189" w:rsidP="00753189">
      <w:pPr>
        <w:spacing w:before="0"/>
        <w:rPr>
          <w:sz w:val="18"/>
        </w:rPr>
      </w:pPr>
      <w:r>
        <w:rPr>
          <w:sz w:val="18"/>
        </w:rPr>
        <w:t>Base: Respondents who have never had bowel cancer except those diagnosed by the BSP</w:t>
      </w:r>
    </w:p>
    <w:p w14:paraId="522CE66E" w14:textId="77777777" w:rsidR="00753189" w:rsidRDefault="00753189" w:rsidP="00753189">
      <w:pPr>
        <w:spacing w:before="0"/>
        <w:rPr>
          <w:sz w:val="18"/>
        </w:rPr>
      </w:pPr>
      <w:r>
        <w:rPr>
          <w:sz w:val="18"/>
        </w:rPr>
        <w:t xml:space="preserve">Source: BSP Evaluation telephone survey, 2013 </w:t>
      </w:r>
    </w:p>
    <w:p w14:paraId="1F90F197" w14:textId="77777777" w:rsidR="00753189" w:rsidRPr="00192DD8" w:rsidRDefault="00BF1548" w:rsidP="00BF1548">
      <w:pPr>
        <w:spacing w:before="0"/>
      </w:pPr>
      <w:r>
        <w:rPr>
          <w:sz w:val="18"/>
        </w:rPr>
        <w:t>Note: Not asked in 2011</w:t>
      </w:r>
    </w:p>
    <w:sectPr w:rsidR="00753189" w:rsidRPr="00192DD8" w:rsidSect="005719A8">
      <w:headerReference w:type="even" r:id="rId25"/>
      <w:headerReference w:type="default" r:id="rId26"/>
      <w:footerReference w:type="even" r:id="rId27"/>
      <w:footerReference w:type="default" r:id="rId28"/>
      <w:headerReference w:type="first" r:id="rId29"/>
      <w:pgSz w:w="11909" w:h="16834" w:code="9"/>
      <w:pgMar w:top="1701" w:right="1134" w:bottom="1701" w:left="113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93F40" w14:textId="77777777" w:rsidR="00975754" w:rsidRDefault="00975754">
      <w:r>
        <w:separator/>
      </w:r>
    </w:p>
  </w:endnote>
  <w:endnote w:type="continuationSeparator" w:id="0">
    <w:p w14:paraId="13E1995C" w14:textId="77777777" w:rsidR="00975754" w:rsidRDefault="0097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FDCE1" w14:textId="77777777" w:rsidR="00975754" w:rsidRDefault="00975754" w:rsidP="005719A8">
    <w:pPr>
      <w:pStyle w:val="Footer"/>
      <w:jc w:val="center"/>
    </w:pPr>
    <w:r>
      <w:rPr>
        <w:noProof/>
        <w:lang w:eastAsia="en-NZ"/>
      </w:rPr>
      <w:drawing>
        <wp:inline distT="0" distB="0" distL="0" distR="0" wp14:anchorId="6C1A1AA7" wp14:editId="407D5820">
          <wp:extent cx="6657975" cy="1247775"/>
          <wp:effectExtent l="0" t="0" r="9525" b="9525"/>
          <wp:docPr id="7" name="Picture 7" descr="Address Bann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dress Banner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124777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1ACD5" w14:textId="77777777" w:rsidR="00975754" w:rsidRDefault="00975754">
    <w:pPr>
      <w:pStyle w:val="Footer"/>
      <w:jc w:val="right"/>
    </w:pPr>
    <w:r>
      <w:rPr>
        <w:rStyle w:val="PageNumber"/>
        <w:sz w:val="16"/>
      </w:rPr>
      <w:t xml:space="preserve">competency 1 </w:t>
    </w:r>
    <w:r>
      <w:rPr>
        <w:rStyle w:val="PageNumber"/>
      </w:rPr>
      <w:t>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6E67B" w14:textId="77777777" w:rsidR="00975754" w:rsidRPr="00A44D12" w:rsidRDefault="00975754" w:rsidP="005719A8">
    <w:pPr>
      <w:pStyle w:val="Footer"/>
    </w:pPr>
    <w:r>
      <w:rPr>
        <w:noProof/>
        <w:lang w:eastAsia="en-NZ"/>
      </w:rPr>
      <w:drawing>
        <wp:inline distT="0" distB="0" distL="0" distR="0" wp14:anchorId="23AAAD5A" wp14:editId="65C9147C">
          <wp:extent cx="5762625" cy="952500"/>
          <wp:effectExtent l="0" t="0" r="9525" b="0"/>
          <wp:docPr id="10" name="Picture 10" descr="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95250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2D808" w14:textId="77777777" w:rsidR="00975754" w:rsidRPr="00C12B25" w:rsidRDefault="00975754" w:rsidP="005719A8">
    <w:pPr>
      <w:pStyle w:val="Footer"/>
      <w:jc w:val="right"/>
    </w:pPr>
    <w:r>
      <w:rPr>
        <w:noProof/>
        <w:lang w:eastAsia="en-NZ"/>
      </w:rPr>
      <w:drawing>
        <wp:inline distT="0" distB="0" distL="0" distR="0" wp14:anchorId="6E23BB20" wp14:editId="6BCEB1E9">
          <wp:extent cx="1000125" cy="304800"/>
          <wp:effectExtent l="0" t="0" r="9525" b="0"/>
          <wp:docPr id="11" name="Picture 11" descr="LIT_Logo 2010_Colou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_Logo 2010_Colou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304800"/>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81346" w14:textId="77777777" w:rsidR="00975754" w:rsidRDefault="00975754" w:rsidP="005719A8">
    <w:pPr>
      <w:pStyle w:val="Footer"/>
      <w:tabs>
        <w:tab w:val="left" w:pos="851"/>
      </w:tabs>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r>
    <w:r>
      <w:rPr>
        <w:noProof/>
        <w:lang w:eastAsia="en-NZ"/>
      </w:rPr>
      <w:drawing>
        <wp:inline distT="0" distB="0" distL="0" distR="0" wp14:anchorId="738C1813" wp14:editId="60848869">
          <wp:extent cx="895350" cy="238125"/>
          <wp:effectExtent l="0" t="0" r="0" b="9525"/>
          <wp:docPr id="4" name="Picture 4" descr="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B&amp;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38125"/>
                  </a:xfrm>
                  <a:prstGeom prst="rect">
                    <a:avLst/>
                  </a:prstGeom>
                  <a:noFill/>
                  <a:ln>
                    <a:noFill/>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0F87F" w14:textId="77777777" w:rsidR="00975754" w:rsidRPr="00C12B25" w:rsidRDefault="00975754" w:rsidP="005719A8">
    <w:pPr>
      <w:pStyle w:val="Footer"/>
      <w:tabs>
        <w:tab w:val="right" w:pos="8789"/>
        <w:tab w:val="right" w:pos="9639"/>
      </w:tabs>
    </w:pPr>
    <w:r>
      <w:rPr>
        <w:noProof/>
        <w:szCs w:val="20"/>
        <w:lang w:eastAsia="en-NZ"/>
      </w:rPr>
      <w:drawing>
        <wp:anchor distT="0" distB="0" distL="114300" distR="114300" simplePos="0" relativeHeight="251657728" behindDoc="1" locked="0" layoutInCell="1" allowOverlap="1" wp14:anchorId="5772198E" wp14:editId="4F4B4EA0">
          <wp:simplePos x="0" y="0"/>
          <wp:positionH relativeFrom="column">
            <wp:posOffset>4817745</wp:posOffset>
          </wp:positionH>
          <wp:positionV relativeFrom="paragraph">
            <wp:posOffset>-93345</wp:posOffset>
          </wp:positionV>
          <wp:extent cx="999490" cy="304800"/>
          <wp:effectExtent l="0" t="0" r="0" b="0"/>
          <wp:wrapNone/>
          <wp:docPr id="1" name="Picture 2" descr="LIT_Logo 2010_Colou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T_Logo 2010_Colou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490" cy="304800"/>
                  </a:xfrm>
                  <a:prstGeom prst="rect">
                    <a:avLst/>
                  </a:prstGeom>
                  <a:noFill/>
                </pic:spPr>
              </pic:pic>
            </a:graphicData>
          </a:graphic>
        </wp:anchor>
      </w:drawing>
    </w:r>
    <w:r>
      <w:tab/>
    </w:r>
    <w:r>
      <w:tab/>
    </w:r>
    <w:r>
      <w:rPr>
        <w:rStyle w:val="PageNumber"/>
      </w:rPr>
      <w:fldChar w:fldCharType="begin"/>
    </w:r>
    <w:r>
      <w:rPr>
        <w:rStyle w:val="PageNumber"/>
      </w:rPr>
      <w:instrText xml:space="preserve"> PAGE </w:instrText>
    </w:r>
    <w:r>
      <w:rPr>
        <w:rStyle w:val="PageNumber"/>
      </w:rPr>
      <w:fldChar w:fldCharType="separate"/>
    </w:r>
    <w:r w:rsidR="003A77B7">
      <w:rPr>
        <w:rStyle w:val="PageNumber"/>
        <w:noProof/>
      </w:rPr>
      <w:t>44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F7C93" w14:textId="77777777" w:rsidR="00975754" w:rsidRDefault="00975754" w:rsidP="005719A8">
      <w:pPr>
        <w:spacing w:before="0"/>
        <w:ind w:left="0"/>
      </w:pPr>
      <w:r>
        <w:separator/>
      </w:r>
    </w:p>
  </w:footnote>
  <w:footnote w:type="continuationSeparator" w:id="0">
    <w:p w14:paraId="55E36A12" w14:textId="77777777" w:rsidR="00975754" w:rsidRDefault="00975754">
      <w:r>
        <w:continuationSeparator/>
      </w:r>
    </w:p>
  </w:footnote>
  <w:footnote w:id="1">
    <w:p w14:paraId="17143B80" w14:textId="77777777" w:rsidR="00975754" w:rsidRDefault="00975754" w:rsidP="00AB4993">
      <w:pPr>
        <w:pStyle w:val="FootnoteText"/>
      </w:pPr>
      <w:r>
        <w:rPr>
          <w:rStyle w:val="FootnoteReference"/>
        </w:rPr>
        <w:footnoteRef/>
      </w:r>
      <w:r>
        <w:tab/>
        <w:t xml:space="preserve">WDHB was named as the pilot bowel screening site in December 2010 </w:t>
      </w:r>
      <w:hyperlink r:id="rId1" w:history="1">
        <w:r>
          <w:rPr>
            <w:rStyle w:val="Hyperlink"/>
          </w:rPr>
          <w:t>http://beehive.govt.nz/release/waitemata-named-bowel-screening-pilot-site</w:t>
        </w:r>
      </w:hyperlink>
      <w:r>
        <w:t xml:space="preserve"> accessed 22 February 2012.</w:t>
      </w:r>
    </w:p>
  </w:footnote>
  <w:footnote w:id="2">
    <w:p w14:paraId="7E3B5C23" w14:textId="77777777" w:rsidR="00975754" w:rsidRDefault="00975754" w:rsidP="00AB4993">
      <w:pPr>
        <w:pStyle w:val="FootnoteText"/>
      </w:pPr>
      <w:r>
        <w:rPr>
          <w:rStyle w:val="FootnoteReference"/>
        </w:rPr>
        <w:footnoteRef/>
      </w:r>
      <w:r>
        <w:tab/>
        <w:t xml:space="preserve">Refer to the </w:t>
      </w:r>
      <w:r>
        <w:rPr>
          <w:i/>
        </w:rPr>
        <w:t xml:space="preserve">Evaluation Plan for the Bowel Screening Pilot 2011–2016 </w:t>
      </w:r>
      <w:r>
        <w:t>(Litmus 2011) for details of evaluation activities.</w:t>
      </w:r>
    </w:p>
  </w:footnote>
  <w:footnote w:id="3">
    <w:p w14:paraId="464AA539" w14:textId="77777777" w:rsidR="00975754" w:rsidRDefault="00975754" w:rsidP="00AB4993">
      <w:pPr>
        <w:pStyle w:val="FootnoteText"/>
      </w:pPr>
      <w:r>
        <w:rPr>
          <w:rStyle w:val="FootnoteReference"/>
        </w:rPr>
        <w:footnoteRef/>
      </w:r>
      <w:r>
        <w:tab/>
        <w:t xml:space="preserve">Referred to internationally as </w:t>
      </w:r>
      <w:r w:rsidRPr="000C3E41">
        <w:t>Faecal Immunochemical Test for Haemoglobin</w:t>
      </w:r>
      <w:r>
        <w:t xml:space="preserve"> (FIT)</w:t>
      </w:r>
    </w:p>
  </w:footnote>
  <w:footnote w:id="4">
    <w:p w14:paraId="38B154F3" w14:textId="77777777" w:rsidR="00975754" w:rsidRDefault="00975754">
      <w:pPr>
        <w:pStyle w:val="FootnoteText"/>
      </w:pPr>
      <w:r>
        <w:rPr>
          <w:rStyle w:val="FootnoteReference"/>
        </w:rPr>
        <w:footnoteRef/>
      </w:r>
      <w:r>
        <w:tab/>
        <w:t xml:space="preserve">Large practices had more than a 1000 patients enrolled, medium between 500 to 1000, and small less than 500. </w:t>
      </w:r>
    </w:p>
  </w:footnote>
  <w:footnote w:id="5">
    <w:p w14:paraId="0614AE92" w14:textId="77777777" w:rsidR="00975754" w:rsidRDefault="00975754">
      <w:pPr>
        <w:pStyle w:val="FootnoteText"/>
      </w:pPr>
      <w:r>
        <w:rPr>
          <w:rStyle w:val="FootnoteReference"/>
        </w:rPr>
        <w:footnoteRef/>
      </w:r>
      <w:r>
        <w:t xml:space="preserve"> No participants were diagnosed with cancer.</w:t>
      </w:r>
    </w:p>
  </w:footnote>
  <w:footnote w:id="6">
    <w:p w14:paraId="6279C4AB" w14:textId="77777777" w:rsidR="00975754" w:rsidRDefault="00975754">
      <w:pPr>
        <w:pStyle w:val="FootnoteText"/>
      </w:pPr>
      <w:r>
        <w:rPr>
          <w:rStyle w:val="FootnoteReference"/>
        </w:rPr>
        <w:footnoteRef/>
      </w:r>
      <w:r>
        <w:tab/>
        <w:t xml:space="preserve">Litmus 2013 and Phoenix 2013 highlighted that BSP participants were incorrectly reading the consent form and assumed that by ticking the box their GP would be informed about their results.  From 19 February 2014 a revised consent form is being introduced that does not have a tick box on whether participants want their GP to be informed of their </w:t>
      </w:r>
      <w:proofErr w:type="spellStart"/>
      <w:r>
        <w:t>iFOBT</w:t>
      </w:r>
      <w:proofErr w:type="spellEnd"/>
      <w:r>
        <w:t xml:space="preserve"> results.  </w:t>
      </w:r>
    </w:p>
  </w:footnote>
  <w:footnote w:id="7">
    <w:p w14:paraId="747AC5B6" w14:textId="77777777" w:rsidR="00975754" w:rsidRDefault="00975754" w:rsidP="00AF1B7E">
      <w:pPr>
        <w:pStyle w:val="FootnoteText"/>
      </w:pPr>
      <w:r>
        <w:rPr>
          <w:rStyle w:val="FootnoteReference"/>
        </w:rPr>
        <w:footnoteRef/>
      </w:r>
      <w:r>
        <w:t xml:space="preserve"> </w:t>
      </w:r>
      <w:r>
        <w:tab/>
        <w:t>Data presented is based on the weighted data.</w:t>
      </w:r>
    </w:p>
  </w:footnote>
  <w:footnote w:id="8">
    <w:p w14:paraId="24FFBF0B" w14:textId="77777777" w:rsidR="00975754" w:rsidRDefault="00975754">
      <w:pPr>
        <w:pStyle w:val="FootnoteText"/>
      </w:pPr>
      <w:r>
        <w:rPr>
          <w:rStyle w:val="FootnoteReference"/>
        </w:rPr>
        <w:footnoteRef/>
      </w:r>
      <w:r>
        <w:t xml:space="preserve"> </w:t>
      </w:r>
      <w:r>
        <w:tab/>
      </w:r>
      <w:r w:rsidRPr="00B70650">
        <w:rPr>
          <w:lang w:val="en-US"/>
        </w:rPr>
        <w:t xml:space="preserve">Both the qualitative interviews and the quantitative survey highlighted that </w:t>
      </w:r>
      <w:r>
        <w:rPr>
          <w:lang w:val="en-US"/>
        </w:rPr>
        <w:t>some</w:t>
      </w:r>
      <w:r w:rsidRPr="00B70650">
        <w:rPr>
          <w:lang w:val="en-US"/>
        </w:rPr>
        <w:t xml:space="preserve"> BSP participants do not recall how they received th</w:t>
      </w:r>
      <w:r>
        <w:rPr>
          <w:lang w:val="en-US"/>
        </w:rPr>
        <w:t>e news of their results.</w:t>
      </w:r>
      <w:r w:rsidRPr="00B70650">
        <w:rPr>
          <w:lang w:val="en-US"/>
        </w:rPr>
        <w:t xml:space="preserve">  </w:t>
      </w:r>
    </w:p>
  </w:footnote>
  <w:footnote w:id="9">
    <w:p w14:paraId="0250E071" w14:textId="77777777" w:rsidR="00975754" w:rsidRDefault="00975754">
      <w:pPr>
        <w:pStyle w:val="FootnoteText"/>
      </w:pPr>
      <w:r>
        <w:rPr>
          <w:rStyle w:val="FootnoteReference"/>
        </w:rPr>
        <w:footnoteRef/>
      </w:r>
      <w:r>
        <w:t xml:space="preserve"> </w:t>
      </w:r>
      <w:r>
        <w:tab/>
      </w:r>
      <w:r w:rsidRPr="00B43A01">
        <w:rPr>
          <w:lang w:val="en-US"/>
        </w:rPr>
        <w:t xml:space="preserve">The BSP Coordination Centre is aware of this issue, the consent form has been revised and </w:t>
      </w:r>
      <w:r>
        <w:rPr>
          <w:lang w:val="en-US"/>
        </w:rPr>
        <w:t xml:space="preserve">the new version </w:t>
      </w:r>
      <w:r w:rsidRPr="00B43A01">
        <w:rPr>
          <w:lang w:val="en-US"/>
        </w:rPr>
        <w:t xml:space="preserve">will be used in screening round two </w:t>
      </w:r>
      <w:r>
        <w:rPr>
          <w:lang w:val="en-US"/>
        </w:rPr>
        <w:t xml:space="preserve">from February </w:t>
      </w:r>
      <w:r w:rsidRPr="00B43A01">
        <w:rPr>
          <w:lang w:val="en-US"/>
        </w:rPr>
        <w:t xml:space="preserve">2014. </w:t>
      </w:r>
    </w:p>
  </w:footnote>
  <w:footnote w:id="10">
    <w:p w14:paraId="73BF018D" w14:textId="77777777" w:rsidR="00975754" w:rsidRDefault="00975754">
      <w:pPr>
        <w:pStyle w:val="FootnoteText"/>
      </w:pPr>
      <w:r>
        <w:rPr>
          <w:rStyle w:val="FootnoteReference"/>
        </w:rPr>
        <w:footnoteRef/>
      </w:r>
      <w:r>
        <w:t xml:space="preserve"> </w:t>
      </w:r>
      <w:r>
        <w:tab/>
        <w:t xml:space="preserve">The term ‘screening unit’ was used in the survey. </w:t>
      </w:r>
    </w:p>
  </w:footnote>
  <w:footnote w:id="11">
    <w:p w14:paraId="01AB6867" w14:textId="77777777" w:rsidR="00975754" w:rsidRDefault="00975754">
      <w:pPr>
        <w:pStyle w:val="FootnoteText"/>
      </w:pPr>
      <w:r>
        <w:rPr>
          <w:rStyle w:val="FootnoteReference"/>
        </w:rPr>
        <w:footnoteRef/>
      </w:r>
      <w:r>
        <w:t xml:space="preserve"> </w:t>
      </w:r>
      <w:r>
        <w:tab/>
        <w:t xml:space="preserve">BSP participants do not pay to see the GP if they have an appointment to discuss a positive </w:t>
      </w:r>
      <w:proofErr w:type="spellStart"/>
      <w:r>
        <w:t>iFOBT</w:t>
      </w:r>
      <w:proofErr w:type="spellEnd"/>
      <w:r>
        <w:t xml:space="preserve"> result. </w:t>
      </w:r>
    </w:p>
  </w:footnote>
  <w:footnote w:id="12">
    <w:p w14:paraId="27D0EA4C" w14:textId="77777777" w:rsidR="00975754" w:rsidRDefault="00975754">
      <w:pPr>
        <w:pStyle w:val="FootnoteText"/>
      </w:pPr>
      <w:r>
        <w:rPr>
          <w:rStyle w:val="FootnoteReference"/>
        </w:rPr>
        <w:footnoteRef/>
      </w:r>
      <w:r>
        <w:t xml:space="preserve"> </w:t>
      </w:r>
      <w:r>
        <w:tab/>
        <w:t xml:space="preserve">From January to June 2013, </w:t>
      </w:r>
      <w:r w:rsidRPr="0035575D">
        <w:t xml:space="preserve">0.76% of participants have a failed colonoscopy due to poor bowel preparation </w:t>
      </w:r>
      <w:r>
        <w:t xml:space="preserve">which is within the indicator of less than 5% (WDHB 2013b). </w:t>
      </w:r>
    </w:p>
  </w:footnote>
  <w:footnote w:id="13">
    <w:p w14:paraId="14B925E7" w14:textId="77777777" w:rsidR="00975754" w:rsidRDefault="00975754">
      <w:pPr>
        <w:pStyle w:val="FootnoteText"/>
      </w:pPr>
      <w:r>
        <w:rPr>
          <w:rStyle w:val="FootnoteReference"/>
        </w:rPr>
        <w:footnoteRef/>
      </w:r>
      <w:r>
        <w:t xml:space="preserve"> </w:t>
      </w:r>
      <w:r>
        <w:tab/>
        <w:t xml:space="preserve">CNSs are aware of the need to use translators for Pacific participants and offer a translator (at times even when the Pacific participant states they do not want one).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1A8AC" w14:textId="77777777" w:rsidR="00975754" w:rsidRDefault="00975754">
    <w:pPr>
      <w:pStyle w:val="Header"/>
    </w:pPr>
    <w:r>
      <w:t>TMS Beyond Today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76E17" w14:textId="77777777" w:rsidR="00975754" w:rsidRDefault="00975754">
    <w:pPr>
      <w:pStyle w:val="Header"/>
    </w:pPr>
    <w:r>
      <w:t>Evaluation of the Bowel Screening Pilot – Role of General Practice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3E152" w14:textId="77777777" w:rsidR="00975754" w:rsidRDefault="009757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60CEB" w14:textId="77777777" w:rsidR="00975754" w:rsidRDefault="0097575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3BD51" w14:textId="77777777" w:rsidR="00975754" w:rsidRDefault="00975754">
    <w:pPr>
      <w:pStyle w:val="Header"/>
    </w:pPr>
    <w:r>
      <w:t>Evaluation of the Bowel Screening Pilot – General Practices’ Role and Value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55A01" w14:textId="77777777" w:rsidR="00975754" w:rsidRDefault="009757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numFmt w:val="none"/>
      <w:lvlText w:val=""/>
      <w:lvlJc w:val="left"/>
    </w:lvl>
    <w:lvl w:ilvl="1">
      <w:numFmt w:val="none"/>
      <w:lvlText w:val=""/>
      <w:lvlJc w:val="left"/>
    </w:lvl>
    <w:lvl w:ilvl="2">
      <w:numFmt w:val="none"/>
      <w:lvlText w:val=""/>
      <w:lvlJc w:val="left"/>
    </w:lvl>
    <w:lvl w:ilvl="3">
      <w:numFmt w:val="decimal"/>
      <w:lvlText w:val="%4"/>
      <w:legacy w:legacy="1" w:legacySpace="0" w:legacyIndent="0"/>
      <w:lvlJc w:val="left"/>
      <w:rPr>
        <w:rFonts w:ascii="Tms Rmn" w:hAnsi="Tms Rmn" w:hint="default"/>
      </w:rPr>
    </w:lvl>
    <w:lvl w:ilvl="4">
      <w:numFmt w:val="decimal"/>
      <w:lvlText w:val="%5"/>
      <w:legacy w:legacy="1" w:legacySpace="0" w:legacyIndent="0"/>
      <w:lvlJc w:val="left"/>
      <w:rPr>
        <w:rFonts w:ascii="Tms Rmn" w:hAnsi="Tms Rmn" w:hint="default"/>
      </w:rPr>
    </w:lvl>
    <w:lvl w:ilvl="5">
      <w:numFmt w:val="decimal"/>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nsid w:val="18F51FF4"/>
    <w:multiLevelType w:val="singleLevel"/>
    <w:tmpl w:val="3878BE40"/>
    <w:lvl w:ilvl="0">
      <w:start w:val="1"/>
      <w:numFmt w:val="bullet"/>
      <w:pStyle w:val="Bullet"/>
      <w:lvlText w:val=""/>
      <w:lvlJc w:val="left"/>
      <w:pPr>
        <w:tabs>
          <w:tab w:val="num" w:pos="1134"/>
        </w:tabs>
        <w:ind w:left="1134" w:hanging="567"/>
      </w:pPr>
      <w:rPr>
        <w:rFonts w:ascii="Wingdings" w:hAnsi="Wingdings" w:hint="default"/>
        <w:sz w:val="12"/>
      </w:rPr>
    </w:lvl>
  </w:abstractNum>
  <w:abstractNum w:abstractNumId="2">
    <w:nsid w:val="1B0E2F77"/>
    <w:multiLevelType w:val="hybridMultilevel"/>
    <w:tmpl w:val="54A0F0E4"/>
    <w:lvl w:ilvl="0" w:tplc="14090005">
      <w:start w:val="1"/>
      <w:numFmt w:val="bullet"/>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
    <w:nsid w:val="1C5D4F9D"/>
    <w:multiLevelType w:val="hybridMultilevel"/>
    <w:tmpl w:val="11541A86"/>
    <w:lvl w:ilvl="0" w:tplc="1409000F">
      <w:start w:val="1"/>
      <w:numFmt w:val="decimal"/>
      <w:lvlText w:val="%1."/>
      <w:lvlJc w:val="left"/>
      <w:pPr>
        <w:ind w:left="1494" w:hanging="360"/>
      </w:pPr>
      <w:rPr>
        <w:rFonts w:hint="default"/>
      </w:rPr>
    </w:lvl>
    <w:lvl w:ilvl="1" w:tplc="14090003">
      <w:start w:val="1"/>
      <w:numFmt w:val="bullet"/>
      <w:lvlText w:val="o"/>
      <w:lvlJc w:val="left"/>
      <w:pPr>
        <w:ind w:left="2214" w:hanging="360"/>
      </w:pPr>
      <w:rPr>
        <w:rFonts w:ascii="Courier New" w:hAnsi="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4">
    <w:nsid w:val="2601264E"/>
    <w:multiLevelType w:val="multilevel"/>
    <w:tmpl w:val="824E8FC4"/>
    <w:lvl w:ilvl="0">
      <w:start w:val="1"/>
      <w:numFmt w:val="decimal"/>
      <w:pStyle w:val="List7"/>
      <w:lvlText w:val="%1."/>
      <w:lvlJc w:val="left"/>
      <w:pPr>
        <w:tabs>
          <w:tab w:val="num" w:pos="927"/>
        </w:tabs>
        <w:ind w:left="927" w:hanging="360"/>
      </w:pPr>
      <w:rPr>
        <w:rFonts w:cs="Times New Roman"/>
      </w:rPr>
    </w:lvl>
    <w:lvl w:ilvl="1">
      <w:start w:val="2"/>
      <w:numFmt w:val="decimal"/>
      <w:isLgl/>
      <w:lvlText w:val="%1.%2"/>
      <w:lvlJc w:val="left"/>
      <w:pPr>
        <w:tabs>
          <w:tab w:val="num" w:pos="927"/>
        </w:tabs>
        <w:ind w:left="927" w:hanging="360"/>
      </w:pPr>
      <w:rPr>
        <w:rFonts w:cs="Times New Roman"/>
      </w:rPr>
    </w:lvl>
    <w:lvl w:ilvl="2">
      <w:start w:val="1"/>
      <w:numFmt w:val="decimal"/>
      <w:isLgl/>
      <w:lvlText w:val="%1.%2.%3"/>
      <w:lvlJc w:val="left"/>
      <w:pPr>
        <w:tabs>
          <w:tab w:val="num" w:pos="1287"/>
        </w:tabs>
        <w:ind w:left="1287" w:hanging="720"/>
      </w:pPr>
      <w:rPr>
        <w:rFonts w:cs="Times New Roman"/>
      </w:rPr>
    </w:lvl>
    <w:lvl w:ilvl="3">
      <w:start w:val="1"/>
      <w:numFmt w:val="decimal"/>
      <w:isLgl/>
      <w:lvlText w:val="%1.%2.%3.%4"/>
      <w:lvlJc w:val="left"/>
      <w:pPr>
        <w:tabs>
          <w:tab w:val="num" w:pos="1287"/>
        </w:tabs>
        <w:ind w:left="1287" w:hanging="720"/>
      </w:pPr>
      <w:rPr>
        <w:rFonts w:cs="Times New Roman"/>
      </w:rPr>
    </w:lvl>
    <w:lvl w:ilvl="4">
      <w:start w:val="1"/>
      <w:numFmt w:val="decimal"/>
      <w:isLgl/>
      <w:lvlText w:val="%1.%2.%3.%4.%5"/>
      <w:lvlJc w:val="left"/>
      <w:pPr>
        <w:tabs>
          <w:tab w:val="num" w:pos="1287"/>
        </w:tabs>
        <w:ind w:left="1287" w:hanging="720"/>
      </w:pPr>
      <w:rPr>
        <w:rFonts w:cs="Times New Roman"/>
      </w:rPr>
    </w:lvl>
    <w:lvl w:ilvl="5">
      <w:start w:val="1"/>
      <w:numFmt w:val="decimal"/>
      <w:isLgl/>
      <w:lvlText w:val="%1.%2.%3.%4.%5.%6"/>
      <w:lvlJc w:val="left"/>
      <w:pPr>
        <w:tabs>
          <w:tab w:val="num" w:pos="1647"/>
        </w:tabs>
        <w:ind w:left="1647" w:hanging="1080"/>
      </w:pPr>
      <w:rPr>
        <w:rFonts w:cs="Times New Roman"/>
      </w:rPr>
    </w:lvl>
    <w:lvl w:ilvl="6">
      <w:start w:val="1"/>
      <w:numFmt w:val="decimal"/>
      <w:isLgl/>
      <w:lvlText w:val="%1.%2.%3.%4.%5.%6.%7"/>
      <w:lvlJc w:val="left"/>
      <w:pPr>
        <w:tabs>
          <w:tab w:val="num" w:pos="1647"/>
        </w:tabs>
        <w:ind w:left="1647" w:hanging="1080"/>
      </w:pPr>
      <w:rPr>
        <w:rFonts w:cs="Times New Roman"/>
      </w:rPr>
    </w:lvl>
    <w:lvl w:ilvl="7">
      <w:start w:val="1"/>
      <w:numFmt w:val="decimal"/>
      <w:isLgl/>
      <w:lvlText w:val="%1.%2.%3.%4.%5.%6.%7.%8"/>
      <w:lvlJc w:val="left"/>
      <w:pPr>
        <w:tabs>
          <w:tab w:val="num" w:pos="2007"/>
        </w:tabs>
        <w:ind w:left="2007" w:hanging="1440"/>
      </w:pPr>
      <w:rPr>
        <w:rFonts w:cs="Times New Roman"/>
      </w:rPr>
    </w:lvl>
    <w:lvl w:ilvl="8">
      <w:start w:val="1"/>
      <w:numFmt w:val="decimal"/>
      <w:isLgl/>
      <w:lvlText w:val="%1.%2.%3.%4.%5.%6.%7.%8.%9"/>
      <w:lvlJc w:val="left"/>
      <w:pPr>
        <w:tabs>
          <w:tab w:val="num" w:pos="2007"/>
        </w:tabs>
        <w:ind w:left="2007" w:hanging="1440"/>
      </w:pPr>
      <w:rPr>
        <w:rFonts w:cs="Times New Roman"/>
      </w:rPr>
    </w:lvl>
  </w:abstractNum>
  <w:abstractNum w:abstractNumId="5">
    <w:nsid w:val="35F538C8"/>
    <w:multiLevelType w:val="singleLevel"/>
    <w:tmpl w:val="04FC9F52"/>
    <w:lvl w:ilvl="0">
      <w:start w:val="1"/>
      <w:numFmt w:val="bullet"/>
      <w:pStyle w:val="TableBullet"/>
      <w:lvlText w:val=""/>
      <w:lvlJc w:val="left"/>
      <w:pPr>
        <w:tabs>
          <w:tab w:val="num" w:pos="284"/>
        </w:tabs>
        <w:ind w:left="284" w:hanging="284"/>
      </w:pPr>
      <w:rPr>
        <w:rFonts w:ascii="Wingdings" w:hAnsi="Wingdings" w:hint="default"/>
        <w:sz w:val="12"/>
        <w:szCs w:val="12"/>
      </w:rPr>
    </w:lvl>
  </w:abstractNum>
  <w:abstractNum w:abstractNumId="6">
    <w:nsid w:val="3FB365F1"/>
    <w:multiLevelType w:val="singleLevel"/>
    <w:tmpl w:val="64825B68"/>
    <w:lvl w:ilvl="0">
      <w:start w:val="1"/>
      <w:numFmt w:val="bullet"/>
      <w:pStyle w:val="BoxBullet"/>
      <w:lvlText w:val=""/>
      <w:lvlJc w:val="left"/>
      <w:pPr>
        <w:tabs>
          <w:tab w:val="num" w:pos="1134"/>
        </w:tabs>
        <w:ind w:left="1134" w:hanging="283"/>
      </w:pPr>
      <w:rPr>
        <w:rFonts w:ascii="Wingdings" w:hAnsi="Wingdings" w:hint="default"/>
        <w:sz w:val="12"/>
        <w:szCs w:val="12"/>
      </w:rPr>
    </w:lvl>
  </w:abstractNum>
  <w:abstractNum w:abstractNumId="7">
    <w:nsid w:val="454647EA"/>
    <w:multiLevelType w:val="hybridMultilevel"/>
    <w:tmpl w:val="B6903B0E"/>
    <w:lvl w:ilvl="0" w:tplc="14090005">
      <w:start w:val="1"/>
      <w:numFmt w:val="bullet"/>
      <w:pStyle w:val="List8"/>
      <w:lvlText w:val=""/>
      <w:lvlJc w:val="left"/>
      <w:pPr>
        <w:ind w:left="1069" w:hanging="360"/>
      </w:pPr>
      <w:rPr>
        <w:rFonts w:ascii="Wingdings" w:hAnsi="Wingdings" w:hint="default"/>
      </w:rPr>
    </w:lvl>
    <w:lvl w:ilvl="1" w:tplc="E152ACF2">
      <w:start w:val="1"/>
      <w:numFmt w:val="bullet"/>
      <w:lvlText w:val="­"/>
      <w:lvlJc w:val="left"/>
      <w:pPr>
        <w:ind w:left="1789" w:hanging="360"/>
      </w:pPr>
      <w:rPr>
        <w:rFonts w:ascii="Courier New" w:hAnsi="Courier New" w:hint="default"/>
      </w:rPr>
    </w:lvl>
    <w:lvl w:ilvl="2" w:tplc="14090005">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8">
    <w:nsid w:val="5232121C"/>
    <w:multiLevelType w:val="hybridMultilevel"/>
    <w:tmpl w:val="F0385540"/>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577E4B3B"/>
    <w:multiLevelType w:val="hybridMultilevel"/>
    <w:tmpl w:val="75DAB86C"/>
    <w:lvl w:ilvl="0" w:tplc="14090005">
      <w:start w:val="1"/>
      <w:numFmt w:val="bullet"/>
      <w:lvlText w:val=""/>
      <w:lvlJc w:val="left"/>
      <w:pPr>
        <w:ind w:left="1429" w:hanging="360"/>
      </w:pPr>
      <w:rPr>
        <w:rFonts w:ascii="Wingdings" w:hAnsi="Wingdings" w:hint="default"/>
      </w:rPr>
    </w:lvl>
    <w:lvl w:ilvl="1" w:tplc="E152ACF2">
      <w:start w:val="1"/>
      <w:numFmt w:val="bullet"/>
      <w:lvlText w:val="­"/>
      <w:lvlJc w:val="left"/>
      <w:pPr>
        <w:ind w:left="2149" w:hanging="360"/>
      </w:pPr>
      <w:rPr>
        <w:rFonts w:ascii="Courier New" w:hAnsi="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0">
    <w:nsid w:val="59596B6A"/>
    <w:multiLevelType w:val="hybridMultilevel"/>
    <w:tmpl w:val="213EB2AE"/>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color w:val="auto"/>
        <w:sz w:val="20"/>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nsid w:val="685E3AB9"/>
    <w:multiLevelType w:val="singleLevel"/>
    <w:tmpl w:val="695C6584"/>
    <w:lvl w:ilvl="0">
      <w:start w:val="1"/>
      <w:numFmt w:val="bullet"/>
      <w:pStyle w:val="Dash"/>
      <w:lvlText w:val="–"/>
      <w:lvlJc w:val="left"/>
      <w:pPr>
        <w:tabs>
          <w:tab w:val="num" w:pos="567"/>
        </w:tabs>
        <w:ind w:left="567" w:hanging="567"/>
      </w:pPr>
      <w:rPr>
        <w:rFonts w:ascii="Times New Roman" w:hAnsi="Times New Roman" w:hint="default"/>
        <w:sz w:val="24"/>
      </w:rPr>
    </w:lvl>
  </w:abstractNum>
  <w:abstractNum w:abstractNumId="12">
    <w:nsid w:val="6FC94815"/>
    <w:multiLevelType w:val="hybridMultilevel"/>
    <w:tmpl w:val="181AE96C"/>
    <w:lvl w:ilvl="0" w:tplc="14090005">
      <w:start w:val="1"/>
      <w:numFmt w:val="bullet"/>
      <w:lvlText w:val=""/>
      <w:lvlJc w:val="left"/>
      <w:pPr>
        <w:tabs>
          <w:tab w:val="num" w:pos="471"/>
        </w:tabs>
        <w:ind w:left="471" w:hanging="360"/>
      </w:pPr>
      <w:rPr>
        <w:rFonts w:ascii="Wingdings" w:hAnsi="Wingdings" w:hint="default"/>
      </w:rPr>
    </w:lvl>
    <w:lvl w:ilvl="1" w:tplc="E152ACF2">
      <w:start w:val="1"/>
      <w:numFmt w:val="bullet"/>
      <w:lvlText w:val="­"/>
      <w:lvlJc w:val="left"/>
      <w:pPr>
        <w:tabs>
          <w:tab w:val="num" w:pos="1191"/>
        </w:tabs>
        <w:ind w:left="1191" w:hanging="360"/>
      </w:pPr>
      <w:rPr>
        <w:rFonts w:ascii="Courier New" w:hAnsi="Courier New" w:hint="default"/>
      </w:rPr>
    </w:lvl>
    <w:lvl w:ilvl="2" w:tplc="08090005" w:tentative="1">
      <w:start w:val="1"/>
      <w:numFmt w:val="bullet"/>
      <w:lvlText w:val=""/>
      <w:lvlJc w:val="left"/>
      <w:pPr>
        <w:tabs>
          <w:tab w:val="num" w:pos="1911"/>
        </w:tabs>
        <w:ind w:left="1911" w:hanging="360"/>
      </w:pPr>
      <w:rPr>
        <w:rFonts w:ascii="Wingdings" w:hAnsi="Wingdings" w:hint="default"/>
      </w:rPr>
    </w:lvl>
    <w:lvl w:ilvl="3" w:tplc="08090001" w:tentative="1">
      <w:start w:val="1"/>
      <w:numFmt w:val="bullet"/>
      <w:lvlText w:val=""/>
      <w:lvlJc w:val="left"/>
      <w:pPr>
        <w:tabs>
          <w:tab w:val="num" w:pos="2631"/>
        </w:tabs>
        <w:ind w:left="2631" w:hanging="360"/>
      </w:pPr>
      <w:rPr>
        <w:rFonts w:ascii="Symbol" w:hAnsi="Symbol" w:hint="default"/>
      </w:rPr>
    </w:lvl>
    <w:lvl w:ilvl="4" w:tplc="08090003" w:tentative="1">
      <w:start w:val="1"/>
      <w:numFmt w:val="bullet"/>
      <w:lvlText w:val="o"/>
      <w:lvlJc w:val="left"/>
      <w:pPr>
        <w:tabs>
          <w:tab w:val="num" w:pos="3351"/>
        </w:tabs>
        <w:ind w:left="3351" w:hanging="360"/>
      </w:pPr>
      <w:rPr>
        <w:rFonts w:ascii="Courier New" w:hAnsi="Courier New" w:cs="Courier New" w:hint="default"/>
      </w:rPr>
    </w:lvl>
    <w:lvl w:ilvl="5" w:tplc="08090005" w:tentative="1">
      <w:start w:val="1"/>
      <w:numFmt w:val="bullet"/>
      <w:lvlText w:val=""/>
      <w:lvlJc w:val="left"/>
      <w:pPr>
        <w:tabs>
          <w:tab w:val="num" w:pos="4071"/>
        </w:tabs>
        <w:ind w:left="4071" w:hanging="360"/>
      </w:pPr>
      <w:rPr>
        <w:rFonts w:ascii="Wingdings" w:hAnsi="Wingdings" w:hint="default"/>
      </w:rPr>
    </w:lvl>
    <w:lvl w:ilvl="6" w:tplc="08090001" w:tentative="1">
      <w:start w:val="1"/>
      <w:numFmt w:val="bullet"/>
      <w:lvlText w:val=""/>
      <w:lvlJc w:val="left"/>
      <w:pPr>
        <w:tabs>
          <w:tab w:val="num" w:pos="4791"/>
        </w:tabs>
        <w:ind w:left="4791" w:hanging="360"/>
      </w:pPr>
      <w:rPr>
        <w:rFonts w:ascii="Symbol" w:hAnsi="Symbol" w:hint="default"/>
      </w:rPr>
    </w:lvl>
    <w:lvl w:ilvl="7" w:tplc="08090003" w:tentative="1">
      <w:start w:val="1"/>
      <w:numFmt w:val="bullet"/>
      <w:lvlText w:val="o"/>
      <w:lvlJc w:val="left"/>
      <w:pPr>
        <w:tabs>
          <w:tab w:val="num" w:pos="5511"/>
        </w:tabs>
        <w:ind w:left="5511" w:hanging="360"/>
      </w:pPr>
      <w:rPr>
        <w:rFonts w:ascii="Courier New" w:hAnsi="Courier New" w:cs="Courier New" w:hint="default"/>
      </w:rPr>
    </w:lvl>
    <w:lvl w:ilvl="8" w:tplc="08090005" w:tentative="1">
      <w:start w:val="1"/>
      <w:numFmt w:val="bullet"/>
      <w:lvlText w:val=""/>
      <w:lvlJc w:val="left"/>
      <w:pPr>
        <w:tabs>
          <w:tab w:val="num" w:pos="6231"/>
        </w:tabs>
        <w:ind w:left="6231" w:hanging="360"/>
      </w:pPr>
      <w:rPr>
        <w:rFonts w:ascii="Wingdings" w:hAnsi="Wingdings" w:hint="default"/>
      </w:rPr>
    </w:lvl>
  </w:abstractNum>
  <w:abstractNum w:abstractNumId="13">
    <w:nsid w:val="769172E6"/>
    <w:multiLevelType w:val="hybridMultilevel"/>
    <w:tmpl w:val="4E28C684"/>
    <w:lvl w:ilvl="0" w:tplc="BC4C3906">
      <w:start w:val="1"/>
      <w:numFmt w:val="bullet"/>
      <w:lvlText w:val="−"/>
      <w:lvlJc w:val="left"/>
      <w:pPr>
        <w:tabs>
          <w:tab w:val="num" w:pos="879"/>
        </w:tabs>
        <w:ind w:left="879" w:hanging="360"/>
      </w:pPr>
      <w:rPr>
        <w:rFonts w:ascii="Calibri" w:hAnsi="Calibri" w:hint="default"/>
        <w:sz w:val="22"/>
        <w:szCs w:val="16"/>
      </w:rPr>
    </w:lvl>
    <w:lvl w:ilvl="1" w:tplc="08090003">
      <w:start w:val="1"/>
      <w:numFmt w:val="bullet"/>
      <w:lvlText w:val="o"/>
      <w:lvlJc w:val="left"/>
      <w:pPr>
        <w:tabs>
          <w:tab w:val="num" w:pos="1599"/>
        </w:tabs>
        <w:ind w:left="1599" w:hanging="360"/>
      </w:pPr>
      <w:rPr>
        <w:rFonts w:ascii="Courier New" w:hAnsi="Courier New" w:cs="Courier New" w:hint="default"/>
      </w:rPr>
    </w:lvl>
    <w:lvl w:ilvl="2" w:tplc="08090005" w:tentative="1">
      <w:start w:val="1"/>
      <w:numFmt w:val="bullet"/>
      <w:lvlText w:val=""/>
      <w:lvlJc w:val="left"/>
      <w:pPr>
        <w:tabs>
          <w:tab w:val="num" w:pos="2319"/>
        </w:tabs>
        <w:ind w:left="2319" w:hanging="360"/>
      </w:pPr>
      <w:rPr>
        <w:rFonts w:ascii="Wingdings" w:hAnsi="Wingdings" w:hint="default"/>
      </w:rPr>
    </w:lvl>
    <w:lvl w:ilvl="3" w:tplc="08090001" w:tentative="1">
      <w:start w:val="1"/>
      <w:numFmt w:val="bullet"/>
      <w:lvlText w:val=""/>
      <w:lvlJc w:val="left"/>
      <w:pPr>
        <w:tabs>
          <w:tab w:val="num" w:pos="3039"/>
        </w:tabs>
        <w:ind w:left="3039" w:hanging="360"/>
      </w:pPr>
      <w:rPr>
        <w:rFonts w:ascii="Symbol" w:hAnsi="Symbol" w:hint="default"/>
      </w:rPr>
    </w:lvl>
    <w:lvl w:ilvl="4" w:tplc="08090003" w:tentative="1">
      <w:start w:val="1"/>
      <w:numFmt w:val="bullet"/>
      <w:lvlText w:val="o"/>
      <w:lvlJc w:val="left"/>
      <w:pPr>
        <w:tabs>
          <w:tab w:val="num" w:pos="3759"/>
        </w:tabs>
        <w:ind w:left="3759" w:hanging="360"/>
      </w:pPr>
      <w:rPr>
        <w:rFonts w:ascii="Courier New" w:hAnsi="Courier New" w:cs="Courier New" w:hint="default"/>
      </w:rPr>
    </w:lvl>
    <w:lvl w:ilvl="5" w:tplc="08090005" w:tentative="1">
      <w:start w:val="1"/>
      <w:numFmt w:val="bullet"/>
      <w:lvlText w:val=""/>
      <w:lvlJc w:val="left"/>
      <w:pPr>
        <w:tabs>
          <w:tab w:val="num" w:pos="4479"/>
        </w:tabs>
        <w:ind w:left="4479" w:hanging="360"/>
      </w:pPr>
      <w:rPr>
        <w:rFonts w:ascii="Wingdings" w:hAnsi="Wingdings" w:hint="default"/>
      </w:rPr>
    </w:lvl>
    <w:lvl w:ilvl="6" w:tplc="08090001" w:tentative="1">
      <w:start w:val="1"/>
      <w:numFmt w:val="bullet"/>
      <w:lvlText w:val=""/>
      <w:lvlJc w:val="left"/>
      <w:pPr>
        <w:tabs>
          <w:tab w:val="num" w:pos="5199"/>
        </w:tabs>
        <w:ind w:left="5199" w:hanging="360"/>
      </w:pPr>
      <w:rPr>
        <w:rFonts w:ascii="Symbol" w:hAnsi="Symbol" w:hint="default"/>
      </w:rPr>
    </w:lvl>
    <w:lvl w:ilvl="7" w:tplc="08090003" w:tentative="1">
      <w:start w:val="1"/>
      <w:numFmt w:val="bullet"/>
      <w:lvlText w:val="o"/>
      <w:lvlJc w:val="left"/>
      <w:pPr>
        <w:tabs>
          <w:tab w:val="num" w:pos="5919"/>
        </w:tabs>
        <w:ind w:left="5919" w:hanging="360"/>
      </w:pPr>
      <w:rPr>
        <w:rFonts w:ascii="Courier New" w:hAnsi="Courier New" w:cs="Courier New" w:hint="default"/>
      </w:rPr>
    </w:lvl>
    <w:lvl w:ilvl="8" w:tplc="08090005" w:tentative="1">
      <w:start w:val="1"/>
      <w:numFmt w:val="bullet"/>
      <w:lvlText w:val=""/>
      <w:lvlJc w:val="left"/>
      <w:pPr>
        <w:tabs>
          <w:tab w:val="num" w:pos="6639"/>
        </w:tabs>
        <w:ind w:left="6639" w:hanging="360"/>
      </w:pPr>
      <w:rPr>
        <w:rFonts w:ascii="Wingdings" w:hAnsi="Wingdings" w:hint="default"/>
      </w:rPr>
    </w:lvl>
  </w:abstractNum>
  <w:abstractNum w:abstractNumId="14">
    <w:nsid w:val="7C4124A5"/>
    <w:multiLevelType w:val="hybridMultilevel"/>
    <w:tmpl w:val="3BBE34DC"/>
    <w:lvl w:ilvl="0" w:tplc="14090005">
      <w:start w:val="1"/>
      <w:numFmt w:val="bullet"/>
      <w:lvlText w:val=""/>
      <w:lvlJc w:val="left"/>
      <w:pPr>
        <w:tabs>
          <w:tab w:val="num" w:pos="471"/>
        </w:tabs>
        <w:ind w:left="471" w:hanging="360"/>
      </w:pPr>
      <w:rPr>
        <w:rFonts w:ascii="Wingdings" w:hAnsi="Wingdings" w:hint="default"/>
      </w:rPr>
    </w:lvl>
    <w:lvl w:ilvl="1" w:tplc="E152ACF2">
      <w:start w:val="1"/>
      <w:numFmt w:val="bullet"/>
      <w:lvlText w:val="­"/>
      <w:lvlJc w:val="left"/>
      <w:pPr>
        <w:tabs>
          <w:tab w:val="num" w:pos="1191"/>
        </w:tabs>
        <w:ind w:left="1191" w:hanging="360"/>
      </w:pPr>
      <w:rPr>
        <w:rFonts w:ascii="Courier New" w:hAnsi="Courier New" w:hint="default"/>
      </w:rPr>
    </w:lvl>
    <w:lvl w:ilvl="2" w:tplc="08090005" w:tentative="1">
      <w:start w:val="1"/>
      <w:numFmt w:val="bullet"/>
      <w:lvlText w:val=""/>
      <w:lvlJc w:val="left"/>
      <w:pPr>
        <w:tabs>
          <w:tab w:val="num" w:pos="1911"/>
        </w:tabs>
        <w:ind w:left="1911" w:hanging="360"/>
      </w:pPr>
      <w:rPr>
        <w:rFonts w:ascii="Wingdings" w:hAnsi="Wingdings" w:hint="default"/>
      </w:rPr>
    </w:lvl>
    <w:lvl w:ilvl="3" w:tplc="08090001" w:tentative="1">
      <w:start w:val="1"/>
      <w:numFmt w:val="bullet"/>
      <w:lvlText w:val=""/>
      <w:lvlJc w:val="left"/>
      <w:pPr>
        <w:tabs>
          <w:tab w:val="num" w:pos="2631"/>
        </w:tabs>
        <w:ind w:left="2631" w:hanging="360"/>
      </w:pPr>
      <w:rPr>
        <w:rFonts w:ascii="Symbol" w:hAnsi="Symbol" w:hint="default"/>
      </w:rPr>
    </w:lvl>
    <w:lvl w:ilvl="4" w:tplc="08090003" w:tentative="1">
      <w:start w:val="1"/>
      <w:numFmt w:val="bullet"/>
      <w:lvlText w:val="o"/>
      <w:lvlJc w:val="left"/>
      <w:pPr>
        <w:tabs>
          <w:tab w:val="num" w:pos="3351"/>
        </w:tabs>
        <w:ind w:left="3351" w:hanging="360"/>
      </w:pPr>
      <w:rPr>
        <w:rFonts w:ascii="Courier New" w:hAnsi="Courier New" w:cs="Courier New" w:hint="default"/>
      </w:rPr>
    </w:lvl>
    <w:lvl w:ilvl="5" w:tplc="08090005" w:tentative="1">
      <w:start w:val="1"/>
      <w:numFmt w:val="bullet"/>
      <w:lvlText w:val=""/>
      <w:lvlJc w:val="left"/>
      <w:pPr>
        <w:tabs>
          <w:tab w:val="num" w:pos="4071"/>
        </w:tabs>
        <w:ind w:left="4071" w:hanging="360"/>
      </w:pPr>
      <w:rPr>
        <w:rFonts w:ascii="Wingdings" w:hAnsi="Wingdings" w:hint="default"/>
      </w:rPr>
    </w:lvl>
    <w:lvl w:ilvl="6" w:tplc="08090001" w:tentative="1">
      <w:start w:val="1"/>
      <w:numFmt w:val="bullet"/>
      <w:lvlText w:val=""/>
      <w:lvlJc w:val="left"/>
      <w:pPr>
        <w:tabs>
          <w:tab w:val="num" w:pos="4791"/>
        </w:tabs>
        <w:ind w:left="4791" w:hanging="360"/>
      </w:pPr>
      <w:rPr>
        <w:rFonts w:ascii="Symbol" w:hAnsi="Symbol" w:hint="default"/>
      </w:rPr>
    </w:lvl>
    <w:lvl w:ilvl="7" w:tplc="08090003" w:tentative="1">
      <w:start w:val="1"/>
      <w:numFmt w:val="bullet"/>
      <w:lvlText w:val="o"/>
      <w:lvlJc w:val="left"/>
      <w:pPr>
        <w:tabs>
          <w:tab w:val="num" w:pos="5511"/>
        </w:tabs>
        <w:ind w:left="5511" w:hanging="360"/>
      </w:pPr>
      <w:rPr>
        <w:rFonts w:ascii="Courier New" w:hAnsi="Courier New" w:cs="Courier New" w:hint="default"/>
      </w:rPr>
    </w:lvl>
    <w:lvl w:ilvl="8" w:tplc="08090005" w:tentative="1">
      <w:start w:val="1"/>
      <w:numFmt w:val="bullet"/>
      <w:lvlText w:val=""/>
      <w:lvlJc w:val="left"/>
      <w:pPr>
        <w:tabs>
          <w:tab w:val="num" w:pos="6231"/>
        </w:tabs>
        <w:ind w:left="6231"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11"/>
  </w:num>
  <w:num w:numId="6">
    <w:abstractNumId w:val="9"/>
  </w:num>
  <w:num w:numId="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13"/>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num>
  <w:num w:numId="14">
    <w:abstractNumId w:val="7"/>
  </w:num>
  <w:num w:numId="15">
    <w:abstractNumId w:val="3"/>
  </w:num>
  <w:num w:numId="16">
    <w:abstractNumId w:val="8"/>
  </w:num>
  <w:num w:numId="17">
    <w:abstractNumId w:val="1"/>
  </w:num>
  <w:num w:numId="18">
    <w:abstractNumId w:val="1"/>
  </w:num>
  <w:num w:numId="19">
    <w:abstractNumId w:val="7"/>
  </w:num>
  <w:num w:numId="20">
    <w:abstractNumId w:val="1"/>
  </w:num>
  <w:num w:numId="21">
    <w:abstractNumId w:val="1"/>
  </w:num>
  <w:num w:numId="22">
    <w:abstractNumId w:val="1"/>
  </w:num>
  <w:num w:numId="23">
    <w:abstractNumId w:val="9"/>
  </w:num>
  <w:num w:numId="24">
    <w:abstractNumId w:val="1"/>
  </w:num>
  <w:num w:numId="25">
    <w:abstractNumId w:val="1"/>
  </w:num>
  <w:num w:numId="26">
    <w:abstractNumId w:val="1"/>
  </w:num>
  <w:num w:numId="27">
    <w:abstractNumId w:val="9"/>
  </w:num>
  <w:num w:numId="28">
    <w:abstractNumId w:val="1"/>
  </w:num>
  <w:num w:numId="29">
    <w:abstractNumId w:val="7"/>
  </w:num>
  <w:num w:numId="3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EC9"/>
    <w:rsid w:val="00002E56"/>
    <w:rsid w:val="000039C3"/>
    <w:rsid w:val="000041B3"/>
    <w:rsid w:val="00014A8C"/>
    <w:rsid w:val="0001513C"/>
    <w:rsid w:val="000309D4"/>
    <w:rsid w:val="00042EA2"/>
    <w:rsid w:val="000447EC"/>
    <w:rsid w:val="00061E36"/>
    <w:rsid w:val="0006212B"/>
    <w:rsid w:val="00084D12"/>
    <w:rsid w:val="0009207F"/>
    <w:rsid w:val="000A0D15"/>
    <w:rsid w:val="000A3067"/>
    <w:rsid w:val="000A490A"/>
    <w:rsid w:val="000B6196"/>
    <w:rsid w:val="000B6694"/>
    <w:rsid w:val="000C0E3F"/>
    <w:rsid w:val="000C265C"/>
    <w:rsid w:val="000C39EC"/>
    <w:rsid w:val="000D7E64"/>
    <w:rsid w:val="000E635C"/>
    <w:rsid w:val="0011056C"/>
    <w:rsid w:val="00111D46"/>
    <w:rsid w:val="001140DD"/>
    <w:rsid w:val="00120C5D"/>
    <w:rsid w:val="00124204"/>
    <w:rsid w:val="00146601"/>
    <w:rsid w:val="00162E2E"/>
    <w:rsid w:val="00175336"/>
    <w:rsid w:val="00181C8D"/>
    <w:rsid w:val="00190EF7"/>
    <w:rsid w:val="001920F1"/>
    <w:rsid w:val="00192DD8"/>
    <w:rsid w:val="001A1549"/>
    <w:rsid w:val="001A27F5"/>
    <w:rsid w:val="001C0150"/>
    <w:rsid w:val="001C03F1"/>
    <w:rsid w:val="001E44D4"/>
    <w:rsid w:val="001F6087"/>
    <w:rsid w:val="001F712C"/>
    <w:rsid w:val="00201FBC"/>
    <w:rsid w:val="00217602"/>
    <w:rsid w:val="00222422"/>
    <w:rsid w:val="002312D9"/>
    <w:rsid w:val="00235DF0"/>
    <w:rsid w:val="00247575"/>
    <w:rsid w:val="00265417"/>
    <w:rsid w:val="00266CA2"/>
    <w:rsid w:val="00267F44"/>
    <w:rsid w:val="00274716"/>
    <w:rsid w:val="002777EA"/>
    <w:rsid w:val="002A4684"/>
    <w:rsid w:val="002A4E09"/>
    <w:rsid w:val="002B3159"/>
    <w:rsid w:val="002B7E7E"/>
    <w:rsid w:val="002C7C29"/>
    <w:rsid w:val="002D5665"/>
    <w:rsid w:val="002D6CA5"/>
    <w:rsid w:val="002E0264"/>
    <w:rsid w:val="002F2302"/>
    <w:rsid w:val="002F75EB"/>
    <w:rsid w:val="00304045"/>
    <w:rsid w:val="00305E29"/>
    <w:rsid w:val="003069F9"/>
    <w:rsid w:val="003277DA"/>
    <w:rsid w:val="00327EC9"/>
    <w:rsid w:val="003373BD"/>
    <w:rsid w:val="00337F2D"/>
    <w:rsid w:val="00347BF0"/>
    <w:rsid w:val="00355CEF"/>
    <w:rsid w:val="00375A28"/>
    <w:rsid w:val="0039080F"/>
    <w:rsid w:val="00390CC8"/>
    <w:rsid w:val="00392892"/>
    <w:rsid w:val="003A77B7"/>
    <w:rsid w:val="003B2FC7"/>
    <w:rsid w:val="003D5316"/>
    <w:rsid w:val="003D7A76"/>
    <w:rsid w:val="003E2672"/>
    <w:rsid w:val="003E2CD6"/>
    <w:rsid w:val="003E3C3B"/>
    <w:rsid w:val="003F2B92"/>
    <w:rsid w:val="003F617C"/>
    <w:rsid w:val="00404C83"/>
    <w:rsid w:val="00411D01"/>
    <w:rsid w:val="00414CB2"/>
    <w:rsid w:val="00436414"/>
    <w:rsid w:val="00436F9D"/>
    <w:rsid w:val="004543CA"/>
    <w:rsid w:val="004556C0"/>
    <w:rsid w:val="004761ED"/>
    <w:rsid w:val="00481B93"/>
    <w:rsid w:val="00484A50"/>
    <w:rsid w:val="00494325"/>
    <w:rsid w:val="00497A19"/>
    <w:rsid w:val="004A211F"/>
    <w:rsid w:val="004B23A7"/>
    <w:rsid w:val="004B3FF3"/>
    <w:rsid w:val="004B6A19"/>
    <w:rsid w:val="004B7F3E"/>
    <w:rsid w:val="004C466A"/>
    <w:rsid w:val="004D6AE5"/>
    <w:rsid w:val="004E13E2"/>
    <w:rsid w:val="00527AC5"/>
    <w:rsid w:val="00533760"/>
    <w:rsid w:val="00536B24"/>
    <w:rsid w:val="0053782E"/>
    <w:rsid w:val="005475D3"/>
    <w:rsid w:val="00551EB8"/>
    <w:rsid w:val="00554C7D"/>
    <w:rsid w:val="00556F25"/>
    <w:rsid w:val="005608FD"/>
    <w:rsid w:val="00566D91"/>
    <w:rsid w:val="005719A8"/>
    <w:rsid w:val="005748A9"/>
    <w:rsid w:val="005849C7"/>
    <w:rsid w:val="00586527"/>
    <w:rsid w:val="005867B9"/>
    <w:rsid w:val="0059203A"/>
    <w:rsid w:val="00594E28"/>
    <w:rsid w:val="005A2A51"/>
    <w:rsid w:val="005A3CE0"/>
    <w:rsid w:val="005A572E"/>
    <w:rsid w:val="005B04A7"/>
    <w:rsid w:val="005B1253"/>
    <w:rsid w:val="005B42F3"/>
    <w:rsid w:val="005B602C"/>
    <w:rsid w:val="005C2839"/>
    <w:rsid w:val="005C445D"/>
    <w:rsid w:val="005D5ADA"/>
    <w:rsid w:val="005D6B37"/>
    <w:rsid w:val="005E03DC"/>
    <w:rsid w:val="005F6113"/>
    <w:rsid w:val="006228C4"/>
    <w:rsid w:val="00634964"/>
    <w:rsid w:val="00641855"/>
    <w:rsid w:val="006539C3"/>
    <w:rsid w:val="00675EA9"/>
    <w:rsid w:val="00681EF4"/>
    <w:rsid w:val="00682B35"/>
    <w:rsid w:val="00687D7D"/>
    <w:rsid w:val="006A2C8B"/>
    <w:rsid w:val="006A793E"/>
    <w:rsid w:val="006B1E4D"/>
    <w:rsid w:val="006B6987"/>
    <w:rsid w:val="006D0610"/>
    <w:rsid w:val="006E4451"/>
    <w:rsid w:val="006F7119"/>
    <w:rsid w:val="00700498"/>
    <w:rsid w:val="00713378"/>
    <w:rsid w:val="007137A5"/>
    <w:rsid w:val="0071588B"/>
    <w:rsid w:val="00720A5B"/>
    <w:rsid w:val="0072380F"/>
    <w:rsid w:val="0074368F"/>
    <w:rsid w:val="00744117"/>
    <w:rsid w:val="00752B76"/>
    <w:rsid w:val="00753189"/>
    <w:rsid w:val="00760962"/>
    <w:rsid w:val="00761A03"/>
    <w:rsid w:val="007620FE"/>
    <w:rsid w:val="00765B5D"/>
    <w:rsid w:val="00770146"/>
    <w:rsid w:val="00771B12"/>
    <w:rsid w:val="00772B5B"/>
    <w:rsid w:val="0077722F"/>
    <w:rsid w:val="00786619"/>
    <w:rsid w:val="00791AE9"/>
    <w:rsid w:val="007C3DA5"/>
    <w:rsid w:val="007F73F7"/>
    <w:rsid w:val="00810AF4"/>
    <w:rsid w:val="00811E64"/>
    <w:rsid w:val="00813A69"/>
    <w:rsid w:val="008232FF"/>
    <w:rsid w:val="008240EC"/>
    <w:rsid w:val="00825E63"/>
    <w:rsid w:val="00826B6F"/>
    <w:rsid w:val="00831A25"/>
    <w:rsid w:val="00844D63"/>
    <w:rsid w:val="0085454A"/>
    <w:rsid w:val="008635D8"/>
    <w:rsid w:val="008773B3"/>
    <w:rsid w:val="00881638"/>
    <w:rsid w:val="008965D8"/>
    <w:rsid w:val="008C1D62"/>
    <w:rsid w:val="008D3510"/>
    <w:rsid w:val="008D3E62"/>
    <w:rsid w:val="008D7D14"/>
    <w:rsid w:val="008E2FF4"/>
    <w:rsid w:val="008F08E1"/>
    <w:rsid w:val="00903925"/>
    <w:rsid w:val="00912F87"/>
    <w:rsid w:val="009233A8"/>
    <w:rsid w:val="00925C4C"/>
    <w:rsid w:val="00930327"/>
    <w:rsid w:val="00933677"/>
    <w:rsid w:val="00934830"/>
    <w:rsid w:val="00934F12"/>
    <w:rsid w:val="00935A39"/>
    <w:rsid w:val="00935AC7"/>
    <w:rsid w:val="00941684"/>
    <w:rsid w:val="00943782"/>
    <w:rsid w:val="00952CA7"/>
    <w:rsid w:val="00962FF4"/>
    <w:rsid w:val="00965971"/>
    <w:rsid w:val="0097150B"/>
    <w:rsid w:val="009719A4"/>
    <w:rsid w:val="00975183"/>
    <w:rsid w:val="00975754"/>
    <w:rsid w:val="00975788"/>
    <w:rsid w:val="009815FB"/>
    <w:rsid w:val="00985105"/>
    <w:rsid w:val="009878BA"/>
    <w:rsid w:val="00992188"/>
    <w:rsid w:val="00994BF1"/>
    <w:rsid w:val="009A289F"/>
    <w:rsid w:val="009A3B2F"/>
    <w:rsid w:val="009B5662"/>
    <w:rsid w:val="009C2120"/>
    <w:rsid w:val="009C4456"/>
    <w:rsid w:val="009C5735"/>
    <w:rsid w:val="009E3E09"/>
    <w:rsid w:val="009E4350"/>
    <w:rsid w:val="009F4045"/>
    <w:rsid w:val="009F4236"/>
    <w:rsid w:val="00A013C4"/>
    <w:rsid w:val="00A4124C"/>
    <w:rsid w:val="00A41E5A"/>
    <w:rsid w:val="00A42DE1"/>
    <w:rsid w:val="00A471AC"/>
    <w:rsid w:val="00A47FAB"/>
    <w:rsid w:val="00A57F11"/>
    <w:rsid w:val="00A75C23"/>
    <w:rsid w:val="00A7635E"/>
    <w:rsid w:val="00A848A4"/>
    <w:rsid w:val="00A923B4"/>
    <w:rsid w:val="00AA12A9"/>
    <w:rsid w:val="00AA28B5"/>
    <w:rsid w:val="00AB4993"/>
    <w:rsid w:val="00AB7CFB"/>
    <w:rsid w:val="00AC4A1E"/>
    <w:rsid w:val="00AC71B2"/>
    <w:rsid w:val="00AC7EB8"/>
    <w:rsid w:val="00AD1523"/>
    <w:rsid w:val="00AD271D"/>
    <w:rsid w:val="00AE2DB5"/>
    <w:rsid w:val="00AE5E62"/>
    <w:rsid w:val="00AE6486"/>
    <w:rsid w:val="00AF1B7E"/>
    <w:rsid w:val="00B214C2"/>
    <w:rsid w:val="00B27F37"/>
    <w:rsid w:val="00B43A01"/>
    <w:rsid w:val="00B43B0B"/>
    <w:rsid w:val="00B4682C"/>
    <w:rsid w:val="00B514DE"/>
    <w:rsid w:val="00B70650"/>
    <w:rsid w:val="00B84DF6"/>
    <w:rsid w:val="00B8763C"/>
    <w:rsid w:val="00B92529"/>
    <w:rsid w:val="00BA2B81"/>
    <w:rsid w:val="00BA351B"/>
    <w:rsid w:val="00BA530D"/>
    <w:rsid w:val="00BB65A8"/>
    <w:rsid w:val="00BD653E"/>
    <w:rsid w:val="00BE159C"/>
    <w:rsid w:val="00BE3E95"/>
    <w:rsid w:val="00BE7A62"/>
    <w:rsid w:val="00BF0793"/>
    <w:rsid w:val="00BF1548"/>
    <w:rsid w:val="00BF1E8F"/>
    <w:rsid w:val="00C04E21"/>
    <w:rsid w:val="00C05AE1"/>
    <w:rsid w:val="00C15157"/>
    <w:rsid w:val="00C215A7"/>
    <w:rsid w:val="00C30331"/>
    <w:rsid w:val="00C35313"/>
    <w:rsid w:val="00C55E31"/>
    <w:rsid w:val="00C57A7D"/>
    <w:rsid w:val="00C64168"/>
    <w:rsid w:val="00C641A9"/>
    <w:rsid w:val="00C7695D"/>
    <w:rsid w:val="00C97C7C"/>
    <w:rsid w:val="00CA4128"/>
    <w:rsid w:val="00CC5733"/>
    <w:rsid w:val="00CD3E07"/>
    <w:rsid w:val="00CE7C5E"/>
    <w:rsid w:val="00CF2B53"/>
    <w:rsid w:val="00CF2B7F"/>
    <w:rsid w:val="00CF497E"/>
    <w:rsid w:val="00CF4E72"/>
    <w:rsid w:val="00D1687D"/>
    <w:rsid w:val="00D2242B"/>
    <w:rsid w:val="00D23A5C"/>
    <w:rsid w:val="00D305FF"/>
    <w:rsid w:val="00D619F2"/>
    <w:rsid w:val="00D62959"/>
    <w:rsid w:val="00D679FA"/>
    <w:rsid w:val="00D81155"/>
    <w:rsid w:val="00D82F6F"/>
    <w:rsid w:val="00D903CF"/>
    <w:rsid w:val="00D97312"/>
    <w:rsid w:val="00D97AD0"/>
    <w:rsid w:val="00DB2357"/>
    <w:rsid w:val="00DC02D2"/>
    <w:rsid w:val="00DC0B42"/>
    <w:rsid w:val="00DC6652"/>
    <w:rsid w:val="00DE42AD"/>
    <w:rsid w:val="00DE53DE"/>
    <w:rsid w:val="00E1554E"/>
    <w:rsid w:val="00E22E10"/>
    <w:rsid w:val="00E25A16"/>
    <w:rsid w:val="00E27662"/>
    <w:rsid w:val="00E34162"/>
    <w:rsid w:val="00E36437"/>
    <w:rsid w:val="00E51A36"/>
    <w:rsid w:val="00E52FB1"/>
    <w:rsid w:val="00E5487E"/>
    <w:rsid w:val="00E54918"/>
    <w:rsid w:val="00E72EC1"/>
    <w:rsid w:val="00E746DB"/>
    <w:rsid w:val="00E93B45"/>
    <w:rsid w:val="00E96FF5"/>
    <w:rsid w:val="00EB47FD"/>
    <w:rsid w:val="00ED6EAF"/>
    <w:rsid w:val="00EE3C0F"/>
    <w:rsid w:val="00EF1D54"/>
    <w:rsid w:val="00EF302E"/>
    <w:rsid w:val="00F03E59"/>
    <w:rsid w:val="00F15F61"/>
    <w:rsid w:val="00F22616"/>
    <w:rsid w:val="00F561E7"/>
    <w:rsid w:val="00F87BC5"/>
    <w:rsid w:val="00FA5AE2"/>
    <w:rsid w:val="00FB2918"/>
    <w:rsid w:val="00FB2C77"/>
    <w:rsid w:val="00FD3B42"/>
    <w:rsid w:val="00FE6801"/>
  </w:rsids>
  <m:mathPr>
    <m:mathFont m:val="Cambria Math"/>
    <m:brkBin m:val="before"/>
    <m:brkBinSub m:val="--"/>
    <m:smallFrac/>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0F0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CFB"/>
    <w:pPr>
      <w:spacing w:before="240"/>
      <w:ind w:left="709"/>
    </w:pPr>
    <w:rPr>
      <w:rFonts w:ascii="Arial" w:hAnsi="Arial"/>
      <w:sz w:val="22"/>
      <w:szCs w:val="22"/>
      <w:lang w:eastAsia="en-GB"/>
    </w:rPr>
  </w:style>
  <w:style w:type="paragraph" w:styleId="Heading1">
    <w:name w:val="heading 1"/>
    <w:aliases w:val="H1,Chapter Headline,Chapter Headline1,Chapter Headline2,Chapter Headline3,Chapter Headline4,Chapter Headline5,Chapter Headline6,Chapter Headline7,Chapter Headline8,Chapter Headline9,Chapter Headline10,Chapter Headline11,Chapter Headline12"/>
    <w:basedOn w:val="Normal"/>
    <w:next w:val="Normal"/>
    <w:link w:val="Heading1Char"/>
    <w:uiPriority w:val="99"/>
    <w:qFormat/>
    <w:rsid w:val="000032F0"/>
    <w:pPr>
      <w:spacing w:before="0" w:after="360"/>
      <w:ind w:left="0"/>
      <w:jc w:val="center"/>
      <w:outlineLvl w:val="0"/>
    </w:pPr>
    <w:rPr>
      <w:b/>
      <w:sz w:val="36"/>
      <w:szCs w:val="36"/>
    </w:rPr>
  </w:style>
  <w:style w:type="paragraph" w:styleId="Heading2">
    <w:name w:val="heading 2"/>
    <w:basedOn w:val="Normal"/>
    <w:next w:val="Normal"/>
    <w:link w:val="Heading2Char"/>
    <w:qFormat/>
    <w:rsid w:val="002F237A"/>
    <w:pPr>
      <w:keepNext/>
      <w:spacing w:before="720" w:after="120"/>
      <w:ind w:hanging="709"/>
      <w:outlineLvl w:val="1"/>
    </w:pPr>
    <w:rPr>
      <w:b/>
      <w:sz w:val="28"/>
      <w:szCs w:val="28"/>
    </w:rPr>
  </w:style>
  <w:style w:type="paragraph" w:styleId="Heading3">
    <w:name w:val="heading 3"/>
    <w:basedOn w:val="Normal"/>
    <w:next w:val="Normal"/>
    <w:link w:val="Heading3Char"/>
    <w:uiPriority w:val="99"/>
    <w:qFormat/>
    <w:rsid w:val="00B25787"/>
    <w:pPr>
      <w:keepNext/>
      <w:spacing w:before="360" w:after="240"/>
      <w:ind w:left="567" w:hanging="567"/>
      <w:outlineLvl w:val="2"/>
    </w:pPr>
    <w:rPr>
      <w:b/>
      <w:i/>
      <w:sz w:val="24"/>
      <w:szCs w:val="24"/>
    </w:rPr>
  </w:style>
  <w:style w:type="paragraph" w:styleId="Heading4">
    <w:name w:val="heading 4"/>
    <w:basedOn w:val="Normal"/>
    <w:next w:val="Normal"/>
    <w:link w:val="Heading4Char"/>
    <w:uiPriority w:val="99"/>
    <w:qFormat/>
    <w:pPr>
      <w:keepNext/>
      <w:spacing w:after="240"/>
      <w:outlineLvl w:val="3"/>
    </w:pPr>
    <w:rPr>
      <w:b/>
    </w:rPr>
  </w:style>
  <w:style w:type="paragraph" w:styleId="Heading5">
    <w:name w:val="heading 5"/>
    <w:basedOn w:val="Normal"/>
    <w:next w:val="Normal"/>
    <w:qFormat/>
    <w:pPr>
      <w:keepNext/>
      <w:spacing w:before="120" w:after="120"/>
      <w:outlineLvl w:val="4"/>
    </w:pPr>
    <w:rPr>
      <w:b/>
      <w:i/>
    </w:rPr>
  </w:style>
  <w:style w:type="paragraph" w:styleId="Heading6">
    <w:name w:val="heading 6"/>
    <w:basedOn w:val="Normal"/>
    <w:next w:val="Normal"/>
    <w:qFormat/>
    <w:pPr>
      <w:spacing w:before="120" w:after="120"/>
      <w:outlineLvl w:val="5"/>
    </w:pPr>
  </w:style>
  <w:style w:type="paragraph" w:styleId="Heading7">
    <w:name w:val="heading 7"/>
    <w:basedOn w:val="Normal"/>
    <w:next w:val="Normal"/>
    <w:qFormat/>
    <w:pPr>
      <w:numPr>
        <w:ilvl w:val="6"/>
        <w:numId w:val="1"/>
      </w:numPr>
      <w:spacing w:after="60"/>
      <w:outlineLvl w:val="6"/>
    </w:pPr>
    <w:rPr>
      <w:sz w:val="20"/>
      <w:lang w:val="en-AU"/>
    </w:rPr>
  </w:style>
  <w:style w:type="paragraph" w:styleId="Heading8">
    <w:name w:val="heading 8"/>
    <w:basedOn w:val="Normal"/>
    <w:next w:val="Normal"/>
    <w:qFormat/>
    <w:pPr>
      <w:numPr>
        <w:ilvl w:val="7"/>
        <w:numId w:val="1"/>
      </w:numPr>
      <w:spacing w:after="60"/>
      <w:outlineLvl w:val="7"/>
    </w:pPr>
    <w:rPr>
      <w:i/>
      <w:sz w:val="20"/>
      <w:lang w:val="en-AU"/>
    </w:rPr>
  </w:style>
  <w:style w:type="paragraph" w:styleId="Heading9">
    <w:name w:val="heading 9"/>
    <w:basedOn w:val="Normal"/>
    <w:next w:val="Normal"/>
    <w:qFormat/>
    <w:pPr>
      <w:numPr>
        <w:ilvl w:val="8"/>
        <w:numId w:val="1"/>
      </w:numPr>
      <w:spacing w:after="60"/>
      <w:outlineLvl w:val="8"/>
    </w:pPr>
    <w:rPr>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sh">
    <w:name w:val="Dash"/>
    <w:basedOn w:val="Normal"/>
    <w:rsid w:val="00DC7B0F"/>
    <w:pPr>
      <w:numPr>
        <w:numId w:val="5"/>
      </w:numPr>
      <w:tabs>
        <w:tab w:val="left" w:pos="1843"/>
      </w:tabs>
      <w:spacing w:before="60"/>
    </w:pPr>
  </w:style>
  <w:style w:type="paragraph" w:customStyle="1" w:styleId="Bullet">
    <w:name w:val="Bullet"/>
    <w:basedOn w:val="Normal"/>
    <w:link w:val="BulletChar"/>
    <w:uiPriority w:val="99"/>
    <w:rsid w:val="00CF2680"/>
    <w:pPr>
      <w:numPr>
        <w:numId w:val="4"/>
      </w:numPr>
      <w:tabs>
        <w:tab w:val="left" w:pos="1276"/>
      </w:tabs>
      <w:spacing w:before="120"/>
    </w:pPr>
  </w:style>
  <w:style w:type="paragraph" w:styleId="Quote">
    <w:name w:val="Quote"/>
    <w:basedOn w:val="Normal"/>
    <w:next w:val="Normal"/>
    <w:link w:val="QuoteChar"/>
    <w:uiPriority w:val="29"/>
    <w:qFormat/>
    <w:rsid w:val="00B671AB"/>
    <w:pPr>
      <w:spacing w:before="120"/>
      <w:ind w:left="1134" w:right="567"/>
    </w:pPr>
    <w:rPr>
      <w:i/>
    </w:rPr>
  </w:style>
  <w:style w:type="paragraph" w:styleId="TOC1">
    <w:name w:val="toc 1"/>
    <w:basedOn w:val="Normal"/>
    <w:next w:val="Normal"/>
    <w:uiPriority w:val="39"/>
    <w:rsid w:val="00C75AE2"/>
    <w:pPr>
      <w:tabs>
        <w:tab w:val="right" w:pos="5103"/>
      </w:tabs>
      <w:spacing w:before="300"/>
      <w:ind w:left="0" w:right="5103"/>
    </w:pPr>
  </w:style>
  <w:style w:type="paragraph" w:styleId="TOC2">
    <w:name w:val="toc 2"/>
    <w:basedOn w:val="Normal"/>
    <w:next w:val="Normal"/>
    <w:uiPriority w:val="39"/>
    <w:rsid w:val="00A44D12"/>
    <w:pPr>
      <w:tabs>
        <w:tab w:val="right" w:pos="5103"/>
      </w:tabs>
      <w:spacing w:before="60"/>
      <w:ind w:right="5103"/>
    </w:pPr>
    <w:rPr>
      <w:sz w:val="20"/>
    </w:rPr>
  </w:style>
  <w:style w:type="paragraph" w:styleId="FootnoteText">
    <w:name w:val="footnote text"/>
    <w:aliases w:val="Footnote Text Char Char"/>
    <w:basedOn w:val="Normal"/>
    <w:link w:val="FootnoteTextChar"/>
    <w:uiPriority w:val="99"/>
    <w:pPr>
      <w:spacing w:before="120"/>
      <w:ind w:left="284" w:hanging="284"/>
    </w:pPr>
    <w:rPr>
      <w:sz w:val="16"/>
    </w:rPr>
  </w:style>
  <w:style w:type="character" w:styleId="PageNumber">
    <w:name w:val="page number"/>
    <w:basedOn w:val="DefaultParagraphFont"/>
    <w:rsid w:val="00C11C5B"/>
    <w:rPr>
      <w:rFonts w:ascii="Arial" w:hAnsi="Arial"/>
      <w:b/>
      <w:spacing w:val="0"/>
      <w:kern w:val="0"/>
      <w:position w:val="0"/>
      <w:sz w:val="24"/>
      <w:szCs w:val="24"/>
    </w:rPr>
  </w:style>
  <w:style w:type="paragraph" w:customStyle="1" w:styleId="Table">
    <w:name w:val="Table"/>
    <w:basedOn w:val="Figure"/>
    <w:next w:val="Normal"/>
    <w:rsid w:val="00CF2680"/>
    <w:pPr>
      <w:spacing w:before="80" w:after="80"/>
      <w:ind w:left="0" w:firstLine="0"/>
      <w:jc w:val="center"/>
    </w:pPr>
  </w:style>
  <w:style w:type="paragraph" w:styleId="Footer">
    <w:name w:val="footer"/>
    <w:basedOn w:val="Normal"/>
    <w:rsid w:val="000032F0"/>
    <w:pPr>
      <w:spacing w:before="0"/>
      <w:ind w:left="0"/>
    </w:pPr>
    <w:rPr>
      <w:spacing w:val="40"/>
      <w:sz w:val="16"/>
      <w:szCs w:val="16"/>
    </w:rPr>
  </w:style>
  <w:style w:type="paragraph" w:styleId="Header">
    <w:name w:val="header"/>
    <w:basedOn w:val="Normal"/>
    <w:link w:val="HeaderChar"/>
    <w:rsid w:val="000032F0"/>
    <w:pPr>
      <w:spacing w:before="0"/>
      <w:ind w:left="0"/>
      <w:jc w:val="center"/>
    </w:pPr>
    <w:rPr>
      <w:smallCaps/>
      <w:spacing w:val="40"/>
      <w:sz w:val="16"/>
      <w:szCs w:val="16"/>
    </w:rPr>
  </w:style>
  <w:style w:type="paragraph" w:customStyle="1" w:styleId="Heading">
    <w:name w:val="Heading"/>
    <w:basedOn w:val="Heading1"/>
    <w:next w:val="Normal"/>
    <w:rsid w:val="00B25787"/>
    <w:pPr>
      <w:jc w:val="left"/>
    </w:pPr>
    <w:rPr>
      <w:sz w:val="28"/>
      <w:szCs w:val="28"/>
    </w:rPr>
  </w:style>
  <w:style w:type="character" w:styleId="Hyperlink">
    <w:name w:val="Hyperlink"/>
    <w:basedOn w:val="DefaultParagraphFont"/>
    <w:rPr>
      <w:color w:val="0000FF"/>
      <w:u w:val="single"/>
    </w:rPr>
  </w:style>
  <w:style w:type="paragraph" w:styleId="TOC3">
    <w:name w:val="toc 3"/>
    <w:basedOn w:val="Normal"/>
    <w:next w:val="Normal"/>
    <w:autoRedefine/>
    <w:uiPriority w:val="39"/>
    <w:pPr>
      <w:tabs>
        <w:tab w:val="right" w:pos="8222"/>
      </w:tabs>
      <w:spacing w:before="120"/>
      <w:ind w:left="567" w:right="851" w:hanging="567"/>
    </w:pPr>
    <w:rPr>
      <w:sz w:val="18"/>
    </w:rPr>
  </w:style>
  <w:style w:type="character" w:styleId="FootnoteReference">
    <w:name w:val="footnote reference"/>
    <w:basedOn w:val="DefaultParagraphFont"/>
    <w:uiPriority w:val="99"/>
    <w:rPr>
      <w:vertAlign w:val="superscript"/>
    </w:rPr>
  </w:style>
  <w:style w:type="paragraph" w:customStyle="1" w:styleId="TableText">
    <w:name w:val="TableText"/>
    <w:basedOn w:val="Normal"/>
    <w:rsid w:val="0021521A"/>
    <w:pPr>
      <w:spacing w:before="80" w:after="80"/>
      <w:ind w:left="0"/>
    </w:pPr>
    <w:rPr>
      <w:sz w:val="20"/>
      <w:szCs w:val="20"/>
    </w:rPr>
  </w:style>
  <w:style w:type="paragraph" w:customStyle="1" w:styleId="ClientName">
    <w:name w:val="Client Name"/>
    <w:basedOn w:val="Normal"/>
    <w:uiPriority w:val="99"/>
    <w:rsid w:val="00A92022"/>
    <w:pPr>
      <w:spacing w:before="0" w:after="3000"/>
      <w:ind w:left="0"/>
      <w:jc w:val="center"/>
    </w:pPr>
    <w:rPr>
      <w:sz w:val="36"/>
      <w:szCs w:val="36"/>
    </w:rPr>
  </w:style>
  <w:style w:type="paragraph" w:styleId="Title">
    <w:name w:val="Title"/>
    <w:basedOn w:val="Normal"/>
    <w:qFormat/>
    <w:rsid w:val="00C75AE2"/>
    <w:pPr>
      <w:pBdr>
        <w:top w:val="single" w:sz="4" w:space="31" w:color="C0C0C0"/>
        <w:left w:val="single" w:sz="4" w:space="12" w:color="C0C0C0"/>
        <w:bottom w:val="single" w:sz="4" w:space="31" w:color="C0C0C0"/>
        <w:right w:val="single" w:sz="4" w:space="12" w:color="C0C0C0"/>
      </w:pBdr>
      <w:shd w:val="clear" w:color="auto" w:fill="FFFFFF"/>
      <w:spacing w:before="0" w:after="2000"/>
      <w:ind w:left="1985" w:right="1985"/>
      <w:jc w:val="center"/>
    </w:pPr>
    <w:rPr>
      <w:b/>
      <w:sz w:val="36"/>
      <w:szCs w:val="36"/>
    </w:rPr>
  </w:style>
  <w:style w:type="paragraph" w:customStyle="1" w:styleId="TableBullet">
    <w:name w:val="TableBullet"/>
    <w:basedOn w:val="TableText"/>
    <w:next w:val="Subtitle"/>
    <w:rsid w:val="00CF2680"/>
    <w:pPr>
      <w:numPr>
        <w:numId w:val="3"/>
      </w:numPr>
      <w:spacing w:before="0"/>
    </w:pPr>
  </w:style>
  <w:style w:type="paragraph" w:styleId="Subtitle">
    <w:name w:val="Subtitle"/>
    <w:basedOn w:val="Normal"/>
    <w:qFormat/>
    <w:rsid w:val="00B25787"/>
    <w:pPr>
      <w:spacing w:before="0" w:after="2000"/>
      <w:ind w:left="0"/>
      <w:outlineLvl w:val="1"/>
    </w:pPr>
    <w:rPr>
      <w:b/>
      <w:sz w:val="36"/>
      <w:szCs w:val="36"/>
    </w:rPr>
  </w:style>
  <w:style w:type="character" w:styleId="FollowedHyperlink">
    <w:name w:val="FollowedHyperlink"/>
    <w:basedOn w:val="DefaultParagraphFont"/>
    <w:rsid w:val="00A848A4"/>
    <w:rPr>
      <w:color w:val="800080"/>
      <w:u w:val="single"/>
    </w:rPr>
  </w:style>
  <w:style w:type="paragraph" w:customStyle="1" w:styleId="Box">
    <w:name w:val="Box"/>
    <w:basedOn w:val="Normal"/>
    <w:rsid w:val="00B671AB"/>
    <w:pPr>
      <w:pBdr>
        <w:top w:val="single" w:sz="4" w:space="12" w:color="auto"/>
        <w:left w:val="single" w:sz="4" w:space="12" w:color="auto"/>
        <w:bottom w:val="single" w:sz="4" w:space="12" w:color="auto"/>
        <w:right w:val="single" w:sz="4" w:space="12" w:color="auto"/>
      </w:pBdr>
      <w:spacing w:before="120"/>
      <w:ind w:left="851" w:right="284"/>
    </w:pPr>
    <w:rPr>
      <w:sz w:val="20"/>
    </w:rPr>
  </w:style>
  <w:style w:type="paragraph" w:customStyle="1" w:styleId="BoxHeading">
    <w:name w:val="BoxHeading"/>
    <w:basedOn w:val="Box"/>
    <w:next w:val="Box"/>
    <w:pPr>
      <w:keepNext/>
    </w:pPr>
    <w:rPr>
      <w:b/>
    </w:rPr>
  </w:style>
  <w:style w:type="paragraph" w:customStyle="1" w:styleId="BoxBullet">
    <w:name w:val="BoxBullet"/>
    <w:basedOn w:val="Box"/>
    <w:rsid w:val="00EA434F"/>
    <w:pPr>
      <w:numPr>
        <w:numId w:val="2"/>
      </w:numPr>
    </w:pPr>
  </w:style>
  <w:style w:type="paragraph" w:customStyle="1" w:styleId="Figure">
    <w:name w:val="Figure"/>
    <w:basedOn w:val="Normal"/>
    <w:next w:val="Normal"/>
    <w:rsid w:val="002F237A"/>
    <w:pPr>
      <w:keepNext/>
      <w:spacing w:after="120"/>
      <w:ind w:left="1701" w:hanging="992"/>
    </w:pPr>
    <w:rPr>
      <w:b/>
      <w:sz w:val="20"/>
    </w:rPr>
  </w:style>
  <w:style w:type="character" w:customStyle="1" w:styleId="Heading1Char">
    <w:name w:val="Heading 1 Char"/>
    <w:aliases w:val="H1 Char,Chapter Headline Char,Chapter Headline1 Char,Chapter Headline2 Char,Chapter Headline3 Char,Chapter Headline4 Char,Chapter Headline5 Char,Chapter Headline6 Char,Chapter Headline7 Char,Chapter Headline8 Char,Chapter Headline9 Char"/>
    <w:link w:val="Heading1"/>
    <w:uiPriority w:val="99"/>
    <w:rsid w:val="00327EC9"/>
    <w:rPr>
      <w:rFonts w:ascii="Arial" w:hAnsi="Arial"/>
      <w:b/>
      <w:sz w:val="36"/>
      <w:szCs w:val="36"/>
      <w:lang w:eastAsia="en-GB"/>
    </w:rPr>
  </w:style>
  <w:style w:type="character" w:customStyle="1" w:styleId="Heading2Char">
    <w:name w:val="Heading 2 Char"/>
    <w:link w:val="Heading2"/>
    <w:rsid w:val="00AB4993"/>
    <w:rPr>
      <w:rFonts w:ascii="Arial" w:hAnsi="Arial"/>
      <w:b/>
      <w:sz w:val="28"/>
      <w:szCs w:val="28"/>
      <w:lang w:eastAsia="en-GB"/>
    </w:rPr>
  </w:style>
  <w:style w:type="character" w:customStyle="1" w:styleId="FootnoteTextChar">
    <w:name w:val="Footnote Text Char"/>
    <w:aliases w:val="Footnote Text Char Char Char"/>
    <w:link w:val="FootnoteText"/>
    <w:uiPriority w:val="99"/>
    <w:rsid w:val="00AB4993"/>
    <w:rPr>
      <w:rFonts w:ascii="Arial" w:hAnsi="Arial"/>
      <w:sz w:val="16"/>
      <w:szCs w:val="22"/>
      <w:lang w:eastAsia="en-GB"/>
    </w:rPr>
  </w:style>
  <w:style w:type="character" w:customStyle="1" w:styleId="st">
    <w:name w:val="st"/>
    <w:rsid w:val="00AB4993"/>
  </w:style>
  <w:style w:type="paragraph" w:customStyle="1" w:styleId="List7">
    <w:name w:val="List 7"/>
    <w:basedOn w:val="Normal"/>
    <w:semiHidden/>
    <w:rsid w:val="00AB4993"/>
    <w:pPr>
      <w:numPr>
        <w:numId w:val="7"/>
      </w:numPr>
      <w:spacing w:before="0"/>
    </w:pPr>
    <w:rPr>
      <w:rFonts w:ascii="Times New Roman" w:hAnsi="Times New Roman"/>
      <w:sz w:val="20"/>
      <w:szCs w:val="20"/>
      <w:lang w:val="en-AU" w:eastAsia="en-US"/>
    </w:rPr>
  </w:style>
  <w:style w:type="paragraph" w:customStyle="1" w:styleId="List8">
    <w:name w:val="List 8"/>
    <w:basedOn w:val="Normal"/>
    <w:rsid w:val="00AB4993"/>
    <w:pPr>
      <w:numPr>
        <w:numId w:val="8"/>
      </w:numPr>
      <w:spacing w:before="0"/>
    </w:pPr>
    <w:rPr>
      <w:rFonts w:ascii="Times New Roman" w:hAnsi="Times New Roman"/>
      <w:sz w:val="20"/>
      <w:szCs w:val="20"/>
      <w:lang w:val="en-AU" w:eastAsia="en-US"/>
    </w:rPr>
  </w:style>
  <w:style w:type="table" w:styleId="TableGrid">
    <w:name w:val="Table Grid"/>
    <w:basedOn w:val="TableNormal"/>
    <w:uiPriority w:val="59"/>
    <w:rsid w:val="00EF1D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EF1D54"/>
    <w:pPr>
      <w:ind w:left="0"/>
    </w:pPr>
    <w:rPr>
      <w:sz w:val="20"/>
      <w:szCs w:val="20"/>
    </w:rPr>
  </w:style>
  <w:style w:type="character" w:customStyle="1" w:styleId="CommentTextChar">
    <w:name w:val="Comment Text Char"/>
    <w:basedOn w:val="DefaultParagraphFont"/>
    <w:link w:val="CommentText"/>
    <w:uiPriority w:val="99"/>
    <w:rsid w:val="00EF1D54"/>
    <w:rPr>
      <w:rFonts w:ascii="Arial" w:hAnsi="Arial"/>
      <w:lang w:eastAsia="en-GB"/>
    </w:rPr>
  </w:style>
  <w:style w:type="character" w:customStyle="1" w:styleId="Heading4Char">
    <w:name w:val="Heading 4 Char"/>
    <w:basedOn w:val="DefaultParagraphFont"/>
    <w:link w:val="Heading4"/>
    <w:uiPriority w:val="99"/>
    <w:rsid w:val="00EF1D54"/>
    <w:rPr>
      <w:rFonts w:ascii="Arial" w:hAnsi="Arial"/>
      <w:b/>
      <w:sz w:val="22"/>
      <w:szCs w:val="22"/>
      <w:lang w:eastAsia="en-GB"/>
    </w:rPr>
  </w:style>
  <w:style w:type="paragraph" w:styleId="BalloonText">
    <w:name w:val="Balloon Text"/>
    <w:basedOn w:val="Normal"/>
    <w:link w:val="BalloonTextChar"/>
    <w:uiPriority w:val="99"/>
    <w:semiHidden/>
    <w:unhideWhenUsed/>
    <w:rsid w:val="00DC665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652"/>
    <w:rPr>
      <w:rFonts w:ascii="Tahoma" w:hAnsi="Tahoma" w:cs="Tahoma"/>
      <w:sz w:val="16"/>
      <w:szCs w:val="16"/>
      <w:lang w:eastAsia="en-GB"/>
    </w:rPr>
  </w:style>
  <w:style w:type="character" w:customStyle="1" w:styleId="HeaderChar">
    <w:name w:val="Header Char"/>
    <w:basedOn w:val="DefaultParagraphFont"/>
    <w:link w:val="Header"/>
    <w:rsid w:val="00DC0B42"/>
    <w:rPr>
      <w:rFonts w:ascii="Arial" w:hAnsi="Arial"/>
      <w:smallCaps/>
      <w:spacing w:val="40"/>
      <w:sz w:val="16"/>
      <w:szCs w:val="16"/>
      <w:lang w:eastAsia="en-GB"/>
    </w:rPr>
  </w:style>
  <w:style w:type="character" w:customStyle="1" w:styleId="Heading3Char">
    <w:name w:val="Heading 3 Char"/>
    <w:basedOn w:val="DefaultParagraphFont"/>
    <w:link w:val="Heading3"/>
    <w:uiPriority w:val="99"/>
    <w:rsid w:val="001920F1"/>
    <w:rPr>
      <w:rFonts w:ascii="Arial" w:hAnsi="Arial"/>
      <w:b/>
      <w:i/>
      <w:sz w:val="24"/>
      <w:szCs w:val="24"/>
      <w:lang w:eastAsia="en-GB"/>
    </w:rPr>
  </w:style>
  <w:style w:type="paragraph" w:styleId="ListParagraph">
    <w:name w:val="List Paragraph"/>
    <w:basedOn w:val="Normal"/>
    <w:uiPriority w:val="34"/>
    <w:qFormat/>
    <w:rsid w:val="001920F1"/>
    <w:pPr>
      <w:spacing w:before="0" w:after="200" w:line="276" w:lineRule="auto"/>
      <w:ind w:left="720"/>
      <w:contextualSpacing/>
    </w:pPr>
    <w:rPr>
      <w:rFonts w:asciiTheme="minorHAnsi" w:eastAsiaTheme="minorHAnsi" w:hAnsiTheme="minorHAnsi" w:cstheme="minorBidi"/>
      <w:lang w:eastAsia="en-US"/>
    </w:rPr>
  </w:style>
  <w:style w:type="paragraph" w:customStyle="1" w:styleId="Figureheading">
    <w:name w:val="Figure heading"/>
    <w:basedOn w:val="Normal"/>
    <w:qFormat/>
    <w:rsid w:val="00753189"/>
    <w:pPr>
      <w:keepNext/>
      <w:spacing w:before="120" w:after="120"/>
      <w:ind w:right="1418"/>
    </w:pPr>
    <w:rPr>
      <w:rFonts w:cs="Arial"/>
      <w:b/>
      <w:sz w:val="20"/>
      <w:lang w:eastAsia="en-NZ"/>
    </w:rPr>
  </w:style>
  <w:style w:type="character" w:customStyle="1" w:styleId="BulletChar">
    <w:name w:val="Bullet Char"/>
    <w:link w:val="Bullet"/>
    <w:uiPriority w:val="99"/>
    <w:locked/>
    <w:rsid w:val="000A0D15"/>
    <w:rPr>
      <w:rFonts w:ascii="Arial" w:hAnsi="Arial"/>
      <w:sz w:val="22"/>
      <w:szCs w:val="22"/>
      <w:lang w:eastAsia="en-GB"/>
    </w:rPr>
  </w:style>
  <w:style w:type="table" w:styleId="MediumShading1-Accent1">
    <w:name w:val="Medium Shading 1 Accent 1"/>
    <w:basedOn w:val="TableNormal"/>
    <w:uiPriority w:val="63"/>
    <w:rsid w:val="000A0D1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A0D1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QuoteChar">
    <w:name w:val="Quote Char"/>
    <w:basedOn w:val="DefaultParagraphFont"/>
    <w:link w:val="Quote"/>
    <w:uiPriority w:val="29"/>
    <w:rsid w:val="00B8763C"/>
    <w:rPr>
      <w:rFonts w:ascii="Arial" w:hAnsi="Arial"/>
      <w:i/>
      <w:sz w:val="22"/>
      <w:szCs w:val="22"/>
      <w:lang w:eastAsia="en-GB"/>
    </w:rPr>
  </w:style>
  <w:style w:type="character" w:styleId="Strong">
    <w:name w:val="Strong"/>
    <w:basedOn w:val="DefaultParagraphFont"/>
    <w:uiPriority w:val="22"/>
    <w:qFormat/>
    <w:rsid w:val="00536B24"/>
    <w:rPr>
      <w:b/>
      <w:bCs/>
    </w:rPr>
  </w:style>
  <w:style w:type="character" w:styleId="CommentReference">
    <w:name w:val="annotation reference"/>
    <w:basedOn w:val="DefaultParagraphFont"/>
    <w:uiPriority w:val="99"/>
    <w:semiHidden/>
    <w:unhideWhenUsed/>
    <w:rsid w:val="0097150B"/>
    <w:rPr>
      <w:sz w:val="16"/>
      <w:szCs w:val="16"/>
    </w:rPr>
  </w:style>
  <w:style w:type="paragraph" w:styleId="CommentSubject">
    <w:name w:val="annotation subject"/>
    <w:basedOn w:val="CommentText"/>
    <w:next w:val="CommentText"/>
    <w:link w:val="CommentSubjectChar"/>
    <w:uiPriority w:val="99"/>
    <w:semiHidden/>
    <w:unhideWhenUsed/>
    <w:rsid w:val="0097150B"/>
    <w:pPr>
      <w:ind w:left="709"/>
    </w:pPr>
    <w:rPr>
      <w:b/>
      <w:bCs/>
    </w:rPr>
  </w:style>
  <w:style w:type="character" w:customStyle="1" w:styleId="CommentSubjectChar">
    <w:name w:val="Comment Subject Char"/>
    <w:basedOn w:val="CommentTextChar"/>
    <w:link w:val="CommentSubject"/>
    <w:uiPriority w:val="99"/>
    <w:semiHidden/>
    <w:rsid w:val="0097150B"/>
    <w:rPr>
      <w:rFonts w:ascii="Arial" w:hAnsi="Arial"/>
      <w:b/>
      <w:bCs/>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CFB"/>
    <w:pPr>
      <w:spacing w:before="240"/>
      <w:ind w:left="709"/>
    </w:pPr>
    <w:rPr>
      <w:rFonts w:ascii="Arial" w:hAnsi="Arial"/>
      <w:sz w:val="22"/>
      <w:szCs w:val="22"/>
      <w:lang w:eastAsia="en-GB"/>
    </w:rPr>
  </w:style>
  <w:style w:type="paragraph" w:styleId="Heading1">
    <w:name w:val="heading 1"/>
    <w:aliases w:val="H1,Chapter Headline,Chapter Headline1,Chapter Headline2,Chapter Headline3,Chapter Headline4,Chapter Headline5,Chapter Headline6,Chapter Headline7,Chapter Headline8,Chapter Headline9,Chapter Headline10,Chapter Headline11,Chapter Headline12"/>
    <w:basedOn w:val="Normal"/>
    <w:next w:val="Normal"/>
    <w:link w:val="Heading1Char"/>
    <w:uiPriority w:val="99"/>
    <w:qFormat/>
    <w:rsid w:val="000032F0"/>
    <w:pPr>
      <w:spacing w:before="0" w:after="360"/>
      <w:ind w:left="0"/>
      <w:jc w:val="center"/>
      <w:outlineLvl w:val="0"/>
    </w:pPr>
    <w:rPr>
      <w:b/>
      <w:sz w:val="36"/>
      <w:szCs w:val="36"/>
    </w:rPr>
  </w:style>
  <w:style w:type="paragraph" w:styleId="Heading2">
    <w:name w:val="heading 2"/>
    <w:basedOn w:val="Normal"/>
    <w:next w:val="Normal"/>
    <w:link w:val="Heading2Char"/>
    <w:qFormat/>
    <w:rsid w:val="002F237A"/>
    <w:pPr>
      <w:keepNext/>
      <w:spacing w:before="720" w:after="120"/>
      <w:ind w:hanging="709"/>
      <w:outlineLvl w:val="1"/>
    </w:pPr>
    <w:rPr>
      <w:b/>
      <w:sz w:val="28"/>
      <w:szCs w:val="28"/>
    </w:rPr>
  </w:style>
  <w:style w:type="paragraph" w:styleId="Heading3">
    <w:name w:val="heading 3"/>
    <w:basedOn w:val="Normal"/>
    <w:next w:val="Normal"/>
    <w:link w:val="Heading3Char"/>
    <w:uiPriority w:val="99"/>
    <w:qFormat/>
    <w:rsid w:val="00B25787"/>
    <w:pPr>
      <w:keepNext/>
      <w:spacing w:before="360" w:after="240"/>
      <w:ind w:left="567" w:hanging="567"/>
      <w:outlineLvl w:val="2"/>
    </w:pPr>
    <w:rPr>
      <w:b/>
      <w:i/>
      <w:sz w:val="24"/>
      <w:szCs w:val="24"/>
    </w:rPr>
  </w:style>
  <w:style w:type="paragraph" w:styleId="Heading4">
    <w:name w:val="heading 4"/>
    <w:basedOn w:val="Normal"/>
    <w:next w:val="Normal"/>
    <w:link w:val="Heading4Char"/>
    <w:uiPriority w:val="99"/>
    <w:qFormat/>
    <w:pPr>
      <w:keepNext/>
      <w:spacing w:after="240"/>
      <w:outlineLvl w:val="3"/>
    </w:pPr>
    <w:rPr>
      <w:b/>
    </w:rPr>
  </w:style>
  <w:style w:type="paragraph" w:styleId="Heading5">
    <w:name w:val="heading 5"/>
    <w:basedOn w:val="Normal"/>
    <w:next w:val="Normal"/>
    <w:qFormat/>
    <w:pPr>
      <w:keepNext/>
      <w:spacing w:before="120" w:after="120"/>
      <w:outlineLvl w:val="4"/>
    </w:pPr>
    <w:rPr>
      <w:b/>
      <w:i/>
    </w:rPr>
  </w:style>
  <w:style w:type="paragraph" w:styleId="Heading6">
    <w:name w:val="heading 6"/>
    <w:basedOn w:val="Normal"/>
    <w:next w:val="Normal"/>
    <w:qFormat/>
    <w:pPr>
      <w:spacing w:before="120" w:after="120"/>
      <w:outlineLvl w:val="5"/>
    </w:pPr>
  </w:style>
  <w:style w:type="paragraph" w:styleId="Heading7">
    <w:name w:val="heading 7"/>
    <w:basedOn w:val="Normal"/>
    <w:next w:val="Normal"/>
    <w:qFormat/>
    <w:pPr>
      <w:numPr>
        <w:ilvl w:val="6"/>
        <w:numId w:val="1"/>
      </w:numPr>
      <w:spacing w:after="60"/>
      <w:outlineLvl w:val="6"/>
    </w:pPr>
    <w:rPr>
      <w:sz w:val="20"/>
      <w:lang w:val="en-AU"/>
    </w:rPr>
  </w:style>
  <w:style w:type="paragraph" w:styleId="Heading8">
    <w:name w:val="heading 8"/>
    <w:basedOn w:val="Normal"/>
    <w:next w:val="Normal"/>
    <w:qFormat/>
    <w:pPr>
      <w:numPr>
        <w:ilvl w:val="7"/>
        <w:numId w:val="1"/>
      </w:numPr>
      <w:spacing w:after="60"/>
      <w:outlineLvl w:val="7"/>
    </w:pPr>
    <w:rPr>
      <w:i/>
      <w:sz w:val="20"/>
      <w:lang w:val="en-AU"/>
    </w:rPr>
  </w:style>
  <w:style w:type="paragraph" w:styleId="Heading9">
    <w:name w:val="heading 9"/>
    <w:basedOn w:val="Normal"/>
    <w:next w:val="Normal"/>
    <w:qFormat/>
    <w:pPr>
      <w:numPr>
        <w:ilvl w:val="8"/>
        <w:numId w:val="1"/>
      </w:numPr>
      <w:spacing w:after="60"/>
      <w:outlineLvl w:val="8"/>
    </w:pPr>
    <w:rPr>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sh">
    <w:name w:val="Dash"/>
    <w:basedOn w:val="Normal"/>
    <w:rsid w:val="00DC7B0F"/>
    <w:pPr>
      <w:numPr>
        <w:numId w:val="5"/>
      </w:numPr>
      <w:tabs>
        <w:tab w:val="left" w:pos="1843"/>
      </w:tabs>
      <w:spacing w:before="60"/>
    </w:pPr>
  </w:style>
  <w:style w:type="paragraph" w:customStyle="1" w:styleId="Bullet">
    <w:name w:val="Bullet"/>
    <w:basedOn w:val="Normal"/>
    <w:link w:val="BulletChar"/>
    <w:uiPriority w:val="99"/>
    <w:rsid w:val="00CF2680"/>
    <w:pPr>
      <w:numPr>
        <w:numId w:val="4"/>
      </w:numPr>
      <w:tabs>
        <w:tab w:val="left" w:pos="1276"/>
      </w:tabs>
      <w:spacing w:before="120"/>
    </w:pPr>
  </w:style>
  <w:style w:type="paragraph" w:styleId="Quote">
    <w:name w:val="Quote"/>
    <w:basedOn w:val="Normal"/>
    <w:next w:val="Normal"/>
    <w:link w:val="QuoteChar"/>
    <w:uiPriority w:val="29"/>
    <w:qFormat/>
    <w:rsid w:val="00B671AB"/>
    <w:pPr>
      <w:spacing w:before="120"/>
      <w:ind w:left="1134" w:right="567"/>
    </w:pPr>
    <w:rPr>
      <w:i/>
    </w:rPr>
  </w:style>
  <w:style w:type="paragraph" w:styleId="TOC1">
    <w:name w:val="toc 1"/>
    <w:basedOn w:val="Normal"/>
    <w:next w:val="Normal"/>
    <w:uiPriority w:val="39"/>
    <w:rsid w:val="00C75AE2"/>
    <w:pPr>
      <w:tabs>
        <w:tab w:val="right" w:pos="5103"/>
      </w:tabs>
      <w:spacing w:before="300"/>
      <w:ind w:left="0" w:right="5103"/>
    </w:pPr>
  </w:style>
  <w:style w:type="paragraph" w:styleId="TOC2">
    <w:name w:val="toc 2"/>
    <w:basedOn w:val="Normal"/>
    <w:next w:val="Normal"/>
    <w:uiPriority w:val="39"/>
    <w:rsid w:val="00A44D12"/>
    <w:pPr>
      <w:tabs>
        <w:tab w:val="right" w:pos="5103"/>
      </w:tabs>
      <w:spacing w:before="60"/>
      <w:ind w:right="5103"/>
    </w:pPr>
    <w:rPr>
      <w:sz w:val="20"/>
    </w:rPr>
  </w:style>
  <w:style w:type="paragraph" w:styleId="FootnoteText">
    <w:name w:val="footnote text"/>
    <w:aliases w:val="Footnote Text Char Char"/>
    <w:basedOn w:val="Normal"/>
    <w:link w:val="FootnoteTextChar"/>
    <w:uiPriority w:val="99"/>
    <w:pPr>
      <w:spacing w:before="120"/>
      <w:ind w:left="284" w:hanging="284"/>
    </w:pPr>
    <w:rPr>
      <w:sz w:val="16"/>
    </w:rPr>
  </w:style>
  <w:style w:type="character" w:styleId="PageNumber">
    <w:name w:val="page number"/>
    <w:basedOn w:val="DefaultParagraphFont"/>
    <w:rsid w:val="00C11C5B"/>
    <w:rPr>
      <w:rFonts w:ascii="Arial" w:hAnsi="Arial"/>
      <w:b/>
      <w:spacing w:val="0"/>
      <w:kern w:val="0"/>
      <w:position w:val="0"/>
      <w:sz w:val="24"/>
      <w:szCs w:val="24"/>
    </w:rPr>
  </w:style>
  <w:style w:type="paragraph" w:customStyle="1" w:styleId="Table">
    <w:name w:val="Table"/>
    <w:basedOn w:val="Figure"/>
    <w:next w:val="Normal"/>
    <w:rsid w:val="00CF2680"/>
    <w:pPr>
      <w:spacing w:before="80" w:after="80"/>
      <w:ind w:left="0" w:firstLine="0"/>
      <w:jc w:val="center"/>
    </w:pPr>
  </w:style>
  <w:style w:type="paragraph" w:styleId="Footer">
    <w:name w:val="footer"/>
    <w:basedOn w:val="Normal"/>
    <w:rsid w:val="000032F0"/>
    <w:pPr>
      <w:spacing w:before="0"/>
      <w:ind w:left="0"/>
    </w:pPr>
    <w:rPr>
      <w:spacing w:val="40"/>
      <w:sz w:val="16"/>
      <w:szCs w:val="16"/>
    </w:rPr>
  </w:style>
  <w:style w:type="paragraph" w:styleId="Header">
    <w:name w:val="header"/>
    <w:basedOn w:val="Normal"/>
    <w:link w:val="HeaderChar"/>
    <w:rsid w:val="000032F0"/>
    <w:pPr>
      <w:spacing w:before="0"/>
      <w:ind w:left="0"/>
      <w:jc w:val="center"/>
    </w:pPr>
    <w:rPr>
      <w:smallCaps/>
      <w:spacing w:val="40"/>
      <w:sz w:val="16"/>
      <w:szCs w:val="16"/>
    </w:rPr>
  </w:style>
  <w:style w:type="paragraph" w:customStyle="1" w:styleId="Heading">
    <w:name w:val="Heading"/>
    <w:basedOn w:val="Heading1"/>
    <w:next w:val="Normal"/>
    <w:rsid w:val="00B25787"/>
    <w:pPr>
      <w:jc w:val="left"/>
    </w:pPr>
    <w:rPr>
      <w:sz w:val="28"/>
      <w:szCs w:val="28"/>
    </w:rPr>
  </w:style>
  <w:style w:type="character" w:styleId="Hyperlink">
    <w:name w:val="Hyperlink"/>
    <w:basedOn w:val="DefaultParagraphFont"/>
    <w:rPr>
      <w:color w:val="0000FF"/>
      <w:u w:val="single"/>
    </w:rPr>
  </w:style>
  <w:style w:type="paragraph" w:styleId="TOC3">
    <w:name w:val="toc 3"/>
    <w:basedOn w:val="Normal"/>
    <w:next w:val="Normal"/>
    <w:autoRedefine/>
    <w:uiPriority w:val="39"/>
    <w:pPr>
      <w:tabs>
        <w:tab w:val="right" w:pos="8222"/>
      </w:tabs>
      <w:spacing w:before="120"/>
      <w:ind w:left="567" w:right="851" w:hanging="567"/>
    </w:pPr>
    <w:rPr>
      <w:sz w:val="18"/>
    </w:rPr>
  </w:style>
  <w:style w:type="character" w:styleId="FootnoteReference">
    <w:name w:val="footnote reference"/>
    <w:basedOn w:val="DefaultParagraphFont"/>
    <w:uiPriority w:val="99"/>
    <w:rPr>
      <w:vertAlign w:val="superscript"/>
    </w:rPr>
  </w:style>
  <w:style w:type="paragraph" w:customStyle="1" w:styleId="TableText">
    <w:name w:val="TableText"/>
    <w:basedOn w:val="Normal"/>
    <w:rsid w:val="0021521A"/>
    <w:pPr>
      <w:spacing w:before="80" w:after="80"/>
      <w:ind w:left="0"/>
    </w:pPr>
    <w:rPr>
      <w:sz w:val="20"/>
      <w:szCs w:val="20"/>
    </w:rPr>
  </w:style>
  <w:style w:type="paragraph" w:customStyle="1" w:styleId="ClientName">
    <w:name w:val="Client Name"/>
    <w:basedOn w:val="Normal"/>
    <w:uiPriority w:val="99"/>
    <w:rsid w:val="00A92022"/>
    <w:pPr>
      <w:spacing w:before="0" w:after="3000"/>
      <w:ind w:left="0"/>
      <w:jc w:val="center"/>
    </w:pPr>
    <w:rPr>
      <w:sz w:val="36"/>
      <w:szCs w:val="36"/>
    </w:rPr>
  </w:style>
  <w:style w:type="paragraph" w:styleId="Title">
    <w:name w:val="Title"/>
    <w:basedOn w:val="Normal"/>
    <w:qFormat/>
    <w:rsid w:val="00C75AE2"/>
    <w:pPr>
      <w:pBdr>
        <w:top w:val="single" w:sz="4" w:space="31" w:color="C0C0C0"/>
        <w:left w:val="single" w:sz="4" w:space="12" w:color="C0C0C0"/>
        <w:bottom w:val="single" w:sz="4" w:space="31" w:color="C0C0C0"/>
        <w:right w:val="single" w:sz="4" w:space="12" w:color="C0C0C0"/>
      </w:pBdr>
      <w:shd w:val="clear" w:color="auto" w:fill="FFFFFF"/>
      <w:spacing w:before="0" w:after="2000"/>
      <w:ind w:left="1985" w:right="1985"/>
      <w:jc w:val="center"/>
    </w:pPr>
    <w:rPr>
      <w:b/>
      <w:sz w:val="36"/>
      <w:szCs w:val="36"/>
    </w:rPr>
  </w:style>
  <w:style w:type="paragraph" w:customStyle="1" w:styleId="TableBullet">
    <w:name w:val="TableBullet"/>
    <w:basedOn w:val="TableText"/>
    <w:next w:val="Subtitle"/>
    <w:rsid w:val="00CF2680"/>
    <w:pPr>
      <w:numPr>
        <w:numId w:val="3"/>
      </w:numPr>
      <w:spacing w:before="0"/>
    </w:pPr>
  </w:style>
  <w:style w:type="paragraph" w:styleId="Subtitle">
    <w:name w:val="Subtitle"/>
    <w:basedOn w:val="Normal"/>
    <w:qFormat/>
    <w:rsid w:val="00B25787"/>
    <w:pPr>
      <w:spacing w:before="0" w:after="2000"/>
      <w:ind w:left="0"/>
      <w:outlineLvl w:val="1"/>
    </w:pPr>
    <w:rPr>
      <w:b/>
      <w:sz w:val="36"/>
      <w:szCs w:val="36"/>
    </w:rPr>
  </w:style>
  <w:style w:type="character" w:styleId="FollowedHyperlink">
    <w:name w:val="FollowedHyperlink"/>
    <w:basedOn w:val="DefaultParagraphFont"/>
    <w:rsid w:val="00A848A4"/>
    <w:rPr>
      <w:color w:val="800080"/>
      <w:u w:val="single"/>
    </w:rPr>
  </w:style>
  <w:style w:type="paragraph" w:customStyle="1" w:styleId="Box">
    <w:name w:val="Box"/>
    <w:basedOn w:val="Normal"/>
    <w:rsid w:val="00B671AB"/>
    <w:pPr>
      <w:pBdr>
        <w:top w:val="single" w:sz="4" w:space="12" w:color="auto"/>
        <w:left w:val="single" w:sz="4" w:space="12" w:color="auto"/>
        <w:bottom w:val="single" w:sz="4" w:space="12" w:color="auto"/>
        <w:right w:val="single" w:sz="4" w:space="12" w:color="auto"/>
      </w:pBdr>
      <w:spacing w:before="120"/>
      <w:ind w:left="851" w:right="284"/>
    </w:pPr>
    <w:rPr>
      <w:sz w:val="20"/>
    </w:rPr>
  </w:style>
  <w:style w:type="paragraph" w:customStyle="1" w:styleId="BoxHeading">
    <w:name w:val="BoxHeading"/>
    <w:basedOn w:val="Box"/>
    <w:next w:val="Box"/>
    <w:pPr>
      <w:keepNext/>
    </w:pPr>
    <w:rPr>
      <w:b/>
    </w:rPr>
  </w:style>
  <w:style w:type="paragraph" w:customStyle="1" w:styleId="BoxBullet">
    <w:name w:val="BoxBullet"/>
    <w:basedOn w:val="Box"/>
    <w:rsid w:val="00EA434F"/>
    <w:pPr>
      <w:numPr>
        <w:numId w:val="2"/>
      </w:numPr>
    </w:pPr>
  </w:style>
  <w:style w:type="paragraph" w:customStyle="1" w:styleId="Figure">
    <w:name w:val="Figure"/>
    <w:basedOn w:val="Normal"/>
    <w:next w:val="Normal"/>
    <w:rsid w:val="002F237A"/>
    <w:pPr>
      <w:keepNext/>
      <w:spacing w:after="120"/>
      <w:ind w:left="1701" w:hanging="992"/>
    </w:pPr>
    <w:rPr>
      <w:b/>
      <w:sz w:val="20"/>
    </w:rPr>
  </w:style>
  <w:style w:type="character" w:customStyle="1" w:styleId="Heading1Char">
    <w:name w:val="Heading 1 Char"/>
    <w:aliases w:val="H1 Char,Chapter Headline Char,Chapter Headline1 Char,Chapter Headline2 Char,Chapter Headline3 Char,Chapter Headline4 Char,Chapter Headline5 Char,Chapter Headline6 Char,Chapter Headline7 Char,Chapter Headline8 Char,Chapter Headline9 Char"/>
    <w:link w:val="Heading1"/>
    <w:uiPriority w:val="99"/>
    <w:rsid w:val="00327EC9"/>
    <w:rPr>
      <w:rFonts w:ascii="Arial" w:hAnsi="Arial"/>
      <w:b/>
      <w:sz w:val="36"/>
      <w:szCs w:val="36"/>
      <w:lang w:eastAsia="en-GB"/>
    </w:rPr>
  </w:style>
  <w:style w:type="character" w:customStyle="1" w:styleId="Heading2Char">
    <w:name w:val="Heading 2 Char"/>
    <w:link w:val="Heading2"/>
    <w:rsid w:val="00AB4993"/>
    <w:rPr>
      <w:rFonts w:ascii="Arial" w:hAnsi="Arial"/>
      <w:b/>
      <w:sz w:val="28"/>
      <w:szCs w:val="28"/>
      <w:lang w:eastAsia="en-GB"/>
    </w:rPr>
  </w:style>
  <w:style w:type="character" w:customStyle="1" w:styleId="FootnoteTextChar">
    <w:name w:val="Footnote Text Char"/>
    <w:aliases w:val="Footnote Text Char Char Char"/>
    <w:link w:val="FootnoteText"/>
    <w:uiPriority w:val="99"/>
    <w:rsid w:val="00AB4993"/>
    <w:rPr>
      <w:rFonts w:ascii="Arial" w:hAnsi="Arial"/>
      <w:sz w:val="16"/>
      <w:szCs w:val="22"/>
      <w:lang w:eastAsia="en-GB"/>
    </w:rPr>
  </w:style>
  <w:style w:type="character" w:customStyle="1" w:styleId="st">
    <w:name w:val="st"/>
    <w:rsid w:val="00AB4993"/>
  </w:style>
  <w:style w:type="paragraph" w:customStyle="1" w:styleId="List7">
    <w:name w:val="List 7"/>
    <w:basedOn w:val="Normal"/>
    <w:semiHidden/>
    <w:rsid w:val="00AB4993"/>
    <w:pPr>
      <w:numPr>
        <w:numId w:val="7"/>
      </w:numPr>
      <w:spacing w:before="0"/>
    </w:pPr>
    <w:rPr>
      <w:rFonts w:ascii="Times New Roman" w:hAnsi="Times New Roman"/>
      <w:sz w:val="20"/>
      <w:szCs w:val="20"/>
      <w:lang w:val="en-AU" w:eastAsia="en-US"/>
    </w:rPr>
  </w:style>
  <w:style w:type="paragraph" w:customStyle="1" w:styleId="List8">
    <w:name w:val="List 8"/>
    <w:basedOn w:val="Normal"/>
    <w:rsid w:val="00AB4993"/>
    <w:pPr>
      <w:numPr>
        <w:numId w:val="8"/>
      </w:numPr>
      <w:spacing w:before="0"/>
    </w:pPr>
    <w:rPr>
      <w:rFonts w:ascii="Times New Roman" w:hAnsi="Times New Roman"/>
      <w:sz w:val="20"/>
      <w:szCs w:val="20"/>
      <w:lang w:val="en-AU" w:eastAsia="en-US"/>
    </w:rPr>
  </w:style>
  <w:style w:type="table" w:styleId="TableGrid">
    <w:name w:val="Table Grid"/>
    <w:basedOn w:val="TableNormal"/>
    <w:uiPriority w:val="59"/>
    <w:rsid w:val="00EF1D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EF1D54"/>
    <w:pPr>
      <w:ind w:left="0"/>
    </w:pPr>
    <w:rPr>
      <w:sz w:val="20"/>
      <w:szCs w:val="20"/>
    </w:rPr>
  </w:style>
  <w:style w:type="character" w:customStyle="1" w:styleId="CommentTextChar">
    <w:name w:val="Comment Text Char"/>
    <w:basedOn w:val="DefaultParagraphFont"/>
    <w:link w:val="CommentText"/>
    <w:uiPriority w:val="99"/>
    <w:rsid w:val="00EF1D54"/>
    <w:rPr>
      <w:rFonts w:ascii="Arial" w:hAnsi="Arial"/>
      <w:lang w:eastAsia="en-GB"/>
    </w:rPr>
  </w:style>
  <w:style w:type="character" w:customStyle="1" w:styleId="Heading4Char">
    <w:name w:val="Heading 4 Char"/>
    <w:basedOn w:val="DefaultParagraphFont"/>
    <w:link w:val="Heading4"/>
    <w:uiPriority w:val="99"/>
    <w:rsid w:val="00EF1D54"/>
    <w:rPr>
      <w:rFonts w:ascii="Arial" w:hAnsi="Arial"/>
      <w:b/>
      <w:sz w:val="22"/>
      <w:szCs w:val="22"/>
      <w:lang w:eastAsia="en-GB"/>
    </w:rPr>
  </w:style>
  <w:style w:type="paragraph" w:styleId="BalloonText">
    <w:name w:val="Balloon Text"/>
    <w:basedOn w:val="Normal"/>
    <w:link w:val="BalloonTextChar"/>
    <w:uiPriority w:val="99"/>
    <w:semiHidden/>
    <w:unhideWhenUsed/>
    <w:rsid w:val="00DC665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652"/>
    <w:rPr>
      <w:rFonts w:ascii="Tahoma" w:hAnsi="Tahoma" w:cs="Tahoma"/>
      <w:sz w:val="16"/>
      <w:szCs w:val="16"/>
      <w:lang w:eastAsia="en-GB"/>
    </w:rPr>
  </w:style>
  <w:style w:type="character" w:customStyle="1" w:styleId="HeaderChar">
    <w:name w:val="Header Char"/>
    <w:basedOn w:val="DefaultParagraphFont"/>
    <w:link w:val="Header"/>
    <w:rsid w:val="00DC0B42"/>
    <w:rPr>
      <w:rFonts w:ascii="Arial" w:hAnsi="Arial"/>
      <w:smallCaps/>
      <w:spacing w:val="40"/>
      <w:sz w:val="16"/>
      <w:szCs w:val="16"/>
      <w:lang w:eastAsia="en-GB"/>
    </w:rPr>
  </w:style>
  <w:style w:type="character" w:customStyle="1" w:styleId="Heading3Char">
    <w:name w:val="Heading 3 Char"/>
    <w:basedOn w:val="DefaultParagraphFont"/>
    <w:link w:val="Heading3"/>
    <w:uiPriority w:val="99"/>
    <w:rsid w:val="001920F1"/>
    <w:rPr>
      <w:rFonts w:ascii="Arial" w:hAnsi="Arial"/>
      <w:b/>
      <w:i/>
      <w:sz w:val="24"/>
      <w:szCs w:val="24"/>
      <w:lang w:eastAsia="en-GB"/>
    </w:rPr>
  </w:style>
  <w:style w:type="paragraph" w:styleId="ListParagraph">
    <w:name w:val="List Paragraph"/>
    <w:basedOn w:val="Normal"/>
    <w:uiPriority w:val="34"/>
    <w:qFormat/>
    <w:rsid w:val="001920F1"/>
    <w:pPr>
      <w:spacing w:before="0" w:after="200" w:line="276" w:lineRule="auto"/>
      <w:ind w:left="720"/>
      <w:contextualSpacing/>
    </w:pPr>
    <w:rPr>
      <w:rFonts w:asciiTheme="minorHAnsi" w:eastAsiaTheme="minorHAnsi" w:hAnsiTheme="minorHAnsi" w:cstheme="minorBidi"/>
      <w:lang w:eastAsia="en-US"/>
    </w:rPr>
  </w:style>
  <w:style w:type="paragraph" w:customStyle="1" w:styleId="Figureheading">
    <w:name w:val="Figure heading"/>
    <w:basedOn w:val="Normal"/>
    <w:qFormat/>
    <w:rsid w:val="00753189"/>
    <w:pPr>
      <w:keepNext/>
      <w:spacing w:before="120" w:after="120"/>
      <w:ind w:right="1418"/>
    </w:pPr>
    <w:rPr>
      <w:rFonts w:cs="Arial"/>
      <w:b/>
      <w:sz w:val="20"/>
      <w:lang w:eastAsia="en-NZ"/>
    </w:rPr>
  </w:style>
  <w:style w:type="character" w:customStyle="1" w:styleId="BulletChar">
    <w:name w:val="Bullet Char"/>
    <w:link w:val="Bullet"/>
    <w:uiPriority w:val="99"/>
    <w:locked/>
    <w:rsid w:val="000A0D15"/>
    <w:rPr>
      <w:rFonts w:ascii="Arial" w:hAnsi="Arial"/>
      <w:sz w:val="22"/>
      <w:szCs w:val="22"/>
      <w:lang w:eastAsia="en-GB"/>
    </w:rPr>
  </w:style>
  <w:style w:type="table" w:styleId="MediumShading1-Accent1">
    <w:name w:val="Medium Shading 1 Accent 1"/>
    <w:basedOn w:val="TableNormal"/>
    <w:uiPriority w:val="63"/>
    <w:rsid w:val="000A0D1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A0D1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QuoteChar">
    <w:name w:val="Quote Char"/>
    <w:basedOn w:val="DefaultParagraphFont"/>
    <w:link w:val="Quote"/>
    <w:uiPriority w:val="29"/>
    <w:rsid w:val="00B8763C"/>
    <w:rPr>
      <w:rFonts w:ascii="Arial" w:hAnsi="Arial"/>
      <w:i/>
      <w:sz w:val="22"/>
      <w:szCs w:val="22"/>
      <w:lang w:eastAsia="en-GB"/>
    </w:rPr>
  </w:style>
  <w:style w:type="character" w:styleId="Strong">
    <w:name w:val="Strong"/>
    <w:basedOn w:val="DefaultParagraphFont"/>
    <w:uiPriority w:val="22"/>
    <w:qFormat/>
    <w:rsid w:val="00536B24"/>
    <w:rPr>
      <w:b/>
      <w:bCs/>
    </w:rPr>
  </w:style>
  <w:style w:type="character" w:styleId="CommentReference">
    <w:name w:val="annotation reference"/>
    <w:basedOn w:val="DefaultParagraphFont"/>
    <w:uiPriority w:val="99"/>
    <w:semiHidden/>
    <w:unhideWhenUsed/>
    <w:rsid w:val="0097150B"/>
    <w:rPr>
      <w:sz w:val="16"/>
      <w:szCs w:val="16"/>
    </w:rPr>
  </w:style>
  <w:style w:type="paragraph" w:styleId="CommentSubject">
    <w:name w:val="annotation subject"/>
    <w:basedOn w:val="CommentText"/>
    <w:next w:val="CommentText"/>
    <w:link w:val="CommentSubjectChar"/>
    <w:uiPriority w:val="99"/>
    <w:semiHidden/>
    <w:unhideWhenUsed/>
    <w:rsid w:val="0097150B"/>
    <w:pPr>
      <w:ind w:left="709"/>
    </w:pPr>
    <w:rPr>
      <w:b/>
      <w:bCs/>
    </w:rPr>
  </w:style>
  <w:style w:type="character" w:customStyle="1" w:styleId="CommentSubjectChar">
    <w:name w:val="Comment Subject Char"/>
    <w:basedOn w:val="CommentTextChar"/>
    <w:link w:val="CommentSubject"/>
    <w:uiPriority w:val="99"/>
    <w:semiHidden/>
    <w:rsid w:val="0097150B"/>
    <w:rPr>
      <w:rFonts w:ascii="Arial" w:hAnsi="Arial"/>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6724">
      <w:bodyDiv w:val="1"/>
      <w:marLeft w:val="0"/>
      <w:marRight w:val="0"/>
      <w:marTop w:val="0"/>
      <w:marBottom w:val="0"/>
      <w:divBdr>
        <w:top w:val="none" w:sz="0" w:space="0" w:color="auto"/>
        <w:left w:val="none" w:sz="0" w:space="0" w:color="auto"/>
        <w:bottom w:val="none" w:sz="0" w:space="0" w:color="auto"/>
        <w:right w:val="none" w:sz="0" w:space="0" w:color="auto"/>
      </w:divBdr>
    </w:div>
    <w:div w:id="67312824">
      <w:bodyDiv w:val="1"/>
      <w:marLeft w:val="0"/>
      <w:marRight w:val="0"/>
      <w:marTop w:val="0"/>
      <w:marBottom w:val="0"/>
      <w:divBdr>
        <w:top w:val="none" w:sz="0" w:space="0" w:color="auto"/>
        <w:left w:val="none" w:sz="0" w:space="0" w:color="auto"/>
        <w:bottom w:val="none" w:sz="0" w:space="0" w:color="auto"/>
        <w:right w:val="none" w:sz="0" w:space="0" w:color="auto"/>
      </w:divBdr>
    </w:div>
    <w:div w:id="76095637">
      <w:bodyDiv w:val="1"/>
      <w:marLeft w:val="0"/>
      <w:marRight w:val="0"/>
      <w:marTop w:val="0"/>
      <w:marBottom w:val="0"/>
      <w:divBdr>
        <w:top w:val="none" w:sz="0" w:space="0" w:color="auto"/>
        <w:left w:val="none" w:sz="0" w:space="0" w:color="auto"/>
        <w:bottom w:val="none" w:sz="0" w:space="0" w:color="auto"/>
        <w:right w:val="none" w:sz="0" w:space="0" w:color="auto"/>
      </w:divBdr>
    </w:div>
    <w:div w:id="117646250">
      <w:bodyDiv w:val="1"/>
      <w:marLeft w:val="0"/>
      <w:marRight w:val="0"/>
      <w:marTop w:val="0"/>
      <w:marBottom w:val="0"/>
      <w:divBdr>
        <w:top w:val="none" w:sz="0" w:space="0" w:color="auto"/>
        <w:left w:val="none" w:sz="0" w:space="0" w:color="auto"/>
        <w:bottom w:val="none" w:sz="0" w:space="0" w:color="auto"/>
        <w:right w:val="none" w:sz="0" w:space="0" w:color="auto"/>
      </w:divBdr>
    </w:div>
    <w:div w:id="131220635">
      <w:bodyDiv w:val="1"/>
      <w:marLeft w:val="0"/>
      <w:marRight w:val="0"/>
      <w:marTop w:val="0"/>
      <w:marBottom w:val="0"/>
      <w:divBdr>
        <w:top w:val="none" w:sz="0" w:space="0" w:color="auto"/>
        <w:left w:val="none" w:sz="0" w:space="0" w:color="auto"/>
        <w:bottom w:val="none" w:sz="0" w:space="0" w:color="auto"/>
        <w:right w:val="none" w:sz="0" w:space="0" w:color="auto"/>
      </w:divBdr>
    </w:div>
    <w:div w:id="151869042">
      <w:bodyDiv w:val="1"/>
      <w:marLeft w:val="0"/>
      <w:marRight w:val="0"/>
      <w:marTop w:val="0"/>
      <w:marBottom w:val="0"/>
      <w:divBdr>
        <w:top w:val="none" w:sz="0" w:space="0" w:color="auto"/>
        <w:left w:val="none" w:sz="0" w:space="0" w:color="auto"/>
        <w:bottom w:val="none" w:sz="0" w:space="0" w:color="auto"/>
        <w:right w:val="none" w:sz="0" w:space="0" w:color="auto"/>
      </w:divBdr>
    </w:div>
    <w:div w:id="198007779">
      <w:bodyDiv w:val="1"/>
      <w:marLeft w:val="0"/>
      <w:marRight w:val="0"/>
      <w:marTop w:val="0"/>
      <w:marBottom w:val="0"/>
      <w:divBdr>
        <w:top w:val="none" w:sz="0" w:space="0" w:color="auto"/>
        <w:left w:val="none" w:sz="0" w:space="0" w:color="auto"/>
        <w:bottom w:val="none" w:sz="0" w:space="0" w:color="auto"/>
        <w:right w:val="none" w:sz="0" w:space="0" w:color="auto"/>
      </w:divBdr>
    </w:div>
    <w:div w:id="314455717">
      <w:bodyDiv w:val="1"/>
      <w:marLeft w:val="0"/>
      <w:marRight w:val="0"/>
      <w:marTop w:val="0"/>
      <w:marBottom w:val="0"/>
      <w:divBdr>
        <w:top w:val="none" w:sz="0" w:space="0" w:color="auto"/>
        <w:left w:val="none" w:sz="0" w:space="0" w:color="auto"/>
        <w:bottom w:val="none" w:sz="0" w:space="0" w:color="auto"/>
        <w:right w:val="none" w:sz="0" w:space="0" w:color="auto"/>
      </w:divBdr>
    </w:div>
    <w:div w:id="397943538">
      <w:bodyDiv w:val="1"/>
      <w:marLeft w:val="0"/>
      <w:marRight w:val="0"/>
      <w:marTop w:val="0"/>
      <w:marBottom w:val="0"/>
      <w:divBdr>
        <w:top w:val="none" w:sz="0" w:space="0" w:color="auto"/>
        <w:left w:val="none" w:sz="0" w:space="0" w:color="auto"/>
        <w:bottom w:val="none" w:sz="0" w:space="0" w:color="auto"/>
        <w:right w:val="none" w:sz="0" w:space="0" w:color="auto"/>
      </w:divBdr>
    </w:div>
    <w:div w:id="480269792">
      <w:bodyDiv w:val="1"/>
      <w:marLeft w:val="0"/>
      <w:marRight w:val="0"/>
      <w:marTop w:val="0"/>
      <w:marBottom w:val="0"/>
      <w:divBdr>
        <w:top w:val="none" w:sz="0" w:space="0" w:color="auto"/>
        <w:left w:val="none" w:sz="0" w:space="0" w:color="auto"/>
        <w:bottom w:val="none" w:sz="0" w:space="0" w:color="auto"/>
        <w:right w:val="none" w:sz="0" w:space="0" w:color="auto"/>
      </w:divBdr>
    </w:div>
    <w:div w:id="481039955">
      <w:bodyDiv w:val="1"/>
      <w:marLeft w:val="0"/>
      <w:marRight w:val="0"/>
      <w:marTop w:val="0"/>
      <w:marBottom w:val="0"/>
      <w:divBdr>
        <w:top w:val="none" w:sz="0" w:space="0" w:color="auto"/>
        <w:left w:val="none" w:sz="0" w:space="0" w:color="auto"/>
        <w:bottom w:val="none" w:sz="0" w:space="0" w:color="auto"/>
        <w:right w:val="none" w:sz="0" w:space="0" w:color="auto"/>
      </w:divBdr>
    </w:div>
    <w:div w:id="513227289">
      <w:bodyDiv w:val="1"/>
      <w:marLeft w:val="0"/>
      <w:marRight w:val="0"/>
      <w:marTop w:val="0"/>
      <w:marBottom w:val="0"/>
      <w:divBdr>
        <w:top w:val="none" w:sz="0" w:space="0" w:color="auto"/>
        <w:left w:val="none" w:sz="0" w:space="0" w:color="auto"/>
        <w:bottom w:val="none" w:sz="0" w:space="0" w:color="auto"/>
        <w:right w:val="none" w:sz="0" w:space="0" w:color="auto"/>
      </w:divBdr>
    </w:div>
    <w:div w:id="551498160">
      <w:bodyDiv w:val="1"/>
      <w:marLeft w:val="0"/>
      <w:marRight w:val="0"/>
      <w:marTop w:val="0"/>
      <w:marBottom w:val="0"/>
      <w:divBdr>
        <w:top w:val="none" w:sz="0" w:space="0" w:color="auto"/>
        <w:left w:val="none" w:sz="0" w:space="0" w:color="auto"/>
        <w:bottom w:val="none" w:sz="0" w:space="0" w:color="auto"/>
        <w:right w:val="none" w:sz="0" w:space="0" w:color="auto"/>
      </w:divBdr>
    </w:div>
    <w:div w:id="629634347">
      <w:bodyDiv w:val="1"/>
      <w:marLeft w:val="0"/>
      <w:marRight w:val="0"/>
      <w:marTop w:val="0"/>
      <w:marBottom w:val="0"/>
      <w:divBdr>
        <w:top w:val="none" w:sz="0" w:space="0" w:color="auto"/>
        <w:left w:val="none" w:sz="0" w:space="0" w:color="auto"/>
        <w:bottom w:val="none" w:sz="0" w:space="0" w:color="auto"/>
        <w:right w:val="none" w:sz="0" w:space="0" w:color="auto"/>
      </w:divBdr>
    </w:div>
    <w:div w:id="646012765">
      <w:bodyDiv w:val="1"/>
      <w:marLeft w:val="0"/>
      <w:marRight w:val="0"/>
      <w:marTop w:val="0"/>
      <w:marBottom w:val="0"/>
      <w:divBdr>
        <w:top w:val="none" w:sz="0" w:space="0" w:color="auto"/>
        <w:left w:val="none" w:sz="0" w:space="0" w:color="auto"/>
        <w:bottom w:val="none" w:sz="0" w:space="0" w:color="auto"/>
        <w:right w:val="none" w:sz="0" w:space="0" w:color="auto"/>
      </w:divBdr>
    </w:div>
    <w:div w:id="781995888">
      <w:bodyDiv w:val="1"/>
      <w:marLeft w:val="0"/>
      <w:marRight w:val="0"/>
      <w:marTop w:val="0"/>
      <w:marBottom w:val="0"/>
      <w:divBdr>
        <w:top w:val="none" w:sz="0" w:space="0" w:color="auto"/>
        <w:left w:val="none" w:sz="0" w:space="0" w:color="auto"/>
        <w:bottom w:val="none" w:sz="0" w:space="0" w:color="auto"/>
        <w:right w:val="none" w:sz="0" w:space="0" w:color="auto"/>
      </w:divBdr>
    </w:div>
    <w:div w:id="811097741">
      <w:bodyDiv w:val="1"/>
      <w:marLeft w:val="0"/>
      <w:marRight w:val="0"/>
      <w:marTop w:val="0"/>
      <w:marBottom w:val="0"/>
      <w:divBdr>
        <w:top w:val="none" w:sz="0" w:space="0" w:color="auto"/>
        <w:left w:val="none" w:sz="0" w:space="0" w:color="auto"/>
        <w:bottom w:val="none" w:sz="0" w:space="0" w:color="auto"/>
        <w:right w:val="none" w:sz="0" w:space="0" w:color="auto"/>
      </w:divBdr>
    </w:div>
    <w:div w:id="812139074">
      <w:bodyDiv w:val="1"/>
      <w:marLeft w:val="0"/>
      <w:marRight w:val="0"/>
      <w:marTop w:val="0"/>
      <w:marBottom w:val="0"/>
      <w:divBdr>
        <w:top w:val="none" w:sz="0" w:space="0" w:color="auto"/>
        <w:left w:val="none" w:sz="0" w:space="0" w:color="auto"/>
        <w:bottom w:val="none" w:sz="0" w:space="0" w:color="auto"/>
        <w:right w:val="none" w:sz="0" w:space="0" w:color="auto"/>
      </w:divBdr>
    </w:div>
    <w:div w:id="842818884">
      <w:bodyDiv w:val="1"/>
      <w:marLeft w:val="0"/>
      <w:marRight w:val="0"/>
      <w:marTop w:val="0"/>
      <w:marBottom w:val="0"/>
      <w:divBdr>
        <w:top w:val="none" w:sz="0" w:space="0" w:color="auto"/>
        <w:left w:val="none" w:sz="0" w:space="0" w:color="auto"/>
        <w:bottom w:val="none" w:sz="0" w:space="0" w:color="auto"/>
        <w:right w:val="none" w:sz="0" w:space="0" w:color="auto"/>
      </w:divBdr>
    </w:div>
    <w:div w:id="911547358">
      <w:bodyDiv w:val="1"/>
      <w:marLeft w:val="0"/>
      <w:marRight w:val="0"/>
      <w:marTop w:val="0"/>
      <w:marBottom w:val="0"/>
      <w:divBdr>
        <w:top w:val="none" w:sz="0" w:space="0" w:color="auto"/>
        <w:left w:val="none" w:sz="0" w:space="0" w:color="auto"/>
        <w:bottom w:val="none" w:sz="0" w:space="0" w:color="auto"/>
        <w:right w:val="none" w:sz="0" w:space="0" w:color="auto"/>
      </w:divBdr>
    </w:div>
    <w:div w:id="924462310">
      <w:bodyDiv w:val="1"/>
      <w:marLeft w:val="0"/>
      <w:marRight w:val="0"/>
      <w:marTop w:val="0"/>
      <w:marBottom w:val="0"/>
      <w:divBdr>
        <w:top w:val="none" w:sz="0" w:space="0" w:color="auto"/>
        <w:left w:val="none" w:sz="0" w:space="0" w:color="auto"/>
        <w:bottom w:val="none" w:sz="0" w:space="0" w:color="auto"/>
        <w:right w:val="none" w:sz="0" w:space="0" w:color="auto"/>
      </w:divBdr>
    </w:div>
    <w:div w:id="995306080">
      <w:bodyDiv w:val="1"/>
      <w:marLeft w:val="0"/>
      <w:marRight w:val="0"/>
      <w:marTop w:val="0"/>
      <w:marBottom w:val="0"/>
      <w:divBdr>
        <w:top w:val="none" w:sz="0" w:space="0" w:color="auto"/>
        <w:left w:val="none" w:sz="0" w:space="0" w:color="auto"/>
        <w:bottom w:val="none" w:sz="0" w:space="0" w:color="auto"/>
        <w:right w:val="none" w:sz="0" w:space="0" w:color="auto"/>
      </w:divBdr>
    </w:div>
    <w:div w:id="1015036192">
      <w:bodyDiv w:val="1"/>
      <w:marLeft w:val="0"/>
      <w:marRight w:val="0"/>
      <w:marTop w:val="0"/>
      <w:marBottom w:val="0"/>
      <w:divBdr>
        <w:top w:val="none" w:sz="0" w:space="0" w:color="auto"/>
        <w:left w:val="none" w:sz="0" w:space="0" w:color="auto"/>
        <w:bottom w:val="none" w:sz="0" w:space="0" w:color="auto"/>
        <w:right w:val="none" w:sz="0" w:space="0" w:color="auto"/>
      </w:divBdr>
    </w:div>
    <w:div w:id="1022711142">
      <w:bodyDiv w:val="1"/>
      <w:marLeft w:val="0"/>
      <w:marRight w:val="0"/>
      <w:marTop w:val="0"/>
      <w:marBottom w:val="0"/>
      <w:divBdr>
        <w:top w:val="none" w:sz="0" w:space="0" w:color="auto"/>
        <w:left w:val="none" w:sz="0" w:space="0" w:color="auto"/>
        <w:bottom w:val="none" w:sz="0" w:space="0" w:color="auto"/>
        <w:right w:val="none" w:sz="0" w:space="0" w:color="auto"/>
      </w:divBdr>
    </w:div>
    <w:div w:id="1029180840">
      <w:bodyDiv w:val="1"/>
      <w:marLeft w:val="0"/>
      <w:marRight w:val="0"/>
      <w:marTop w:val="0"/>
      <w:marBottom w:val="0"/>
      <w:divBdr>
        <w:top w:val="none" w:sz="0" w:space="0" w:color="auto"/>
        <w:left w:val="none" w:sz="0" w:space="0" w:color="auto"/>
        <w:bottom w:val="none" w:sz="0" w:space="0" w:color="auto"/>
        <w:right w:val="none" w:sz="0" w:space="0" w:color="auto"/>
      </w:divBdr>
    </w:div>
    <w:div w:id="1045719815">
      <w:bodyDiv w:val="1"/>
      <w:marLeft w:val="0"/>
      <w:marRight w:val="0"/>
      <w:marTop w:val="0"/>
      <w:marBottom w:val="0"/>
      <w:divBdr>
        <w:top w:val="none" w:sz="0" w:space="0" w:color="auto"/>
        <w:left w:val="none" w:sz="0" w:space="0" w:color="auto"/>
        <w:bottom w:val="none" w:sz="0" w:space="0" w:color="auto"/>
        <w:right w:val="none" w:sz="0" w:space="0" w:color="auto"/>
      </w:divBdr>
    </w:div>
    <w:div w:id="1063063890">
      <w:bodyDiv w:val="1"/>
      <w:marLeft w:val="0"/>
      <w:marRight w:val="0"/>
      <w:marTop w:val="0"/>
      <w:marBottom w:val="0"/>
      <w:divBdr>
        <w:top w:val="none" w:sz="0" w:space="0" w:color="auto"/>
        <w:left w:val="none" w:sz="0" w:space="0" w:color="auto"/>
        <w:bottom w:val="none" w:sz="0" w:space="0" w:color="auto"/>
        <w:right w:val="none" w:sz="0" w:space="0" w:color="auto"/>
      </w:divBdr>
    </w:div>
    <w:div w:id="1119110724">
      <w:bodyDiv w:val="1"/>
      <w:marLeft w:val="0"/>
      <w:marRight w:val="0"/>
      <w:marTop w:val="0"/>
      <w:marBottom w:val="0"/>
      <w:divBdr>
        <w:top w:val="none" w:sz="0" w:space="0" w:color="auto"/>
        <w:left w:val="none" w:sz="0" w:space="0" w:color="auto"/>
        <w:bottom w:val="none" w:sz="0" w:space="0" w:color="auto"/>
        <w:right w:val="none" w:sz="0" w:space="0" w:color="auto"/>
      </w:divBdr>
    </w:div>
    <w:div w:id="1183325816">
      <w:bodyDiv w:val="1"/>
      <w:marLeft w:val="0"/>
      <w:marRight w:val="0"/>
      <w:marTop w:val="0"/>
      <w:marBottom w:val="0"/>
      <w:divBdr>
        <w:top w:val="none" w:sz="0" w:space="0" w:color="auto"/>
        <w:left w:val="none" w:sz="0" w:space="0" w:color="auto"/>
        <w:bottom w:val="none" w:sz="0" w:space="0" w:color="auto"/>
        <w:right w:val="none" w:sz="0" w:space="0" w:color="auto"/>
      </w:divBdr>
    </w:div>
    <w:div w:id="1263881274">
      <w:bodyDiv w:val="1"/>
      <w:marLeft w:val="0"/>
      <w:marRight w:val="0"/>
      <w:marTop w:val="0"/>
      <w:marBottom w:val="0"/>
      <w:divBdr>
        <w:top w:val="none" w:sz="0" w:space="0" w:color="auto"/>
        <w:left w:val="none" w:sz="0" w:space="0" w:color="auto"/>
        <w:bottom w:val="none" w:sz="0" w:space="0" w:color="auto"/>
        <w:right w:val="none" w:sz="0" w:space="0" w:color="auto"/>
      </w:divBdr>
    </w:div>
    <w:div w:id="1485657164">
      <w:bodyDiv w:val="1"/>
      <w:marLeft w:val="0"/>
      <w:marRight w:val="0"/>
      <w:marTop w:val="0"/>
      <w:marBottom w:val="0"/>
      <w:divBdr>
        <w:top w:val="none" w:sz="0" w:space="0" w:color="auto"/>
        <w:left w:val="none" w:sz="0" w:space="0" w:color="auto"/>
        <w:bottom w:val="none" w:sz="0" w:space="0" w:color="auto"/>
        <w:right w:val="none" w:sz="0" w:space="0" w:color="auto"/>
      </w:divBdr>
    </w:div>
    <w:div w:id="1486048502">
      <w:bodyDiv w:val="1"/>
      <w:marLeft w:val="0"/>
      <w:marRight w:val="0"/>
      <w:marTop w:val="0"/>
      <w:marBottom w:val="0"/>
      <w:divBdr>
        <w:top w:val="none" w:sz="0" w:space="0" w:color="auto"/>
        <w:left w:val="none" w:sz="0" w:space="0" w:color="auto"/>
        <w:bottom w:val="none" w:sz="0" w:space="0" w:color="auto"/>
        <w:right w:val="none" w:sz="0" w:space="0" w:color="auto"/>
      </w:divBdr>
    </w:div>
    <w:div w:id="1522695979">
      <w:bodyDiv w:val="1"/>
      <w:marLeft w:val="0"/>
      <w:marRight w:val="0"/>
      <w:marTop w:val="0"/>
      <w:marBottom w:val="0"/>
      <w:divBdr>
        <w:top w:val="none" w:sz="0" w:space="0" w:color="auto"/>
        <w:left w:val="none" w:sz="0" w:space="0" w:color="auto"/>
        <w:bottom w:val="none" w:sz="0" w:space="0" w:color="auto"/>
        <w:right w:val="none" w:sz="0" w:space="0" w:color="auto"/>
      </w:divBdr>
    </w:div>
    <w:div w:id="1579053320">
      <w:bodyDiv w:val="1"/>
      <w:marLeft w:val="0"/>
      <w:marRight w:val="0"/>
      <w:marTop w:val="0"/>
      <w:marBottom w:val="0"/>
      <w:divBdr>
        <w:top w:val="none" w:sz="0" w:space="0" w:color="auto"/>
        <w:left w:val="none" w:sz="0" w:space="0" w:color="auto"/>
        <w:bottom w:val="none" w:sz="0" w:space="0" w:color="auto"/>
        <w:right w:val="none" w:sz="0" w:space="0" w:color="auto"/>
      </w:divBdr>
    </w:div>
    <w:div w:id="1609586047">
      <w:bodyDiv w:val="1"/>
      <w:marLeft w:val="0"/>
      <w:marRight w:val="0"/>
      <w:marTop w:val="0"/>
      <w:marBottom w:val="0"/>
      <w:divBdr>
        <w:top w:val="none" w:sz="0" w:space="0" w:color="auto"/>
        <w:left w:val="none" w:sz="0" w:space="0" w:color="auto"/>
        <w:bottom w:val="none" w:sz="0" w:space="0" w:color="auto"/>
        <w:right w:val="none" w:sz="0" w:space="0" w:color="auto"/>
      </w:divBdr>
    </w:div>
    <w:div w:id="1609655522">
      <w:bodyDiv w:val="1"/>
      <w:marLeft w:val="0"/>
      <w:marRight w:val="0"/>
      <w:marTop w:val="0"/>
      <w:marBottom w:val="0"/>
      <w:divBdr>
        <w:top w:val="none" w:sz="0" w:space="0" w:color="auto"/>
        <w:left w:val="none" w:sz="0" w:space="0" w:color="auto"/>
        <w:bottom w:val="none" w:sz="0" w:space="0" w:color="auto"/>
        <w:right w:val="none" w:sz="0" w:space="0" w:color="auto"/>
      </w:divBdr>
    </w:div>
    <w:div w:id="1718820341">
      <w:bodyDiv w:val="1"/>
      <w:marLeft w:val="0"/>
      <w:marRight w:val="0"/>
      <w:marTop w:val="0"/>
      <w:marBottom w:val="0"/>
      <w:divBdr>
        <w:top w:val="none" w:sz="0" w:space="0" w:color="auto"/>
        <w:left w:val="none" w:sz="0" w:space="0" w:color="auto"/>
        <w:bottom w:val="none" w:sz="0" w:space="0" w:color="auto"/>
        <w:right w:val="none" w:sz="0" w:space="0" w:color="auto"/>
      </w:divBdr>
    </w:div>
    <w:div w:id="1762725536">
      <w:bodyDiv w:val="1"/>
      <w:marLeft w:val="0"/>
      <w:marRight w:val="0"/>
      <w:marTop w:val="0"/>
      <w:marBottom w:val="0"/>
      <w:divBdr>
        <w:top w:val="none" w:sz="0" w:space="0" w:color="auto"/>
        <w:left w:val="none" w:sz="0" w:space="0" w:color="auto"/>
        <w:bottom w:val="none" w:sz="0" w:space="0" w:color="auto"/>
        <w:right w:val="none" w:sz="0" w:space="0" w:color="auto"/>
      </w:divBdr>
    </w:div>
    <w:div w:id="1814517954">
      <w:bodyDiv w:val="1"/>
      <w:marLeft w:val="0"/>
      <w:marRight w:val="0"/>
      <w:marTop w:val="0"/>
      <w:marBottom w:val="0"/>
      <w:divBdr>
        <w:top w:val="none" w:sz="0" w:space="0" w:color="auto"/>
        <w:left w:val="none" w:sz="0" w:space="0" w:color="auto"/>
        <w:bottom w:val="none" w:sz="0" w:space="0" w:color="auto"/>
        <w:right w:val="none" w:sz="0" w:space="0" w:color="auto"/>
      </w:divBdr>
    </w:div>
    <w:div w:id="1842545983">
      <w:bodyDiv w:val="1"/>
      <w:marLeft w:val="0"/>
      <w:marRight w:val="0"/>
      <w:marTop w:val="0"/>
      <w:marBottom w:val="0"/>
      <w:divBdr>
        <w:top w:val="none" w:sz="0" w:space="0" w:color="auto"/>
        <w:left w:val="none" w:sz="0" w:space="0" w:color="auto"/>
        <w:bottom w:val="none" w:sz="0" w:space="0" w:color="auto"/>
        <w:right w:val="none" w:sz="0" w:space="0" w:color="auto"/>
      </w:divBdr>
    </w:div>
    <w:div w:id="1858806067">
      <w:bodyDiv w:val="1"/>
      <w:marLeft w:val="0"/>
      <w:marRight w:val="0"/>
      <w:marTop w:val="0"/>
      <w:marBottom w:val="0"/>
      <w:divBdr>
        <w:top w:val="none" w:sz="0" w:space="0" w:color="auto"/>
        <w:left w:val="none" w:sz="0" w:space="0" w:color="auto"/>
        <w:bottom w:val="none" w:sz="0" w:space="0" w:color="auto"/>
        <w:right w:val="none" w:sz="0" w:space="0" w:color="auto"/>
      </w:divBdr>
    </w:div>
    <w:div w:id="1988434316">
      <w:bodyDiv w:val="1"/>
      <w:marLeft w:val="0"/>
      <w:marRight w:val="0"/>
      <w:marTop w:val="0"/>
      <w:marBottom w:val="0"/>
      <w:divBdr>
        <w:top w:val="none" w:sz="0" w:space="0" w:color="auto"/>
        <w:left w:val="none" w:sz="0" w:space="0" w:color="auto"/>
        <w:bottom w:val="none" w:sz="0" w:space="0" w:color="auto"/>
        <w:right w:val="none" w:sz="0" w:space="0" w:color="auto"/>
      </w:divBdr>
    </w:div>
    <w:div w:id="2012176213">
      <w:bodyDiv w:val="1"/>
      <w:marLeft w:val="0"/>
      <w:marRight w:val="0"/>
      <w:marTop w:val="0"/>
      <w:marBottom w:val="0"/>
      <w:divBdr>
        <w:top w:val="none" w:sz="0" w:space="0" w:color="auto"/>
        <w:left w:val="none" w:sz="0" w:space="0" w:color="auto"/>
        <w:bottom w:val="none" w:sz="0" w:space="0" w:color="auto"/>
        <w:right w:val="none" w:sz="0" w:space="0" w:color="auto"/>
      </w:divBdr>
    </w:div>
    <w:div w:id="2055150397">
      <w:bodyDiv w:val="1"/>
      <w:marLeft w:val="0"/>
      <w:marRight w:val="0"/>
      <w:marTop w:val="0"/>
      <w:marBottom w:val="0"/>
      <w:divBdr>
        <w:top w:val="none" w:sz="0" w:space="0" w:color="auto"/>
        <w:left w:val="none" w:sz="0" w:space="0" w:color="auto"/>
        <w:bottom w:val="none" w:sz="0" w:space="0" w:color="auto"/>
        <w:right w:val="none" w:sz="0" w:space="0" w:color="auto"/>
      </w:divBdr>
    </w:div>
    <w:div w:id="2072728868">
      <w:bodyDiv w:val="1"/>
      <w:marLeft w:val="0"/>
      <w:marRight w:val="0"/>
      <w:marTop w:val="0"/>
      <w:marBottom w:val="0"/>
      <w:divBdr>
        <w:top w:val="none" w:sz="0" w:space="0" w:color="auto"/>
        <w:left w:val="none" w:sz="0" w:space="0" w:color="auto"/>
        <w:bottom w:val="none" w:sz="0" w:space="0" w:color="auto"/>
        <w:right w:val="none" w:sz="0" w:space="0" w:color="auto"/>
      </w:divBdr>
    </w:div>
    <w:div w:id="2112973393">
      <w:bodyDiv w:val="1"/>
      <w:marLeft w:val="0"/>
      <w:marRight w:val="0"/>
      <w:marTop w:val="0"/>
      <w:marBottom w:val="0"/>
      <w:divBdr>
        <w:top w:val="none" w:sz="0" w:space="0" w:color="auto"/>
        <w:left w:val="none" w:sz="0" w:space="0" w:color="auto"/>
        <w:bottom w:val="none" w:sz="0" w:space="0" w:color="auto"/>
        <w:right w:val="none" w:sz="0" w:space="0" w:color="auto"/>
      </w:divBdr>
    </w:div>
    <w:div w:id="2122531377">
      <w:bodyDiv w:val="1"/>
      <w:marLeft w:val="0"/>
      <w:marRight w:val="0"/>
      <w:marTop w:val="0"/>
      <w:marBottom w:val="0"/>
      <w:divBdr>
        <w:top w:val="none" w:sz="0" w:space="0" w:color="auto"/>
        <w:left w:val="none" w:sz="0" w:space="0" w:color="auto"/>
        <w:bottom w:val="none" w:sz="0" w:space="0" w:color="auto"/>
        <w:right w:val="none" w:sz="0" w:space="0" w:color="auto"/>
      </w:divBdr>
    </w:div>
    <w:div w:id="214638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Gaye.Tozer@waitematadhb.govt.nz"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litmus.co.nz"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litmus.co.nz"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liz@litmus.co.nz" TargetMode="External"/><Relationship Id="rId20" Type="http://schemas.openxmlformats.org/officeDocument/2006/relationships/hyperlink" Target="http://www.litmus.co.nz"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mailto:mhairi_porteous@moh.govt.nz"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mailto:michele@litmus.co.nz" TargetMode="External"/><Relationship Id="rId27" Type="http://schemas.openxmlformats.org/officeDocument/2006/relationships/footer" Target="footer5.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6.wmf"/></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beehive.govt.nz/release/waitemata-named-bowel-screening-pilot-si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s\Documents\Litmus%20working%20folder\Templates\LITMUS%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117C9-7505-4085-B723-A79C921E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LITMUS REPORT TEMPLATE</Template>
  <TotalTime>1</TotalTime>
  <Pages>46</Pages>
  <Words>16469</Words>
  <Characters>84393</Characters>
  <Application>Microsoft Office Word</Application>
  <DocSecurity>0</DocSecurity>
  <Lines>703</Lines>
  <Paragraphs>201</Paragraphs>
  <ScaleCrop>false</ScaleCrop>
  <HeadingPairs>
    <vt:vector size="2" baseType="variant">
      <vt:variant>
        <vt:lpstr>Title</vt:lpstr>
      </vt:variant>
      <vt:variant>
        <vt:i4>1</vt:i4>
      </vt:variant>
    </vt:vector>
  </HeadingPairs>
  <TitlesOfParts>
    <vt:vector size="1" baseType="lpstr">
      <vt:lpstr/>
    </vt:vector>
  </TitlesOfParts>
  <Company>Wordprocessing Services</Company>
  <LinksUpToDate>false</LinksUpToDate>
  <CharactersWithSpaces>100661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Smith - LITMUS</dc:creator>
  <cp:lastModifiedBy>Ministry of Health</cp:lastModifiedBy>
  <cp:revision>2</cp:revision>
  <cp:lastPrinted>2014-04-15T00:57:00Z</cp:lastPrinted>
  <dcterms:created xsi:type="dcterms:W3CDTF">2014-10-07T20:47:00Z</dcterms:created>
  <dcterms:modified xsi:type="dcterms:W3CDTF">2014-10-07T20:47:00Z</dcterms:modified>
</cp:coreProperties>
</file>