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3E4753">
        <w:rPr>
          <w:rFonts w:ascii="Arial" w:hAnsi="Arial" w:cs="Arial"/>
        </w:rPr>
        <w:t>2013</w:t>
      </w:r>
    </w:p>
    <w:p w:rsidR="006F23D0" w:rsidRDefault="006F23D0" w:rsidP="006F23D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Te Oranga </w:t>
      </w:r>
      <w:r w:rsidR="00D6648A">
        <w:rPr>
          <w:rFonts w:ascii="Arial" w:hAnsi="Arial" w:cs="Arial"/>
        </w:rPr>
        <w:t>Residence</w:t>
      </w:r>
    </w:p>
    <w:p w:rsidR="006F23D0" w:rsidRPr="00B50282" w:rsidRDefault="006F23D0" w:rsidP="006F23D0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Te Oranga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Christchurch which provides 24</w:t>
      </w:r>
      <w:r w:rsidR="00D6648A">
        <w:rPr>
          <w:rFonts w:ascii="Arial Mäori" w:hAnsi="Arial Mäori"/>
          <w:szCs w:val="22"/>
          <w:lang w:val="en-NZ"/>
        </w:rPr>
        <w:t>-</w:t>
      </w:r>
      <w:r>
        <w:rPr>
          <w:rFonts w:ascii="Arial Mäori" w:hAnsi="Arial Mäori"/>
          <w:szCs w:val="22"/>
          <w:lang w:val="en-NZ"/>
        </w:rPr>
        <w:t>hour safe and secure care for up to 10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A00ECC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A00ECC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6F23D0" w:rsidRDefault="006F23D0" w:rsidP="006F23D0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Pr="00A0317E">
        <w:rPr>
          <w:rFonts w:ascii="Arial" w:hAnsi="Arial" w:cs="Arial"/>
        </w:rPr>
        <w:t>to improve their life outcom</w:t>
      </w:r>
      <w:r>
        <w:rPr>
          <w:rFonts w:ascii="Arial" w:hAnsi="Arial" w:cs="Arial"/>
        </w:rPr>
        <w:t>es and realise their potential</w:t>
      </w:r>
      <w:r w:rsidR="003E580F">
        <w:rPr>
          <w:rFonts w:ascii="Arial" w:hAnsi="Arial" w:cs="Arial"/>
        </w:rPr>
        <w:t>.</w:t>
      </w:r>
      <w:proofErr w:type="gramEnd"/>
      <w:r w:rsidR="003E580F">
        <w:rPr>
          <w:lang w:val="en" w:eastAsia="en-NZ"/>
        </w:rPr>
        <w:t xml:space="preserve"> T</w:t>
      </w:r>
      <w:r>
        <w:rPr>
          <w:lang w:val="en" w:eastAsia="en-NZ"/>
        </w:rPr>
        <w:t xml:space="preserve">o help achieve this, </w:t>
      </w:r>
      <w:r w:rsidR="00D6648A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D6648A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a safe, structured environment which maximises learning opportunities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evidence</w:t>
      </w:r>
      <w:r w:rsidR="00F52C06">
        <w:rPr>
          <w:rFonts w:cs="Arial"/>
          <w:lang w:val="en-GB"/>
        </w:rPr>
        <w:t>-</w:t>
      </w:r>
      <w:r w:rsidRPr="000D61A2">
        <w:rPr>
          <w:rFonts w:cs="Arial"/>
          <w:lang w:val="en-GB"/>
        </w:rPr>
        <w:t xml:space="preserve">based programmes to stabilise and address behaviour 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 xml:space="preserve">practice and relationships </w:t>
      </w:r>
      <w:r w:rsidR="00D6648A">
        <w:rPr>
          <w:rFonts w:cs="Arial"/>
          <w:lang w:val="en-GB"/>
        </w:rPr>
        <w:t xml:space="preserve">that </w:t>
      </w:r>
      <w:r w:rsidRPr="000D61A2">
        <w:rPr>
          <w:rFonts w:cs="Arial"/>
          <w:lang w:val="en-GB"/>
        </w:rPr>
        <w:t>are informed by the values, beliefs and protocols of family and wh</w:t>
      </w:r>
      <w:r w:rsidRPr="000D61A2">
        <w:rPr>
          <w:rFonts w:cs="Arial" w:hint="eastAsia"/>
          <w:lang w:val="en-GB"/>
        </w:rPr>
        <w:t>ā</w:t>
      </w:r>
      <w:r w:rsidRPr="000D61A2">
        <w:rPr>
          <w:rFonts w:cs="Arial"/>
          <w:lang w:val="en-GB"/>
        </w:rPr>
        <w:t>nau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0D61A2">
        <w:rPr>
          <w:rFonts w:cs="Arial"/>
          <w:lang w:val="en-GB"/>
        </w:rPr>
        <w:t>interventions that engage children and young people in a supportive</w:t>
      </w:r>
      <w:r w:rsidR="00F52C06">
        <w:rPr>
          <w:rFonts w:cs="Arial"/>
          <w:lang w:val="en-GB"/>
        </w:rPr>
        <w:t>,</w:t>
      </w:r>
      <w:r w:rsidRPr="000D61A2">
        <w:rPr>
          <w:rFonts w:cs="Arial"/>
          <w:lang w:val="en-GB"/>
        </w:rPr>
        <w:t xml:space="preserve"> constructive process of change</w:t>
      </w:r>
    </w:p>
    <w:p w:rsidR="006F23D0" w:rsidRPr="000D61A2" w:rsidRDefault="006F23D0" w:rsidP="000D61A2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proofErr w:type="gramStart"/>
      <w:r w:rsidRPr="000D61A2">
        <w:rPr>
          <w:rFonts w:cs="Arial"/>
          <w:lang w:val="en-GB"/>
        </w:rPr>
        <w:t>a</w:t>
      </w:r>
      <w:proofErr w:type="gramEnd"/>
      <w:r w:rsidRPr="000D61A2">
        <w:rPr>
          <w:rFonts w:cs="Arial"/>
          <w:lang w:val="en-GB"/>
        </w:rPr>
        <w:t xml:space="preserve"> comprehensive plan to transition children and young people successfully back </w:t>
      </w:r>
      <w:r w:rsidR="00D6648A">
        <w:rPr>
          <w:rFonts w:cs="Arial"/>
          <w:lang w:val="en-GB"/>
        </w:rPr>
        <w:t>in</w:t>
      </w:r>
      <w:r w:rsidRPr="000D61A2">
        <w:rPr>
          <w:rFonts w:cs="Arial"/>
          <w:lang w:val="en-GB"/>
        </w:rPr>
        <w:t>to education, training or employment opportunities and to permanent and stable care.</w:t>
      </w:r>
    </w:p>
    <w:p w:rsidR="006F23D0" w:rsidRPr="00C1366A" w:rsidRDefault="00F52C06" w:rsidP="006F23D0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Thirty</w:t>
      </w:r>
      <w:r w:rsidR="006F23D0">
        <w:rPr>
          <w:rFonts w:ascii="Arial Mäori" w:hAnsi="Arial Mäori"/>
          <w:szCs w:val="20"/>
          <w:lang w:val="en-NZ"/>
        </w:rPr>
        <w:t xml:space="preserve"> </w:t>
      </w:r>
      <w:r>
        <w:rPr>
          <w:rFonts w:ascii="Arial Mäori" w:hAnsi="Arial Mäori"/>
          <w:szCs w:val="20"/>
          <w:lang w:val="en-NZ"/>
        </w:rPr>
        <w:t>full-</w:t>
      </w:r>
      <w:r w:rsidR="006F23D0"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="006F23D0"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="006F23D0" w:rsidRPr="00C1366A">
        <w:rPr>
          <w:rFonts w:ascii="Arial Mäori" w:hAnsi="Arial Mäori"/>
          <w:szCs w:val="20"/>
          <w:lang w:val="en-NZ"/>
        </w:rPr>
        <w:t xml:space="preserve"> at </w:t>
      </w:r>
      <w:r w:rsidR="006F23D0">
        <w:rPr>
          <w:rFonts w:ascii="Arial Mäori" w:hAnsi="Arial Mäori"/>
          <w:szCs w:val="20"/>
          <w:lang w:val="en-NZ"/>
        </w:rPr>
        <w:t>Te Oranga, which i</w:t>
      </w:r>
      <w:r w:rsidR="006F23D0" w:rsidRPr="00C1366A">
        <w:rPr>
          <w:rFonts w:ascii="Arial Mäori" w:hAnsi="Arial Mäori"/>
          <w:szCs w:val="20"/>
          <w:lang w:val="en-NZ"/>
        </w:rPr>
        <w:t xml:space="preserve">s one of four </w:t>
      </w:r>
      <w:r w:rsidR="006F23D0">
        <w:rPr>
          <w:rFonts w:ascii="Arial Mäori" w:hAnsi="Arial Mäori"/>
          <w:szCs w:val="20"/>
          <w:lang w:val="en-NZ"/>
        </w:rPr>
        <w:t>care and protection r</w:t>
      </w:r>
      <w:r w:rsidR="006F23D0" w:rsidRPr="00C1366A">
        <w:rPr>
          <w:rFonts w:ascii="Arial Mäori" w:hAnsi="Arial Mäori"/>
          <w:szCs w:val="20"/>
          <w:lang w:val="en-NZ"/>
        </w:rPr>
        <w:t>esidence</w:t>
      </w:r>
      <w:r w:rsidR="003B1A75">
        <w:rPr>
          <w:rFonts w:ascii="Arial Mäori" w:hAnsi="Arial Mäori"/>
          <w:szCs w:val="20"/>
          <w:lang w:val="en-NZ"/>
        </w:rPr>
        <w:t>s</w:t>
      </w:r>
      <w:r w:rsidR="006F23D0" w:rsidRPr="00C1366A">
        <w:rPr>
          <w:rFonts w:ascii="Arial Mäori" w:hAnsi="Arial Mäori"/>
          <w:szCs w:val="20"/>
          <w:lang w:val="en-NZ"/>
        </w:rPr>
        <w:t xml:space="preserve"> </w:t>
      </w:r>
      <w:r w:rsidR="003E580F">
        <w:rPr>
          <w:rFonts w:ascii="Arial Mäori" w:hAnsi="Arial Mäori"/>
          <w:szCs w:val="20"/>
          <w:lang w:val="en-NZ"/>
        </w:rPr>
        <w:t>run by Child, Youth and Family</w:t>
      </w:r>
      <w:r w:rsidR="003E580F" w:rsidRPr="00C1366A">
        <w:rPr>
          <w:rFonts w:ascii="Arial Mäori" w:hAnsi="Arial Mäori"/>
          <w:szCs w:val="20"/>
          <w:lang w:val="en-NZ"/>
        </w:rPr>
        <w:t xml:space="preserve"> </w:t>
      </w:r>
      <w:r w:rsidR="006F23D0" w:rsidRPr="00C1366A">
        <w:rPr>
          <w:rFonts w:ascii="Arial Mäori" w:hAnsi="Arial Mäori"/>
          <w:szCs w:val="20"/>
          <w:lang w:val="en-NZ"/>
        </w:rPr>
        <w:t xml:space="preserve">operating within New Zealand.  </w:t>
      </w:r>
      <w:r w:rsidR="006F23D0" w:rsidRPr="00B50282">
        <w:rPr>
          <w:szCs w:val="20"/>
          <w:lang w:val="en-NZ"/>
        </w:rPr>
        <w:t xml:space="preserve">The other three are Whakatakapokai in Auckland, </w:t>
      </w:r>
      <w:r w:rsidR="006F23D0">
        <w:rPr>
          <w:szCs w:val="20"/>
          <w:lang w:val="en-NZ"/>
        </w:rPr>
        <w:t>Puketai in Dunedin</w:t>
      </w:r>
      <w:r w:rsidR="006F23D0" w:rsidRPr="00B50282">
        <w:rPr>
          <w:szCs w:val="20"/>
          <w:lang w:val="en-NZ"/>
        </w:rPr>
        <w:t xml:space="preserve"> and </w:t>
      </w:r>
      <w:r w:rsidR="006F23D0">
        <w:rPr>
          <w:szCs w:val="20"/>
          <w:lang w:val="en-NZ"/>
        </w:rPr>
        <w:t>Epuni in Wellington</w:t>
      </w:r>
      <w:r w:rsidR="006F23D0" w:rsidRPr="00C1366A">
        <w:rPr>
          <w:rFonts w:ascii="Arial Mäori" w:hAnsi="Arial Mäori"/>
          <w:szCs w:val="20"/>
          <w:lang w:val="en-NZ"/>
        </w:rPr>
        <w:t>.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6F23D0" w:rsidRPr="00123EDA" w:rsidRDefault="006F23D0" w:rsidP="003B1A75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D6648A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6F23D0" w:rsidRPr="00A0317E" w:rsidRDefault="006F23D0" w:rsidP="003B1A75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Pr="00A0317E">
        <w:rPr>
          <w:rFonts w:ascii="Arial Mäori" w:hAnsi="Arial Mäori" w:cs="WunderlichMaori"/>
          <w:lang w:eastAsia="en-NZ"/>
        </w:rPr>
        <w:t xml:space="preserve">admitted when there is a concern for their safety or if their continued behaviour in the community is putting themselves or other people around them at </w:t>
      </w:r>
      <w:r>
        <w:rPr>
          <w:rFonts w:ascii="Arial Mäori" w:hAnsi="Arial Mäori" w:cs="WunderlichMaori"/>
          <w:lang w:eastAsia="en-NZ"/>
        </w:rPr>
        <w:t xml:space="preserve">significant </w:t>
      </w:r>
      <w:r w:rsidRPr="00A0317E">
        <w:rPr>
          <w:rFonts w:ascii="Arial Mäori" w:hAnsi="Arial Mäori" w:cs="WunderlichMaori"/>
          <w:lang w:eastAsia="en-NZ"/>
        </w:rPr>
        <w:t>risk.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6F23D0" w:rsidRDefault="006F23D0" w:rsidP="006F23D0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Each residence is assessed every calendar year </w:t>
      </w:r>
      <w:r w:rsidR="00D6648A">
        <w:rPr>
          <w:rFonts w:cs="Arial"/>
        </w:rPr>
        <w:t xml:space="preserve">by the Office of the Chief Social Worker </w:t>
      </w:r>
      <w:r w:rsidRPr="00123EDA">
        <w:rPr>
          <w:rFonts w:cs="Arial"/>
        </w:rPr>
        <w:t xml:space="preserve">to ensure: </w:t>
      </w:r>
    </w:p>
    <w:p w:rsidR="006F23D0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>
        <w:rPr>
          <w:rFonts w:cs="Arial"/>
          <w:lang w:val="en-GB"/>
        </w:rPr>
        <w:t>6 (the Regulations)</w:t>
      </w: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3B1A75" w:rsidRDefault="003B1A75" w:rsidP="003B1A75">
      <w:pPr>
        <w:pStyle w:val="BodyTextIndent"/>
        <w:spacing w:before="120"/>
        <w:jc w:val="both"/>
        <w:rPr>
          <w:rFonts w:cs="Arial"/>
          <w:lang w:val="en-GB"/>
        </w:rPr>
      </w:pPr>
    </w:p>
    <w:p w:rsidR="006F23D0" w:rsidRPr="00123EDA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D6648A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6F23D0" w:rsidRPr="00123EDA" w:rsidRDefault="006F23D0" w:rsidP="006F23D0">
      <w:pPr>
        <w:pStyle w:val="BodyTextIndent"/>
        <w:numPr>
          <w:ilvl w:val="0"/>
          <w:numId w:val="24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D6648A" w:rsidRPr="006916D6" w:rsidRDefault="00D6648A" w:rsidP="000D61A2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D6648A" w:rsidRPr="00123EDA" w:rsidRDefault="00D6648A" w:rsidP="00D6648A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Inspection summary as at March 2013</w:t>
      </w:r>
    </w:p>
    <w:p w:rsidR="006F23D0" w:rsidRPr="00123EDA" w:rsidRDefault="006F23D0" w:rsidP="006F23D0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6F23D0" w:rsidRPr="00123EDA" w:rsidRDefault="006F23D0" w:rsidP="006F23D0">
      <w:pPr>
        <w:jc w:val="both"/>
        <w:rPr>
          <w:rFonts w:cs="Arial"/>
        </w:rPr>
      </w:pPr>
      <w:r w:rsidRPr="00123EDA">
        <w:rPr>
          <w:rFonts w:cs="Arial"/>
        </w:rPr>
        <w:t xml:space="preserve">The </w:t>
      </w:r>
      <w:r w:rsidR="00D6648A">
        <w:rPr>
          <w:rFonts w:cs="Arial"/>
        </w:rPr>
        <w:t xml:space="preserve">residential care </w:t>
      </w:r>
      <w:r w:rsidRPr="00123EDA">
        <w:rPr>
          <w:rFonts w:cs="Arial"/>
        </w:rPr>
        <w:t>regulations are about the safety and wellbeing, and upholding of the rights of</w:t>
      </w:r>
      <w:r w:rsidR="00995F64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C65624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6F23D0" w:rsidRDefault="006F23D0" w:rsidP="006F23D0">
      <w:pPr>
        <w:jc w:val="both"/>
      </w:pPr>
      <w:r>
        <w:t xml:space="preserve">Each inspection covers the six parts of the regulations, namely: 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6F23D0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6F23D0" w:rsidRPr="00D6648A" w:rsidRDefault="006F23D0" w:rsidP="006F23D0">
      <w:pPr>
        <w:pStyle w:val="BodyTextIndent"/>
        <w:numPr>
          <w:ilvl w:val="0"/>
          <w:numId w:val="23"/>
        </w:numPr>
        <w:jc w:val="both"/>
        <w:rPr>
          <w:rFonts w:cs="Arial"/>
        </w:rPr>
      </w:pPr>
      <w:r>
        <w:t>Part 6: Records</w:t>
      </w:r>
      <w:r w:rsidR="00D6648A">
        <w:t>.</w:t>
      </w:r>
    </w:p>
    <w:p w:rsidR="00D6648A" w:rsidRPr="006A4254" w:rsidRDefault="00D6648A" w:rsidP="000D61A2">
      <w:pPr>
        <w:pStyle w:val="BodyTextIndent"/>
        <w:spacing w:before="120"/>
        <w:ind w:left="0"/>
        <w:jc w:val="both"/>
        <w:rPr>
          <w:rFonts w:cs="Arial"/>
        </w:rPr>
      </w:pPr>
      <w:r>
        <w:t xml:space="preserve">In </w:t>
      </w:r>
      <w:r w:rsidR="008F38F7">
        <w:t xml:space="preserve">2013 </w:t>
      </w:r>
      <w:r w:rsidR="008B0139">
        <w:t xml:space="preserve">Te </w:t>
      </w:r>
      <w:r>
        <w:t xml:space="preserve">Oranga achieved a </w:t>
      </w:r>
      <w:r w:rsidR="006A4254">
        <w:t>92.5</w:t>
      </w:r>
      <w:r w:rsidR="00F52C06">
        <w:t xml:space="preserve"> </w:t>
      </w:r>
      <w:proofErr w:type="spellStart"/>
      <w:r w:rsidR="00F52C06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6F23D0" w:rsidRPr="002F03B2" w:rsidRDefault="006F23D0" w:rsidP="006F23D0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6F23D0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6A4254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6A4254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6F23D0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6F23D0" w:rsidRDefault="006A4254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 xml:space="preserve">The inspection </w:t>
      </w:r>
      <w:r w:rsidR="006F23D0" w:rsidRPr="004879B7">
        <w:rPr>
          <w:rFonts w:cs="Arial"/>
        </w:rPr>
        <w:t xml:space="preserve">identified areas of strength as well as areas for improvement for </w:t>
      </w:r>
      <w:r w:rsidR="006F23D0">
        <w:rPr>
          <w:rFonts w:cs="Arial"/>
        </w:rPr>
        <w:t>Te Oranga</w:t>
      </w:r>
      <w:r w:rsidR="006F23D0" w:rsidRPr="004879B7">
        <w:rPr>
          <w:rFonts w:cs="Arial"/>
        </w:rPr>
        <w:t>.</w:t>
      </w:r>
    </w:p>
    <w:p w:rsidR="006F23D0" w:rsidRPr="004879B7" w:rsidRDefault="006F23D0" w:rsidP="006F23D0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P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6A4254">
        <w:rPr>
          <w:rFonts w:cs="Arial"/>
        </w:rPr>
        <w:t>the inspection</w:t>
      </w:r>
      <w:r w:rsidR="006A4254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6A4254">
        <w:rPr>
          <w:rFonts w:cs="Arial"/>
        </w:rPr>
        <w:t>were</w:t>
      </w:r>
      <w:r w:rsidR="006A4254" w:rsidRPr="00123EDA">
        <w:rPr>
          <w:rFonts w:cs="Arial"/>
        </w:rPr>
        <w:t xml:space="preserve"> </w:t>
      </w:r>
      <w:r w:rsidR="00F52C06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3B1A75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F979A4" w:rsidRDefault="001079EA" w:rsidP="001079EA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timeliness of </w:t>
      </w:r>
      <w:r w:rsidR="00574B27">
        <w:rPr>
          <w:rFonts w:cs="Arial"/>
          <w:lang w:val="en-GB"/>
        </w:rPr>
        <w:t>individual care plans</w:t>
      </w:r>
    </w:p>
    <w:p w:rsidR="00574B27" w:rsidRDefault="001079EA" w:rsidP="001079EA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a </w:t>
      </w:r>
      <w:r w:rsidR="00574B27">
        <w:rPr>
          <w:rFonts w:cs="Arial"/>
          <w:lang w:val="en-GB"/>
        </w:rPr>
        <w:t>multi-agency a</w:t>
      </w:r>
      <w:r w:rsidR="00F52C06">
        <w:rPr>
          <w:rFonts w:cs="Arial"/>
          <w:lang w:val="en-GB"/>
        </w:rPr>
        <w:t xml:space="preserve">pproach to care planning and </w:t>
      </w:r>
      <w:proofErr w:type="spellStart"/>
      <w:r w:rsidR="00F52C06">
        <w:rPr>
          <w:rFonts w:cs="Arial"/>
          <w:lang w:val="en-GB"/>
        </w:rPr>
        <w:t>on</w:t>
      </w:r>
      <w:r w:rsidR="00574B27">
        <w:rPr>
          <w:rFonts w:cs="Arial"/>
          <w:lang w:val="en-GB"/>
        </w:rPr>
        <w:t>going</w:t>
      </w:r>
      <w:proofErr w:type="spellEnd"/>
      <w:r w:rsidR="00574B27">
        <w:rPr>
          <w:rFonts w:cs="Arial"/>
          <w:lang w:val="en-GB"/>
        </w:rPr>
        <w:t xml:space="preserve"> case management</w:t>
      </w:r>
    </w:p>
    <w:p w:rsidR="00FA2C9A" w:rsidRDefault="00FA2C9A" w:rsidP="00FA2C9A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initial medicals completed on time</w:t>
      </w:r>
    </w:p>
    <w:p w:rsidR="00574B27" w:rsidRDefault="00FA2C9A" w:rsidP="001079EA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  <w:r w:rsidR="00574B27">
        <w:rPr>
          <w:rFonts w:cs="Arial"/>
          <w:lang w:val="en-GB"/>
        </w:rPr>
        <w:t xml:space="preserve">involvement of </w:t>
      </w:r>
      <w:r w:rsidR="001079EA">
        <w:rPr>
          <w:rFonts w:cs="Arial"/>
          <w:lang w:val="en-GB"/>
        </w:rPr>
        <w:t>family</w:t>
      </w:r>
      <w:r w:rsidR="00574B27">
        <w:rPr>
          <w:rFonts w:cs="Arial"/>
          <w:lang w:val="en-GB"/>
        </w:rPr>
        <w:t xml:space="preserve"> and </w:t>
      </w:r>
      <w:proofErr w:type="spellStart"/>
      <w:r w:rsidR="00574B27">
        <w:rPr>
          <w:rFonts w:cs="Arial"/>
          <w:lang w:val="en-GB"/>
        </w:rPr>
        <w:t>whānau</w:t>
      </w:r>
      <w:proofErr w:type="spellEnd"/>
      <w:r w:rsidR="00574B27">
        <w:rPr>
          <w:rFonts w:cs="Arial"/>
          <w:lang w:val="en-GB"/>
        </w:rPr>
        <w:t xml:space="preserve"> </w:t>
      </w:r>
      <w:r w:rsidR="00494E46">
        <w:rPr>
          <w:rFonts w:cs="Arial"/>
          <w:lang w:val="en-GB"/>
        </w:rPr>
        <w:t xml:space="preserve">in </w:t>
      </w:r>
      <w:r w:rsidR="001079EA">
        <w:rPr>
          <w:rFonts w:cs="Arial"/>
          <w:lang w:val="en-GB"/>
        </w:rPr>
        <w:t>care planning</w:t>
      </w:r>
      <w:r w:rsidR="00F52C06">
        <w:rPr>
          <w:rFonts w:cs="Arial"/>
          <w:lang w:val="en-GB"/>
        </w:rPr>
        <w:t>,</w:t>
      </w:r>
      <w:r w:rsidR="001079EA">
        <w:rPr>
          <w:rFonts w:cs="Arial"/>
          <w:lang w:val="en-GB"/>
        </w:rPr>
        <w:t xml:space="preserve"> including </w:t>
      </w:r>
      <w:r w:rsidR="00494E46">
        <w:rPr>
          <w:rFonts w:cs="Arial"/>
          <w:lang w:val="en-GB"/>
        </w:rPr>
        <w:t>plans for transition from the residence</w:t>
      </w:r>
    </w:p>
    <w:p w:rsidR="00494E46" w:rsidRPr="00C200B4" w:rsidRDefault="006F23D0" w:rsidP="001079EA">
      <w:pPr>
        <w:pStyle w:val="BodyTextIndent"/>
        <w:numPr>
          <w:ilvl w:val="0"/>
          <w:numId w:val="26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the </w:t>
      </w:r>
      <w:r w:rsidR="001079EA">
        <w:rPr>
          <w:rFonts w:cs="Arial"/>
          <w:lang w:val="en-GB"/>
        </w:rPr>
        <w:t xml:space="preserve">involvement of the education provider in the overall package of </w:t>
      </w:r>
      <w:r w:rsidR="00494E46">
        <w:rPr>
          <w:rFonts w:cs="Arial"/>
          <w:lang w:val="en-GB"/>
        </w:rPr>
        <w:t xml:space="preserve">care </w:t>
      </w:r>
      <w:r w:rsidR="001079EA">
        <w:rPr>
          <w:rFonts w:cs="Arial"/>
          <w:lang w:val="en-GB"/>
        </w:rPr>
        <w:t xml:space="preserve">delivered to </w:t>
      </w:r>
      <w:r w:rsidR="00494E46">
        <w:rPr>
          <w:rFonts w:cs="Arial"/>
          <w:lang w:val="en-GB"/>
        </w:rPr>
        <w:t>children and young people</w:t>
      </w:r>
      <w:r w:rsidR="006A4254">
        <w:rPr>
          <w:rFonts w:cs="Arial"/>
          <w:lang w:val="en-GB"/>
        </w:rPr>
        <w:t>.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for improvement</w:t>
      </w:r>
    </w:p>
    <w:p w:rsidR="00C203F0" w:rsidRDefault="003B1A75" w:rsidP="00123EDA">
      <w:pPr>
        <w:pStyle w:val="BodyTextIndent"/>
        <w:ind w:left="0"/>
        <w:rPr>
          <w:rFonts w:cs="Arial"/>
        </w:rPr>
      </w:pPr>
      <w:r>
        <w:rPr>
          <w:rFonts w:cs="Arial"/>
        </w:rPr>
        <w:t xml:space="preserve">Though a number </w:t>
      </w:r>
      <w:r w:rsidR="006F23D0">
        <w:rPr>
          <w:rFonts w:cs="Arial"/>
        </w:rPr>
        <w:t xml:space="preserve">of the areas </w:t>
      </w:r>
      <w:r>
        <w:rPr>
          <w:rFonts w:cs="Arial"/>
        </w:rPr>
        <w:t xml:space="preserve">identified </w:t>
      </w:r>
      <w:r w:rsidR="006F23D0">
        <w:rPr>
          <w:rFonts w:cs="Arial"/>
        </w:rPr>
        <w:t xml:space="preserve">for improvement </w:t>
      </w:r>
      <w:r w:rsidR="006A4254">
        <w:rPr>
          <w:rFonts w:cs="Arial"/>
        </w:rPr>
        <w:t>in 2013</w:t>
      </w:r>
      <w:r w:rsidR="006F23D0">
        <w:rPr>
          <w:rFonts w:cs="Arial"/>
        </w:rPr>
        <w:t xml:space="preserve"> </w:t>
      </w:r>
      <w:r>
        <w:rPr>
          <w:rFonts w:cs="Arial"/>
        </w:rPr>
        <w:t>mirror</w:t>
      </w:r>
      <w:r w:rsidR="006A4254">
        <w:rPr>
          <w:rFonts w:cs="Arial"/>
        </w:rPr>
        <w:t>ed</w:t>
      </w:r>
      <w:r>
        <w:rPr>
          <w:rFonts w:cs="Arial"/>
        </w:rPr>
        <w:t xml:space="preserve"> those singled out during the 2012 assessment, it should be noted that the extent of comp</w:t>
      </w:r>
      <w:r w:rsidR="006F23D0">
        <w:rPr>
          <w:rFonts w:cs="Arial"/>
        </w:rPr>
        <w:t>liance with the regulations improved in all areas</w:t>
      </w:r>
      <w:r w:rsidR="00C203F0">
        <w:rPr>
          <w:rFonts w:cs="Arial"/>
        </w:rPr>
        <w:t xml:space="preserve">.  An additional focus on the below detailed areas </w:t>
      </w:r>
      <w:r w:rsidR="006A4254">
        <w:rPr>
          <w:rFonts w:cs="Arial"/>
        </w:rPr>
        <w:t xml:space="preserve">was identified to </w:t>
      </w:r>
      <w:r w:rsidR="00C203F0">
        <w:rPr>
          <w:rFonts w:cs="Arial"/>
        </w:rPr>
        <w:t>ensure a consistency of compliance:</w:t>
      </w:r>
    </w:p>
    <w:p w:rsidR="006F23D0" w:rsidRDefault="00C203F0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consistent </w:t>
      </w:r>
      <w:r w:rsidR="006F23D0">
        <w:rPr>
          <w:rFonts w:cs="Arial"/>
          <w:lang w:val="en-GB"/>
        </w:rPr>
        <w:t xml:space="preserve">management of </w:t>
      </w:r>
      <w:r w:rsidR="006F23D0" w:rsidRPr="006F23D0">
        <w:rPr>
          <w:rFonts w:cs="Arial"/>
          <w:lang w:val="en-GB"/>
        </w:rPr>
        <w:t>secure care processes</w:t>
      </w:r>
    </w:p>
    <w:p w:rsidR="00F0396E" w:rsidRPr="006F23D0" w:rsidRDefault="00C203F0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further strengthening of the </w:t>
      </w:r>
      <w:r w:rsidR="00F0396E" w:rsidRPr="006F23D0">
        <w:rPr>
          <w:rFonts w:cs="Arial"/>
          <w:lang w:val="en-GB"/>
        </w:rPr>
        <w:t>compliance monitoring and reporting system</w:t>
      </w:r>
    </w:p>
    <w:p w:rsidR="00F0396E" w:rsidRDefault="00C203F0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recording, storage and administration of medication</w:t>
      </w:r>
    </w:p>
    <w:p w:rsidR="00464511" w:rsidRPr="007106D4" w:rsidRDefault="00464511" w:rsidP="00464511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further increasing the range of </w:t>
      </w:r>
      <w:r w:rsidRPr="007106D4">
        <w:rPr>
          <w:rFonts w:cs="Arial"/>
          <w:lang w:val="en-GB"/>
        </w:rPr>
        <w:t>activities and programmes available to children and young people</w:t>
      </w:r>
    </w:p>
    <w:p w:rsidR="000D128A" w:rsidRPr="007106D4" w:rsidRDefault="000D128A" w:rsidP="007106D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7106D4">
        <w:rPr>
          <w:rFonts w:cs="Arial"/>
          <w:lang w:val="en-GB"/>
        </w:rPr>
        <w:t>ensuring only approved punishments and sanctions were applied in the management of children and young people’s challenging behaviour</w:t>
      </w:r>
    </w:p>
    <w:p w:rsidR="000D128A" w:rsidRPr="00DA2276" w:rsidRDefault="00790161" w:rsidP="000D128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7106D4">
        <w:rPr>
          <w:rFonts w:cs="Arial"/>
          <w:lang w:val="en-GB"/>
        </w:rPr>
        <w:t xml:space="preserve">further </w:t>
      </w:r>
      <w:r w:rsidRPr="00DA2276">
        <w:rPr>
          <w:rFonts w:cs="Arial"/>
          <w:lang w:val="en-GB"/>
        </w:rPr>
        <w:t xml:space="preserve">work to maintain </w:t>
      </w:r>
      <w:r w:rsidR="000D128A" w:rsidRPr="00DA2276">
        <w:rPr>
          <w:rFonts w:cs="Arial"/>
          <w:lang w:val="en-GB"/>
        </w:rPr>
        <w:t xml:space="preserve">sufficient staffing levels on shifts </w:t>
      </w:r>
    </w:p>
    <w:p w:rsidR="000D128A" w:rsidRDefault="000D128A" w:rsidP="000D128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DA2276">
        <w:rPr>
          <w:rFonts w:cs="Arial"/>
          <w:lang w:val="en-GB"/>
        </w:rPr>
        <w:t>ensuring that all staff at all times provided high standards of professional care,</w:t>
      </w:r>
      <w:r>
        <w:rPr>
          <w:rFonts w:cs="Arial"/>
          <w:lang w:val="en-GB"/>
        </w:rPr>
        <w:t xml:space="preserve"> and that children and young people ha</w:t>
      </w:r>
      <w:r w:rsidR="00790161">
        <w:rPr>
          <w:rFonts w:cs="Arial"/>
          <w:lang w:val="en-GB"/>
        </w:rPr>
        <w:t>d</w:t>
      </w:r>
      <w:r>
        <w:rPr>
          <w:rFonts w:cs="Arial"/>
          <w:lang w:val="en-GB"/>
        </w:rPr>
        <w:t xml:space="preserve"> full access to and understanding of the grievance process</w:t>
      </w:r>
    </w:p>
    <w:p w:rsidR="000D128A" w:rsidRDefault="000D128A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ensuring quarterly evacuation drills</w:t>
      </w:r>
    </w:p>
    <w:p w:rsidR="00F0396E" w:rsidRDefault="00F52C06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frequency of </w:t>
      </w:r>
      <w:r w:rsidR="00F0396E">
        <w:rPr>
          <w:rFonts w:cs="Arial"/>
          <w:lang w:val="en-GB"/>
        </w:rPr>
        <w:t>community liaison committee</w:t>
      </w:r>
      <w:r>
        <w:rPr>
          <w:rFonts w:cs="Arial"/>
          <w:lang w:val="en-GB"/>
        </w:rPr>
        <w:t xml:space="preserve"> meetings</w:t>
      </w:r>
    </w:p>
    <w:p w:rsidR="00F0396E" w:rsidRDefault="00C203F0" w:rsidP="001079EA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proofErr w:type="gramStart"/>
      <w:r>
        <w:rPr>
          <w:rFonts w:cs="Arial"/>
          <w:lang w:val="en-GB"/>
        </w:rPr>
        <w:t>ensuring</w:t>
      </w:r>
      <w:proofErr w:type="gramEnd"/>
      <w:r>
        <w:rPr>
          <w:rFonts w:cs="Arial"/>
          <w:lang w:val="en-GB"/>
        </w:rPr>
        <w:t xml:space="preserve"> </w:t>
      </w:r>
      <w:r w:rsidR="00494E46">
        <w:rPr>
          <w:rFonts w:cs="Arial"/>
          <w:lang w:val="en-GB"/>
        </w:rPr>
        <w:t xml:space="preserve">the </w:t>
      </w:r>
      <w:r>
        <w:rPr>
          <w:rFonts w:cs="Arial"/>
          <w:lang w:val="en-GB"/>
        </w:rPr>
        <w:t xml:space="preserve">recording practices in the </w:t>
      </w:r>
      <w:r w:rsidR="00494E46">
        <w:rPr>
          <w:rFonts w:cs="Arial"/>
          <w:lang w:val="en-GB"/>
        </w:rPr>
        <w:t>daily log</w:t>
      </w:r>
      <w:r w:rsidR="00ED14B2">
        <w:rPr>
          <w:rFonts w:cs="Arial"/>
          <w:lang w:val="en-GB"/>
        </w:rPr>
        <w:t xml:space="preserve"> and </w:t>
      </w:r>
      <w:r>
        <w:rPr>
          <w:rFonts w:cs="Arial"/>
          <w:lang w:val="en-GB"/>
        </w:rPr>
        <w:t xml:space="preserve">in </w:t>
      </w:r>
      <w:r w:rsidR="00ED14B2">
        <w:rPr>
          <w:rFonts w:cs="Arial"/>
          <w:lang w:val="en-GB"/>
        </w:rPr>
        <w:t>search forms</w:t>
      </w:r>
      <w:r>
        <w:rPr>
          <w:rFonts w:cs="Arial"/>
          <w:lang w:val="en-GB"/>
        </w:rPr>
        <w:t xml:space="preserve"> </w:t>
      </w:r>
      <w:r w:rsidR="008424A7">
        <w:rPr>
          <w:rFonts w:cs="Arial"/>
          <w:lang w:val="en-GB"/>
        </w:rPr>
        <w:t>is</w:t>
      </w:r>
      <w:r>
        <w:rPr>
          <w:rFonts w:cs="Arial"/>
          <w:lang w:val="en-GB"/>
        </w:rPr>
        <w:t xml:space="preserve"> consistent</w:t>
      </w:r>
      <w:r w:rsidR="006F23D0">
        <w:rPr>
          <w:rFonts w:cs="Arial"/>
          <w:lang w:val="en-GB"/>
        </w:rPr>
        <w:t>.</w:t>
      </w:r>
    </w:p>
    <w:p w:rsidR="00123EDA" w:rsidRPr="00123EDA" w:rsidRDefault="006A4254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Pr="00123EDA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6A4254">
        <w:rPr>
          <w:rFonts w:cs="Arial"/>
        </w:rPr>
        <w:t>has taken the following actions</w:t>
      </w:r>
      <w:r w:rsidR="00E20166">
        <w:rPr>
          <w:rFonts w:cs="Arial"/>
        </w:rPr>
        <w:t xml:space="preserve"> at Te Oranga</w:t>
      </w:r>
      <w:r w:rsidRPr="00123EDA">
        <w:rPr>
          <w:rFonts w:cs="Arial"/>
        </w:rPr>
        <w:t xml:space="preserve">:  </w:t>
      </w:r>
    </w:p>
    <w:p w:rsidR="006F23D0" w:rsidRDefault="006F23D0" w:rsidP="001079EA">
      <w:pPr>
        <w:pStyle w:val="BodyTextIndent"/>
        <w:numPr>
          <w:ilvl w:val="0"/>
          <w:numId w:val="28"/>
        </w:numPr>
        <w:spacing w:before="120"/>
        <w:jc w:val="both"/>
      </w:pPr>
      <w:r>
        <w:t xml:space="preserve">further developed </w:t>
      </w:r>
      <w:r w:rsidR="00C203F0">
        <w:t xml:space="preserve">the package of </w:t>
      </w:r>
      <w:r>
        <w:t xml:space="preserve">training </w:t>
      </w:r>
      <w:r w:rsidR="00C203F0">
        <w:t xml:space="preserve">delivered </w:t>
      </w:r>
      <w:r>
        <w:t xml:space="preserve">to staff on secure care </w:t>
      </w:r>
      <w:r w:rsidR="00C203F0">
        <w:t xml:space="preserve">management </w:t>
      </w:r>
      <w:r>
        <w:t>practices</w:t>
      </w:r>
      <w:r w:rsidR="00C90989">
        <w:t xml:space="preserve"> and </w:t>
      </w:r>
      <w:r w:rsidR="0089791B">
        <w:t>established a</w:t>
      </w:r>
      <w:r w:rsidR="00C90989">
        <w:t xml:space="preserve"> process for </w:t>
      </w:r>
      <w:r w:rsidR="0089791B">
        <w:t xml:space="preserve">the monitoring of </w:t>
      </w:r>
      <w:r w:rsidR="00C90989">
        <w:t>daily reviews and confinements</w:t>
      </w:r>
      <w:r w:rsidR="004B50BE">
        <w:t xml:space="preserve"> of young people to their room</w:t>
      </w:r>
    </w:p>
    <w:p w:rsidR="006F23D0" w:rsidRDefault="006F23D0" w:rsidP="001079EA">
      <w:pPr>
        <w:pStyle w:val="BodyTextIndent"/>
        <w:numPr>
          <w:ilvl w:val="0"/>
          <w:numId w:val="28"/>
        </w:numPr>
        <w:spacing w:before="120"/>
        <w:jc w:val="both"/>
      </w:pPr>
      <w:r>
        <w:t>continued to refine t</w:t>
      </w:r>
      <w:r w:rsidR="00C203F0">
        <w:t>he compliance monitoring system</w:t>
      </w:r>
      <w:r w:rsidR="00454DF2">
        <w:t>,</w:t>
      </w:r>
      <w:r w:rsidR="007879C2">
        <w:t xml:space="preserve"> </w:t>
      </w:r>
      <w:r w:rsidR="0089791B">
        <w:t>including</w:t>
      </w:r>
      <w:r w:rsidR="00454DF2">
        <w:t xml:space="preserve"> the provision of</w:t>
      </w:r>
      <w:r w:rsidR="007879C2">
        <w:t xml:space="preserve"> </w:t>
      </w:r>
      <w:r w:rsidR="0089791B">
        <w:t xml:space="preserve">staff </w:t>
      </w:r>
      <w:r w:rsidR="007879C2">
        <w:t>training</w:t>
      </w:r>
      <w:r w:rsidR="0089791B">
        <w:t xml:space="preserve"> and</w:t>
      </w:r>
      <w:r w:rsidR="00454DF2">
        <w:t xml:space="preserve"> implementation of</w:t>
      </w:r>
      <w:r w:rsidR="0089791B">
        <w:t xml:space="preserve"> routine</w:t>
      </w:r>
      <w:r w:rsidR="007879C2">
        <w:t xml:space="preserve"> compliance reporting </w:t>
      </w:r>
    </w:p>
    <w:p w:rsidR="00C203F0" w:rsidRDefault="00C203F0" w:rsidP="001079EA">
      <w:pPr>
        <w:pStyle w:val="BodyTextIndent"/>
        <w:numPr>
          <w:ilvl w:val="0"/>
          <w:numId w:val="28"/>
        </w:numPr>
        <w:spacing w:before="120"/>
        <w:jc w:val="both"/>
      </w:pPr>
      <w:r w:rsidRPr="00D659DC">
        <w:rPr>
          <w:rFonts w:cs="Arial"/>
          <w:lang w:val="en-GB"/>
        </w:rPr>
        <w:t>provided</w:t>
      </w:r>
      <w:r>
        <w:rPr>
          <w:rFonts w:cs="Arial"/>
          <w:lang w:val="en-GB"/>
        </w:rPr>
        <w:t xml:space="preserve"> refresher training for staff on medication practices</w:t>
      </w:r>
      <w:r w:rsidR="0089791B">
        <w:rPr>
          <w:rFonts w:cs="Arial"/>
          <w:lang w:val="en-GB"/>
        </w:rPr>
        <w:t>,</w:t>
      </w:r>
      <w:r w:rsidR="006F0533">
        <w:rPr>
          <w:rFonts w:cs="Arial"/>
          <w:lang w:val="en-GB"/>
        </w:rPr>
        <w:t xml:space="preserve"> including</w:t>
      </w:r>
      <w:r w:rsidR="00454DF2">
        <w:rPr>
          <w:rFonts w:cs="Arial"/>
          <w:lang w:val="en-GB"/>
        </w:rPr>
        <w:t xml:space="preserve"> to</w:t>
      </w:r>
      <w:r w:rsidR="00F52C06">
        <w:rPr>
          <w:rFonts w:cs="Arial"/>
          <w:lang w:val="en-GB"/>
        </w:rPr>
        <w:t xml:space="preserve"> casual staff on fixed-</w:t>
      </w:r>
      <w:r w:rsidR="006F0533">
        <w:rPr>
          <w:rFonts w:cs="Arial"/>
          <w:lang w:val="en-GB"/>
        </w:rPr>
        <w:t>term contracts</w:t>
      </w:r>
    </w:p>
    <w:p w:rsidR="006F23D0" w:rsidRDefault="006F23D0" w:rsidP="001079EA">
      <w:pPr>
        <w:numPr>
          <w:ilvl w:val="0"/>
          <w:numId w:val="28"/>
        </w:numPr>
        <w:spacing w:after="0"/>
        <w:jc w:val="both"/>
        <w:rPr>
          <w:rFonts w:cs="Arial"/>
        </w:rPr>
      </w:pPr>
      <w:r>
        <w:rPr>
          <w:rFonts w:cs="Arial"/>
        </w:rPr>
        <w:t>implemented a schedule for the community liaison</w:t>
      </w:r>
      <w:r w:rsidR="00454DF2">
        <w:rPr>
          <w:rFonts w:cs="Arial"/>
        </w:rPr>
        <w:t xml:space="preserve"> committee</w:t>
      </w:r>
      <w:r>
        <w:rPr>
          <w:rFonts w:cs="Arial"/>
        </w:rPr>
        <w:t xml:space="preserve"> meetings</w:t>
      </w:r>
    </w:p>
    <w:p w:rsidR="00400B2A" w:rsidRDefault="00400B2A" w:rsidP="001079EA">
      <w:pPr>
        <w:numPr>
          <w:ilvl w:val="0"/>
          <w:numId w:val="28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further increased the range of activities </w:t>
      </w:r>
      <w:r w:rsidR="00C203F0">
        <w:rPr>
          <w:rFonts w:cs="Arial"/>
        </w:rPr>
        <w:t xml:space="preserve">and programmes </w:t>
      </w:r>
      <w:r>
        <w:rPr>
          <w:rFonts w:cs="Arial"/>
        </w:rPr>
        <w:t>available to young people</w:t>
      </w:r>
    </w:p>
    <w:p w:rsidR="00FB2D9F" w:rsidRDefault="00FB2D9F">
      <w:pPr>
        <w:spacing w:before="0" w:after="0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br w:type="page"/>
      </w:r>
    </w:p>
    <w:p w:rsidR="006F23D0" w:rsidRDefault="00400B2A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continued to refine</w:t>
      </w:r>
      <w:r w:rsidR="0089791B">
        <w:rPr>
          <w:rFonts w:cs="Arial"/>
          <w:szCs w:val="22"/>
          <w:lang w:val="en-GB"/>
        </w:rPr>
        <w:t>,</w:t>
      </w:r>
      <w:r>
        <w:rPr>
          <w:rFonts w:cs="Arial"/>
          <w:szCs w:val="22"/>
          <w:lang w:val="en-GB"/>
        </w:rPr>
        <w:t xml:space="preserve"> develop</w:t>
      </w:r>
      <w:r w:rsidR="006F0533">
        <w:rPr>
          <w:rFonts w:cs="Arial"/>
          <w:szCs w:val="22"/>
          <w:lang w:val="en-GB"/>
        </w:rPr>
        <w:t xml:space="preserve"> and monitor</w:t>
      </w:r>
      <w:r>
        <w:rPr>
          <w:rFonts w:cs="Arial"/>
          <w:szCs w:val="22"/>
          <w:lang w:val="en-GB"/>
        </w:rPr>
        <w:t xml:space="preserve"> </w:t>
      </w:r>
      <w:r w:rsidR="00C203F0">
        <w:rPr>
          <w:rFonts w:cs="Arial"/>
          <w:szCs w:val="22"/>
          <w:lang w:val="en-GB"/>
        </w:rPr>
        <w:t>staff recording practices</w:t>
      </w:r>
      <w:r w:rsidR="006F0533">
        <w:rPr>
          <w:rFonts w:cs="Arial"/>
          <w:szCs w:val="22"/>
          <w:lang w:val="en-GB"/>
        </w:rPr>
        <w:t xml:space="preserve"> including </w:t>
      </w:r>
      <w:r w:rsidR="004B50BE">
        <w:rPr>
          <w:rFonts w:cs="Arial"/>
          <w:szCs w:val="22"/>
          <w:lang w:val="en-GB"/>
        </w:rPr>
        <w:t xml:space="preserve">the documentation of </w:t>
      </w:r>
      <w:r w:rsidR="0089791B">
        <w:rPr>
          <w:rFonts w:cs="Arial"/>
          <w:szCs w:val="22"/>
          <w:lang w:val="en-GB"/>
        </w:rPr>
        <w:t xml:space="preserve">items </w:t>
      </w:r>
      <w:r w:rsidR="006F0533">
        <w:rPr>
          <w:rFonts w:cs="Arial"/>
          <w:szCs w:val="22"/>
          <w:lang w:val="en-GB"/>
        </w:rPr>
        <w:t>seized during search</w:t>
      </w:r>
      <w:r w:rsidR="0089791B">
        <w:rPr>
          <w:rFonts w:cs="Arial"/>
          <w:szCs w:val="22"/>
          <w:lang w:val="en-GB"/>
        </w:rPr>
        <w:t>es</w:t>
      </w:r>
    </w:p>
    <w:p w:rsidR="007879C2" w:rsidRDefault="00F52C06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>provided</w:t>
      </w:r>
      <w:r w:rsidR="0089791B">
        <w:rPr>
          <w:rFonts w:cs="Arial"/>
          <w:szCs w:val="22"/>
          <w:lang w:val="en-GB"/>
        </w:rPr>
        <w:t xml:space="preserve"> </w:t>
      </w:r>
      <w:r w:rsidR="00CA6BB5">
        <w:rPr>
          <w:rFonts w:cs="Arial"/>
          <w:szCs w:val="22"/>
          <w:lang w:val="en-GB"/>
        </w:rPr>
        <w:t>r</w:t>
      </w:r>
      <w:r w:rsidR="007879C2">
        <w:rPr>
          <w:rFonts w:cs="Arial"/>
          <w:szCs w:val="22"/>
          <w:lang w:val="en-GB"/>
        </w:rPr>
        <w:t xml:space="preserve">egulations training for staff </w:t>
      </w:r>
      <w:r w:rsidR="00454DF2">
        <w:rPr>
          <w:rFonts w:cs="Arial"/>
          <w:szCs w:val="22"/>
          <w:lang w:val="en-GB"/>
        </w:rPr>
        <w:t>with a focus on</w:t>
      </w:r>
      <w:r w:rsidR="007879C2">
        <w:rPr>
          <w:rFonts w:cs="Arial"/>
          <w:szCs w:val="22"/>
          <w:lang w:val="en-GB"/>
        </w:rPr>
        <w:t xml:space="preserve"> </w:t>
      </w:r>
      <w:r w:rsidR="00454DF2">
        <w:rPr>
          <w:rFonts w:cs="Arial"/>
          <w:szCs w:val="22"/>
          <w:lang w:val="en-GB"/>
        </w:rPr>
        <w:t xml:space="preserve">the </w:t>
      </w:r>
      <w:r w:rsidR="007879C2">
        <w:rPr>
          <w:rFonts w:cs="Arial"/>
          <w:szCs w:val="22"/>
          <w:lang w:val="en-GB"/>
        </w:rPr>
        <w:t>confinement</w:t>
      </w:r>
      <w:r w:rsidR="004B50BE">
        <w:rPr>
          <w:rFonts w:cs="Arial"/>
          <w:szCs w:val="22"/>
          <w:lang w:val="en-GB"/>
        </w:rPr>
        <w:t xml:space="preserve"> of young people</w:t>
      </w:r>
      <w:r w:rsidR="007879C2">
        <w:rPr>
          <w:rFonts w:cs="Arial"/>
          <w:szCs w:val="22"/>
          <w:lang w:val="en-GB"/>
        </w:rPr>
        <w:t xml:space="preserve"> to </w:t>
      </w:r>
      <w:r w:rsidR="004B50BE">
        <w:rPr>
          <w:rFonts w:cs="Arial"/>
          <w:szCs w:val="22"/>
          <w:lang w:val="en-GB"/>
        </w:rPr>
        <w:t xml:space="preserve">their </w:t>
      </w:r>
      <w:r w:rsidR="007879C2">
        <w:rPr>
          <w:rFonts w:cs="Arial"/>
          <w:szCs w:val="22"/>
          <w:lang w:val="en-GB"/>
        </w:rPr>
        <w:t>room</w:t>
      </w:r>
      <w:r w:rsidR="00454DF2">
        <w:rPr>
          <w:rFonts w:cs="Arial"/>
          <w:szCs w:val="22"/>
          <w:lang w:val="en-GB"/>
        </w:rPr>
        <w:t>s</w:t>
      </w:r>
      <w:r w:rsidR="007879C2">
        <w:rPr>
          <w:rFonts w:cs="Arial"/>
          <w:szCs w:val="22"/>
          <w:lang w:val="en-GB"/>
        </w:rPr>
        <w:t xml:space="preserve"> and behaviour management processes</w:t>
      </w:r>
      <w:r w:rsidR="004B50BE">
        <w:rPr>
          <w:rFonts w:cs="Arial"/>
          <w:szCs w:val="22"/>
          <w:lang w:val="en-GB"/>
        </w:rPr>
        <w:t xml:space="preserve">, and implemented daily monitoring </w:t>
      </w:r>
      <w:r w:rsidR="00454DF2">
        <w:rPr>
          <w:rFonts w:cs="Arial"/>
          <w:szCs w:val="22"/>
          <w:lang w:val="en-GB"/>
        </w:rPr>
        <w:t>of practice in these areas</w:t>
      </w:r>
      <w:r w:rsidR="007879C2">
        <w:rPr>
          <w:rFonts w:cs="Arial"/>
          <w:szCs w:val="22"/>
          <w:lang w:val="en-GB"/>
        </w:rPr>
        <w:t xml:space="preserve"> </w:t>
      </w:r>
    </w:p>
    <w:p w:rsidR="007879C2" w:rsidRDefault="00454DF2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progressed </w:t>
      </w:r>
      <w:r w:rsidR="00CA6BB5">
        <w:rPr>
          <w:rFonts w:cs="Arial"/>
          <w:szCs w:val="22"/>
          <w:lang w:val="en-GB"/>
        </w:rPr>
        <w:t>r</w:t>
      </w:r>
      <w:r w:rsidR="007879C2">
        <w:rPr>
          <w:rFonts w:cs="Arial"/>
          <w:szCs w:val="22"/>
          <w:lang w:val="en-GB"/>
        </w:rPr>
        <w:t>egular advertising and interviewing for new casual staff</w:t>
      </w:r>
      <w:r w:rsidR="00DA66E7">
        <w:rPr>
          <w:rFonts w:cs="Arial"/>
          <w:szCs w:val="22"/>
          <w:lang w:val="en-GB"/>
        </w:rPr>
        <w:t xml:space="preserve"> and enhanced staff induction processes </w:t>
      </w:r>
    </w:p>
    <w:p w:rsidR="009C540C" w:rsidRDefault="00454DF2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implemented regular </w:t>
      </w:r>
      <w:r w:rsidR="00CA6BB5">
        <w:rPr>
          <w:rFonts w:cs="Arial"/>
          <w:szCs w:val="22"/>
          <w:lang w:val="en-GB"/>
        </w:rPr>
        <w:t>p</w:t>
      </w:r>
      <w:r w:rsidR="009C540C">
        <w:rPr>
          <w:rFonts w:cs="Arial"/>
          <w:szCs w:val="22"/>
          <w:lang w:val="en-GB"/>
        </w:rPr>
        <w:t xml:space="preserve">ractice forums </w:t>
      </w:r>
      <w:r>
        <w:rPr>
          <w:rFonts w:cs="Arial"/>
          <w:szCs w:val="22"/>
          <w:lang w:val="en-GB"/>
        </w:rPr>
        <w:t>as part of t</w:t>
      </w:r>
      <w:r w:rsidR="009C540C">
        <w:rPr>
          <w:rFonts w:cs="Arial"/>
          <w:szCs w:val="22"/>
          <w:lang w:val="en-GB"/>
        </w:rPr>
        <w:t xml:space="preserve">eam office days </w:t>
      </w:r>
      <w:r w:rsidR="0069327E">
        <w:rPr>
          <w:rFonts w:cs="Arial"/>
          <w:szCs w:val="22"/>
          <w:lang w:val="en-GB"/>
        </w:rPr>
        <w:t>with a focus on supporting</w:t>
      </w:r>
      <w:r w:rsidR="009C540C">
        <w:rPr>
          <w:rFonts w:cs="Arial"/>
          <w:szCs w:val="22"/>
          <w:lang w:val="en-GB"/>
        </w:rPr>
        <w:t xml:space="preserve"> professional standards of care, </w:t>
      </w:r>
      <w:r w:rsidR="0069327E">
        <w:rPr>
          <w:rFonts w:cs="Arial"/>
          <w:szCs w:val="22"/>
          <w:lang w:val="en-GB"/>
        </w:rPr>
        <w:t xml:space="preserve">effective </w:t>
      </w:r>
      <w:r w:rsidR="009C540C">
        <w:rPr>
          <w:rFonts w:cs="Arial"/>
          <w:szCs w:val="22"/>
          <w:lang w:val="en-GB"/>
        </w:rPr>
        <w:t>operation of the grievance program</w:t>
      </w:r>
      <w:r w:rsidR="0069327E">
        <w:rPr>
          <w:rFonts w:cs="Arial"/>
          <w:szCs w:val="22"/>
          <w:lang w:val="en-GB"/>
        </w:rPr>
        <w:t>me</w:t>
      </w:r>
      <w:r w:rsidR="009C540C">
        <w:rPr>
          <w:rFonts w:cs="Arial"/>
          <w:szCs w:val="22"/>
          <w:lang w:val="en-GB"/>
        </w:rPr>
        <w:t xml:space="preserve">, </w:t>
      </w:r>
      <w:r w:rsidR="0069327E">
        <w:rPr>
          <w:rFonts w:cs="Arial"/>
          <w:szCs w:val="22"/>
          <w:lang w:val="en-GB"/>
        </w:rPr>
        <w:t xml:space="preserve">management of </w:t>
      </w:r>
      <w:r w:rsidR="009C540C">
        <w:rPr>
          <w:rFonts w:cs="Arial"/>
          <w:szCs w:val="22"/>
          <w:lang w:val="en-GB"/>
        </w:rPr>
        <w:t xml:space="preserve">staffing issues and </w:t>
      </w:r>
      <w:r w:rsidR="0069327E">
        <w:rPr>
          <w:rFonts w:cs="Arial"/>
          <w:szCs w:val="22"/>
          <w:lang w:val="en-GB"/>
        </w:rPr>
        <w:t xml:space="preserve">admission of young people to </w:t>
      </w:r>
      <w:r w:rsidR="009C540C">
        <w:rPr>
          <w:rFonts w:cs="Arial"/>
          <w:szCs w:val="22"/>
          <w:lang w:val="en-GB"/>
        </w:rPr>
        <w:t xml:space="preserve">secure </w:t>
      </w:r>
      <w:r w:rsidR="0069327E">
        <w:rPr>
          <w:rFonts w:cs="Arial"/>
          <w:szCs w:val="22"/>
          <w:lang w:val="en-GB"/>
        </w:rPr>
        <w:t>care</w:t>
      </w:r>
    </w:p>
    <w:p w:rsidR="009C540C" w:rsidRDefault="004E489F" w:rsidP="001079EA">
      <w:pPr>
        <w:numPr>
          <w:ilvl w:val="0"/>
          <w:numId w:val="28"/>
        </w:numPr>
        <w:spacing w:after="0"/>
        <w:jc w:val="both"/>
        <w:rPr>
          <w:rFonts w:cs="Arial"/>
          <w:szCs w:val="22"/>
          <w:lang w:val="en-GB"/>
        </w:rPr>
      </w:pPr>
      <w:r>
        <w:rPr>
          <w:rFonts w:cs="Arial"/>
          <w:szCs w:val="22"/>
          <w:lang w:val="en-GB"/>
        </w:rPr>
        <w:t xml:space="preserve">continued to enhance its processes for ensuring the </w:t>
      </w:r>
      <w:r w:rsidR="00CA6BB5">
        <w:rPr>
          <w:rFonts w:cs="Arial"/>
          <w:szCs w:val="22"/>
          <w:lang w:val="en-GB"/>
        </w:rPr>
        <w:t>s</w:t>
      </w:r>
      <w:r w:rsidR="009C540C">
        <w:rPr>
          <w:rFonts w:cs="Arial"/>
          <w:szCs w:val="22"/>
          <w:lang w:val="en-GB"/>
        </w:rPr>
        <w:t>cheduling of quarterly evacuation drills</w:t>
      </w:r>
      <w:r>
        <w:rPr>
          <w:rFonts w:cs="Arial"/>
          <w:szCs w:val="22"/>
          <w:lang w:val="en-GB"/>
        </w:rPr>
        <w:t>.</w:t>
      </w:r>
    </w:p>
    <w:p w:rsidR="00B50282" w:rsidRPr="00B50282" w:rsidRDefault="00B50282" w:rsidP="006F23D0">
      <w:pPr>
        <w:spacing w:after="0"/>
        <w:ind w:left="425"/>
        <w:jc w:val="both"/>
        <w:rPr>
          <w:rFonts w:cs="Arial"/>
          <w:szCs w:val="22"/>
          <w:lang w:val="en-GB"/>
        </w:rPr>
      </w:pPr>
    </w:p>
    <w:p w:rsidR="00E86078" w:rsidRPr="00123EDA" w:rsidRDefault="00E86078" w:rsidP="00E86078">
      <w:pPr>
        <w:rPr>
          <w:rFonts w:cs="Arial"/>
        </w:rPr>
      </w:pPr>
    </w:p>
    <w:sectPr w:rsidR="00E86078" w:rsidRPr="00123EDA" w:rsidSect="00E86078">
      <w:headerReference w:type="default" r:id="rId8"/>
      <w:footerReference w:type="default" r:id="rId9"/>
      <w:pgSz w:w="11900" w:h="16840"/>
      <w:pgMar w:top="170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295" w:rsidRDefault="00780295">
      <w:r>
        <w:separator/>
      </w:r>
    </w:p>
  </w:endnote>
  <w:endnote w:type="continuationSeparator" w:id="0">
    <w:p w:rsidR="00780295" w:rsidRDefault="0078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EDA" w:rsidRDefault="006B1982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8752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295" w:rsidRDefault="00780295">
      <w:r>
        <w:separator/>
      </w:r>
    </w:p>
  </w:footnote>
  <w:footnote w:type="continuationSeparator" w:id="0">
    <w:p w:rsidR="00780295" w:rsidRDefault="00780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A3" w:rsidRDefault="001C4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29A04F2"/>
    <w:multiLevelType w:val="hybridMultilevel"/>
    <w:tmpl w:val="419C79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D90ABC"/>
    <w:multiLevelType w:val="multilevel"/>
    <w:tmpl w:val="0409001D"/>
    <w:numStyleLink w:val="bulletlist"/>
  </w:abstractNum>
  <w:abstractNum w:abstractNumId="8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9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4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6628E"/>
    <w:multiLevelType w:val="hybridMultilevel"/>
    <w:tmpl w:val="33B28F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CE30E2B"/>
    <w:multiLevelType w:val="hybridMultilevel"/>
    <w:tmpl w:val="CD969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40DA9"/>
    <w:multiLevelType w:val="hybridMultilevel"/>
    <w:tmpl w:val="5B867F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8"/>
  </w:num>
  <w:num w:numId="5">
    <w:abstractNumId w:val="17"/>
  </w:num>
  <w:num w:numId="6">
    <w:abstractNumId w:val="10"/>
  </w:num>
  <w:num w:numId="7">
    <w:abstractNumId w:val="15"/>
  </w:num>
  <w:num w:numId="8">
    <w:abstractNumId w:val="20"/>
  </w:num>
  <w:num w:numId="9">
    <w:abstractNumId w:val="24"/>
  </w:num>
  <w:num w:numId="10">
    <w:abstractNumId w:val="11"/>
  </w:num>
  <w:num w:numId="11">
    <w:abstractNumId w:val="6"/>
  </w:num>
  <w:num w:numId="12">
    <w:abstractNumId w:val="14"/>
  </w:num>
  <w:num w:numId="13">
    <w:abstractNumId w:val="27"/>
  </w:num>
  <w:num w:numId="14">
    <w:abstractNumId w:val="0"/>
  </w:num>
  <w:num w:numId="15">
    <w:abstractNumId w:val="22"/>
  </w:num>
  <w:num w:numId="16">
    <w:abstractNumId w:val="1"/>
  </w:num>
  <w:num w:numId="17">
    <w:abstractNumId w:val="13"/>
  </w:num>
  <w:num w:numId="18">
    <w:abstractNumId w:val="5"/>
  </w:num>
  <w:num w:numId="19">
    <w:abstractNumId w:val="3"/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5"/>
  </w:num>
  <w:num w:numId="24">
    <w:abstractNumId w:val="4"/>
  </w:num>
  <w:num w:numId="25">
    <w:abstractNumId w:val="28"/>
  </w:num>
  <w:num w:numId="26">
    <w:abstractNumId w:val="26"/>
  </w:num>
  <w:num w:numId="27">
    <w:abstractNumId w:val="2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263F5"/>
    <w:rsid w:val="000475E7"/>
    <w:rsid w:val="000B0735"/>
    <w:rsid w:val="000D128A"/>
    <w:rsid w:val="000D61A2"/>
    <w:rsid w:val="001079EA"/>
    <w:rsid w:val="00123EDA"/>
    <w:rsid w:val="0017319F"/>
    <w:rsid w:val="001748CD"/>
    <w:rsid w:val="001C42A3"/>
    <w:rsid w:val="002564D4"/>
    <w:rsid w:val="002578CA"/>
    <w:rsid w:val="00287662"/>
    <w:rsid w:val="003B1A75"/>
    <w:rsid w:val="003E4753"/>
    <w:rsid w:val="003E580F"/>
    <w:rsid w:val="00400B2A"/>
    <w:rsid w:val="00401B81"/>
    <w:rsid w:val="00411CF6"/>
    <w:rsid w:val="00454DF2"/>
    <w:rsid w:val="00462EA0"/>
    <w:rsid w:val="00464511"/>
    <w:rsid w:val="00494E46"/>
    <w:rsid w:val="004A526A"/>
    <w:rsid w:val="004B50BE"/>
    <w:rsid w:val="004B7B36"/>
    <w:rsid w:val="004E489F"/>
    <w:rsid w:val="004F76B6"/>
    <w:rsid w:val="00512981"/>
    <w:rsid w:val="00574B27"/>
    <w:rsid w:val="005871E7"/>
    <w:rsid w:val="0069327E"/>
    <w:rsid w:val="006A4254"/>
    <w:rsid w:val="006B1982"/>
    <w:rsid w:val="006F0533"/>
    <w:rsid w:val="006F23D0"/>
    <w:rsid w:val="007106D4"/>
    <w:rsid w:val="00780295"/>
    <w:rsid w:val="007879C2"/>
    <w:rsid w:val="00790161"/>
    <w:rsid w:val="007E3C8E"/>
    <w:rsid w:val="007F7FFC"/>
    <w:rsid w:val="00806076"/>
    <w:rsid w:val="00817E8F"/>
    <w:rsid w:val="008424A7"/>
    <w:rsid w:val="0089791B"/>
    <w:rsid w:val="008B0139"/>
    <w:rsid w:val="008D3D6C"/>
    <w:rsid w:val="008F38F7"/>
    <w:rsid w:val="00984EDA"/>
    <w:rsid w:val="00987E32"/>
    <w:rsid w:val="00995F64"/>
    <w:rsid w:val="009C540C"/>
    <w:rsid w:val="00A00ECC"/>
    <w:rsid w:val="00A97548"/>
    <w:rsid w:val="00B13AE3"/>
    <w:rsid w:val="00B2620D"/>
    <w:rsid w:val="00B50282"/>
    <w:rsid w:val="00C200B4"/>
    <w:rsid w:val="00C203F0"/>
    <w:rsid w:val="00C65624"/>
    <w:rsid w:val="00C90989"/>
    <w:rsid w:val="00CA6BB5"/>
    <w:rsid w:val="00CE7207"/>
    <w:rsid w:val="00D6648A"/>
    <w:rsid w:val="00DA2276"/>
    <w:rsid w:val="00DA66E7"/>
    <w:rsid w:val="00E1240F"/>
    <w:rsid w:val="00E20166"/>
    <w:rsid w:val="00E33FC4"/>
    <w:rsid w:val="00E86078"/>
    <w:rsid w:val="00EC011D"/>
    <w:rsid w:val="00EC59CB"/>
    <w:rsid w:val="00ED14B2"/>
    <w:rsid w:val="00F0396E"/>
    <w:rsid w:val="00F114D2"/>
    <w:rsid w:val="00F2220E"/>
    <w:rsid w:val="00F52C06"/>
    <w:rsid w:val="00F979A4"/>
    <w:rsid w:val="00FA2C9A"/>
    <w:rsid w:val="00FB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6F23D0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9F584A"/>
    <w:pPr>
      <w:keepNext/>
      <w:spacing w:before="240"/>
      <w:outlineLvl w:val="1"/>
    </w:pPr>
    <w:rPr>
      <w:rFonts w:ascii="Georgia" w:hAnsi="Georgia"/>
      <w:b/>
      <w:color w:val="98363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6F23D0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7013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Jo Harrison</cp:lastModifiedBy>
  <cp:revision>2</cp:revision>
  <cp:lastPrinted>2014-06-27T01:15:00Z</cp:lastPrinted>
  <dcterms:created xsi:type="dcterms:W3CDTF">2014-07-12T03:20:00Z</dcterms:created>
  <dcterms:modified xsi:type="dcterms:W3CDTF">2014-07-12T03:20:00Z</dcterms:modified>
</cp:coreProperties>
</file>