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B239B" w:rsidRDefault="00EE31EF" w:rsidP="00FB239B">
      <w:pPr>
        <w:pStyle w:val="Heading2"/>
        <w:spacing w:line="240" w:lineRule="auto"/>
        <w:rPr>
          <w:lang w:val="en-US"/>
        </w:rPr>
      </w:pPr>
      <w:r>
        <w:rPr>
          <w:noProof/>
          <w:lang w:val="en-NZ" w:eastAsia="en-NZ"/>
        </w:rPr>
        <w:drawing>
          <wp:anchor distT="0" distB="0" distL="114300" distR="114300" simplePos="0" relativeHeight="251660288" behindDoc="0" locked="0" layoutInCell="1" allowOverlap="1">
            <wp:simplePos x="0" y="0"/>
            <wp:positionH relativeFrom="column">
              <wp:posOffset>-108585</wp:posOffset>
            </wp:positionH>
            <wp:positionV relativeFrom="paragraph">
              <wp:posOffset>369570</wp:posOffset>
            </wp:positionV>
            <wp:extent cx="3648075" cy="657225"/>
            <wp:effectExtent l="19050" t="0" r="9525" b="0"/>
            <wp:wrapNone/>
            <wp:docPr id="10" name="Picture 10" descr="VP_logo_horizonta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P_logo_horizontal-RGB"/>
                    <pic:cNvPicPr>
                      <a:picLocks noChangeAspect="1" noChangeArrowheads="1"/>
                    </pic:cNvPicPr>
                  </pic:nvPicPr>
                  <pic:blipFill>
                    <a:blip r:embed="rId8"/>
                    <a:srcRect/>
                    <a:stretch>
                      <a:fillRect/>
                    </a:stretch>
                  </pic:blipFill>
                  <pic:spPr bwMode="auto">
                    <a:xfrm>
                      <a:off x="0" y="0"/>
                      <a:ext cx="3648075" cy="657225"/>
                    </a:xfrm>
                    <a:prstGeom prst="rect">
                      <a:avLst/>
                    </a:prstGeom>
                    <a:noFill/>
                    <a:ln w="9525">
                      <a:noFill/>
                      <a:miter lim="800000"/>
                      <a:headEnd/>
                      <a:tailEnd/>
                    </a:ln>
                  </pic:spPr>
                </pic:pic>
              </a:graphicData>
            </a:graphic>
          </wp:anchor>
        </w:drawing>
      </w:r>
    </w:p>
    <w:p w:rsidR="00CC1036" w:rsidRDefault="00CC1036" w:rsidP="00FB239B">
      <w:pPr>
        <w:pStyle w:val="ITFReportTitle"/>
        <w:jc w:val="left"/>
        <w:rPr>
          <w:sz w:val="40"/>
        </w:rPr>
      </w:pPr>
    </w:p>
    <w:p w:rsidR="00CC1036" w:rsidRDefault="00CC1036" w:rsidP="00FB239B">
      <w:pPr>
        <w:pStyle w:val="ITFReportTitle"/>
        <w:jc w:val="left"/>
        <w:rPr>
          <w:sz w:val="40"/>
        </w:rPr>
      </w:pPr>
    </w:p>
    <w:p w:rsidR="00FB239B" w:rsidRPr="00CC1036" w:rsidRDefault="0074058D" w:rsidP="00CC1036">
      <w:pPr>
        <w:pStyle w:val="Heading2"/>
        <w:rPr>
          <w:color w:val="595959" w:themeColor="text1" w:themeTint="A6"/>
          <w:lang w:val="en-US"/>
        </w:rPr>
      </w:pPr>
      <w:r w:rsidRPr="00CC1036">
        <w:rPr>
          <w:color w:val="595959" w:themeColor="text1" w:themeTint="A6"/>
          <w:lang w:val="en-US"/>
        </w:rPr>
        <w:t>Success</w:t>
      </w:r>
      <w:r w:rsidR="00CC1036" w:rsidRPr="00CC1036">
        <w:rPr>
          <w:color w:val="595959" w:themeColor="text1" w:themeTint="A6"/>
          <w:lang w:val="en-US"/>
        </w:rPr>
        <w:t>es, Challenges, Next steps</w:t>
      </w:r>
    </w:p>
    <w:p w:rsidR="00FB239B" w:rsidRPr="00CC1036" w:rsidRDefault="0074058D" w:rsidP="00FB239B">
      <w:pPr>
        <w:pStyle w:val="Heading2"/>
        <w:rPr>
          <w:color w:val="595959" w:themeColor="text1" w:themeTint="A6"/>
          <w:lang w:val="en-US"/>
        </w:rPr>
      </w:pPr>
      <w:r w:rsidRPr="00CC1036">
        <w:rPr>
          <w:color w:val="595959" w:themeColor="text1" w:themeTint="A6"/>
          <w:lang w:val="en-US"/>
        </w:rPr>
        <w:t>2014</w:t>
      </w:r>
    </w:p>
    <w:p w:rsidR="00FB239B" w:rsidRPr="00CC1036" w:rsidRDefault="00FB239B" w:rsidP="00FB2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595959" w:themeColor="text1" w:themeTint="A6"/>
        </w:rPr>
      </w:pPr>
    </w:p>
    <w:p w:rsidR="0074058D" w:rsidRPr="00CC1036" w:rsidRDefault="0074058D" w:rsidP="0074058D">
      <w:pPr>
        <w:pStyle w:val="Heading2"/>
        <w:rPr>
          <w:color w:val="595959" w:themeColor="text1" w:themeTint="A6"/>
          <w:lang w:val="en-US"/>
        </w:rPr>
      </w:pPr>
      <w:r w:rsidRPr="00CC1036">
        <w:rPr>
          <w:color w:val="595959" w:themeColor="text1" w:themeTint="A6"/>
          <w:lang w:val="en-US"/>
        </w:rPr>
        <w:t>Purpose</w:t>
      </w:r>
    </w:p>
    <w:p w:rsidR="0074058D" w:rsidRDefault="0074058D" w:rsidP="00FB2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35D29" w:rsidRDefault="0074058D" w:rsidP="00FB2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report summarises activities and observations since the release of the V</w:t>
      </w:r>
      <w:r w:rsidR="00435D29">
        <w:t>ocational Pathways in April 2013</w:t>
      </w:r>
      <w:r>
        <w:t xml:space="preserve">.  </w:t>
      </w:r>
      <w:r w:rsidR="00435D29">
        <w:t>This report has been</w:t>
      </w:r>
      <w:r w:rsidR="001F18A8">
        <w:t xml:space="preserve"> prepared</w:t>
      </w:r>
      <w:r w:rsidR="00435D29">
        <w:t xml:space="preserve"> by the Ministry of Education,</w:t>
      </w:r>
      <w:r w:rsidR="001F18A8" w:rsidRPr="001F18A8">
        <w:t xml:space="preserve"> </w:t>
      </w:r>
      <w:r w:rsidR="001F18A8">
        <w:t>in consultation with the Industry Training Federation</w:t>
      </w:r>
      <w:r w:rsidR="00435D29">
        <w:t xml:space="preserve"> as ‘co-authors’ of the Vocational Pathways.</w:t>
      </w:r>
    </w:p>
    <w:p w:rsidR="00435D29" w:rsidRDefault="00435D29" w:rsidP="00FB2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35D29" w:rsidRDefault="00435D29" w:rsidP="00FB2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 note:</w:t>
      </w:r>
    </w:p>
    <w:p w:rsidR="00435D29" w:rsidRDefault="007C1205" w:rsidP="00435D29">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k</w:t>
      </w:r>
      <w:r w:rsidR="00435D29">
        <w:t>ey reso</w:t>
      </w:r>
      <w:r w:rsidR="008543CA">
        <w:t>urces</w:t>
      </w:r>
      <w:r w:rsidR="00691821">
        <w:t xml:space="preserve"> have</w:t>
      </w:r>
      <w:r w:rsidR="008543CA">
        <w:t xml:space="preserve"> </w:t>
      </w:r>
      <w:r w:rsidR="00691821">
        <w:t xml:space="preserve">been </w:t>
      </w:r>
      <w:r w:rsidR="008543CA">
        <w:t>developed to support the Vocational P</w:t>
      </w:r>
      <w:r w:rsidR="00435D29">
        <w:t>athways</w:t>
      </w:r>
    </w:p>
    <w:p w:rsidR="00435D29" w:rsidRDefault="007C1205" w:rsidP="00435D29">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w:t>
      </w:r>
      <w:r w:rsidR="00435D29">
        <w:t>arketing and communications activity</w:t>
      </w:r>
      <w:r w:rsidR="00691821">
        <w:t xml:space="preserve"> has intensified</w:t>
      </w:r>
    </w:p>
    <w:p w:rsidR="00435D29" w:rsidRDefault="007C1205" w:rsidP="00435D29">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w:t>
      </w:r>
      <w:r w:rsidR="00435D29">
        <w:t>ssues and concerns raised by stakeholders</w:t>
      </w:r>
      <w:r w:rsidR="00691821">
        <w:t xml:space="preserve"> have been identified and addressed</w:t>
      </w:r>
    </w:p>
    <w:p w:rsidR="00435D29" w:rsidRPr="00691821" w:rsidRDefault="007C1205" w:rsidP="00435D29">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r</w:t>
      </w:r>
      <w:r w:rsidR="00435D29">
        <w:t>ecommended</w:t>
      </w:r>
      <w:proofErr w:type="gramEnd"/>
      <w:r w:rsidR="00435D29">
        <w:t xml:space="preserve"> future work</w:t>
      </w:r>
      <w:r w:rsidR="00691821">
        <w:t xml:space="preserve"> is outlined</w:t>
      </w:r>
      <w:r>
        <w:t>.</w:t>
      </w:r>
    </w:p>
    <w:p w:rsidR="00435D29" w:rsidRPr="00CC1036" w:rsidRDefault="00435D29" w:rsidP="00435D29">
      <w:pPr>
        <w:pStyle w:val="Heading2"/>
        <w:rPr>
          <w:color w:val="595959" w:themeColor="text1" w:themeTint="A6"/>
          <w:lang w:val="en-US"/>
        </w:rPr>
      </w:pPr>
      <w:r w:rsidRPr="00CC1036">
        <w:rPr>
          <w:color w:val="595959" w:themeColor="text1" w:themeTint="A6"/>
          <w:lang w:val="en-US"/>
        </w:rPr>
        <w:t>Background</w:t>
      </w:r>
    </w:p>
    <w:p w:rsidR="00435D29" w:rsidRDefault="00435D29" w:rsidP="00435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p>
    <w:p w:rsidR="00435D29" w:rsidRDefault="00435D29" w:rsidP="00435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r>
        <w:rPr>
          <w:lang w:val="en-NZ"/>
        </w:rPr>
        <w:t xml:space="preserve">The </w:t>
      </w:r>
      <w:r w:rsidRPr="00435D29">
        <w:rPr>
          <w:lang w:val="en-NZ"/>
        </w:rPr>
        <w:t xml:space="preserve">Vocational Pathways </w:t>
      </w:r>
      <w:r>
        <w:rPr>
          <w:lang w:val="en-NZ"/>
        </w:rPr>
        <w:t xml:space="preserve">concept was </w:t>
      </w:r>
      <w:r w:rsidR="006B07A7">
        <w:rPr>
          <w:lang w:val="en-NZ"/>
        </w:rPr>
        <w:t>developed</w:t>
      </w:r>
      <w:r>
        <w:rPr>
          <w:lang w:val="en-NZ"/>
        </w:rPr>
        <w:t xml:space="preserve"> by I</w:t>
      </w:r>
      <w:r w:rsidR="007C1205">
        <w:rPr>
          <w:lang w:val="en-NZ"/>
        </w:rPr>
        <w:t xml:space="preserve">ndustry </w:t>
      </w:r>
      <w:r>
        <w:rPr>
          <w:lang w:val="en-NZ"/>
        </w:rPr>
        <w:t>T</w:t>
      </w:r>
      <w:r w:rsidR="007C1205">
        <w:rPr>
          <w:lang w:val="en-NZ"/>
        </w:rPr>
        <w:t xml:space="preserve">raining </w:t>
      </w:r>
      <w:r>
        <w:rPr>
          <w:lang w:val="en-NZ"/>
        </w:rPr>
        <w:t>O</w:t>
      </w:r>
      <w:r w:rsidR="007D03E8">
        <w:rPr>
          <w:lang w:val="en-NZ"/>
        </w:rPr>
        <w:t>rganis</w:t>
      </w:r>
      <w:r w:rsidR="007C1205">
        <w:rPr>
          <w:lang w:val="en-NZ"/>
        </w:rPr>
        <w:t>ation</w:t>
      </w:r>
      <w:r>
        <w:rPr>
          <w:lang w:val="en-NZ"/>
        </w:rPr>
        <w:t>s</w:t>
      </w:r>
      <w:r w:rsidR="007C1205">
        <w:rPr>
          <w:lang w:val="en-NZ"/>
        </w:rPr>
        <w:t xml:space="preserve"> (ITOs)</w:t>
      </w:r>
      <w:r>
        <w:rPr>
          <w:lang w:val="en-NZ"/>
        </w:rPr>
        <w:t xml:space="preserve"> in 2009, and agreed by Cabinet as one of the “Youth Guarantee” initiatives in </w:t>
      </w:r>
      <w:r w:rsidR="006B07A7">
        <w:rPr>
          <w:lang w:val="en-NZ"/>
        </w:rPr>
        <w:t xml:space="preserve">late </w:t>
      </w:r>
      <w:r>
        <w:rPr>
          <w:lang w:val="en-NZ"/>
        </w:rPr>
        <w:t xml:space="preserve">2010.  They were then developed </w:t>
      </w:r>
      <w:r w:rsidRPr="00435D29">
        <w:rPr>
          <w:lang w:val="en-NZ"/>
        </w:rPr>
        <w:t xml:space="preserve">through a partnership between government, education and industry.  </w:t>
      </w:r>
      <w:r w:rsidR="006B07A7">
        <w:rPr>
          <w:lang w:val="en-NZ"/>
        </w:rPr>
        <w:t xml:space="preserve"> Draft </w:t>
      </w:r>
      <w:r>
        <w:rPr>
          <w:lang w:val="en-NZ"/>
        </w:rPr>
        <w:t xml:space="preserve">Pathways were released in July 2012, and finalised </w:t>
      </w:r>
      <w:r w:rsidR="006B07A7">
        <w:rPr>
          <w:lang w:val="en-NZ"/>
        </w:rPr>
        <w:t xml:space="preserve">versions were launched by the Minister of Education and Minister for Tertiary Education, Skills, and Employment </w:t>
      </w:r>
      <w:r>
        <w:rPr>
          <w:lang w:val="en-NZ"/>
        </w:rPr>
        <w:t>in April 2013.</w:t>
      </w:r>
    </w:p>
    <w:p w:rsidR="00435D29" w:rsidRPr="00435D29" w:rsidRDefault="00435D29" w:rsidP="00435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p>
    <w:p w:rsidR="00691821" w:rsidRDefault="00691821" w:rsidP="006918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r w:rsidRPr="00435D29">
        <w:rPr>
          <w:lang w:val="en-NZ"/>
        </w:rPr>
        <w:t>The Ministry of Education has carried out a short targeted consultation with k</w:t>
      </w:r>
      <w:r>
        <w:rPr>
          <w:lang w:val="en-NZ"/>
        </w:rPr>
        <w:t>ey stakeholders on the implementation</w:t>
      </w:r>
      <w:r w:rsidRPr="00435D29">
        <w:rPr>
          <w:lang w:val="en-NZ"/>
        </w:rPr>
        <w:t xml:space="preserve"> of the Vocational Pathways after one year of operation.</w:t>
      </w:r>
      <w:r>
        <w:rPr>
          <w:lang w:val="en-NZ"/>
        </w:rPr>
        <w:t xml:space="preserve"> </w:t>
      </w:r>
    </w:p>
    <w:p w:rsidR="00877C85" w:rsidRDefault="00691821" w:rsidP="006918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r>
        <w:rPr>
          <w:lang w:val="en-NZ"/>
        </w:rPr>
        <w:t>The Ministry has also analysed NZQA results data from 2012 and 2013 (pre- and post- release of the draft pathways) to identify if there has been an impact on student decision-making, and the coherence of NCEA qualifications, as a result of the Vocational Pathways</w:t>
      </w:r>
      <w:r w:rsidR="007D03E8">
        <w:rPr>
          <w:lang w:val="en-NZ"/>
        </w:rPr>
        <w:t>.</w:t>
      </w:r>
    </w:p>
    <w:p w:rsidR="00877C85" w:rsidRDefault="00877C85" w:rsidP="00435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p>
    <w:p w:rsidR="00435D29" w:rsidRPr="00435D29" w:rsidRDefault="00435D29" w:rsidP="00435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r w:rsidRPr="00435D29">
        <w:rPr>
          <w:lang w:val="en-NZ"/>
        </w:rPr>
        <w:t xml:space="preserve">Vocational Pathways support young people, along with their families, teachers, and other influences to be more informed about their learning choices - to avoid “dead-ends”, and understand the consequences of their decisions in terms of their future possibilities. </w:t>
      </w:r>
    </w:p>
    <w:p w:rsidR="00166286" w:rsidRDefault="00166286" w:rsidP="00435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p>
    <w:p w:rsidR="00435D29" w:rsidRDefault="00435D29" w:rsidP="00435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r w:rsidRPr="00435D29">
        <w:rPr>
          <w:lang w:val="en-NZ"/>
        </w:rPr>
        <w:lastRenderedPageBreak/>
        <w:t>The</w:t>
      </w:r>
      <w:r w:rsidR="006B07A7">
        <w:rPr>
          <w:lang w:val="en-NZ"/>
        </w:rPr>
        <w:t xml:space="preserve"> VPs deliver three main </w:t>
      </w:r>
      <w:r w:rsidRPr="00435D29">
        <w:rPr>
          <w:lang w:val="en-NZ"/>
        </w:rPr>
        <w:t>benefits for learners:</w:t>
      </w:r>
    </w:p>
    <w:p w:rsidR="006B07A7" w:rsidRPr="00435D29" w:rsidRDefault="006B07A7" w:rsidP="00435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p>
    <w:p w:rsidR="00435D29" w:rsidRPr="00435D29" w:rsidRDefault="00691821" w:rsidP="00435D29">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r>
        <w:rPr>
          <w:lang w:val="en-NZ"/>
        </w:rPr>
        <w:t xml:space="preserve">a sense of enhanced relevance, coherence and </w:t>
      </w:r>
      <w:r w:rsidR="006B07A7">
        <w:rPr>
          <w:lang w:val="en-NZ"/>
        </w:rPr>
        <w:t>purpose for learning</w:t>
      </w:r>
    </w:p>
    <w:p w:rsidR="00435D29" w:rsidRPr="00435D29" w:rsidRDefault="006B07A7" w:rsidP="00435D29">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r>
        <w:rPr>
          <w:lang w:val="en-NZ"/>
        </w:rPr>
        <w:t>better preparation</w:t>
      </w:r>
      <w:r w:rsidR="00435D29" w:rsidRPr="00435D29">
        <w:rPr>
          <w:lang w:val="en-NZ"/>
        </w:rPr>
        <w:t xml:space="preserve"> for </w:t>
      </w:r>
      <w:r>
        <w:rPr>
          <w:lang w:val="en-NZ"/>
        </w:rPr>
        <w:t>further education and employment transitions</w:t>
      </w:r>
    </w:p>
    <w:p w:rsidR="00435D29" w:rsidRDefault="006B07A7" w:rsidP="00435D29">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proofErr w:type="gramStart"/>
      <w:r>
        <w:rPr>
          <w:lang w:val="en-NZ"/>
        </w:rPr>
        <w:t>exposure</w:t>
      </w:r>
      <w:proofErr w:type="gramEnd"/>
      <w:r>
        <w:rPr>
          <w:lang w:val="en-NZ"/>
        </w:rPr>
        <w:t xml:space="preserve"> to a wide</w:t>
      </w:r>
      <w:r w:rsidR="00691821">
        <w:rPr>
          <w:lang w:val="en-NZ"/>
        </w:rPr>
        <w:t>r</w:t>
      </w:r>
      <w:r>
        <w:rPr>
          <w:lang w:val="en-NZ"/>
        </w:rPr>
        <w:t xml:space="preserve"> range of occupation and career possibilities</w:t>
      </w:r>
      <w:r w:rsidR="00435D29" w:rsidRPr="00435D29">
        <w:rPr>
          <w:lang w:val="en-NZ"/>
        </w:rPr>
        <w:t>.</w:t>
      </w:r>
    </w:p>
    <w:p w:rsidR="006B07A7" w:rsidRPr="00435D29" w:rsidRDefault="006B07A7" w:rsidP="006B07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lang w:val="en-NZ"/>
        </w:rPr>
      </w:pPr>
    </w:p>
    <w:p w:rsidR="00435D29" w:rsidRDefault="00435D29" w:rsidP="00435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r w:rsidRPr="00435D29">
        <w:rPr>
          <w:lang w:val="en-NZ"/>
        </w:rPr>
        <w:t xml:space="preserve">There are </w:t>
      </w:r>
      <w:r w:rsidR="006B07A7">
        <w:rPr>
          <w:lang w:val="en-NZ"/>
        </w:rPr>
        <w:t xml:space="preserve">currently five </w:t>
      </w:r>
      <w:r w:rsidRPr="00435D29">
        <w:rPr>
          <w:lang w:val="en-NZ"/>
        </w:rPr>
        <w:t>Vocational Pathways covering: Primary Industries; Construction and Infrastructure; Manufacturing and Technology; Social and Community Service</w:t>
      </w:r>
      <w:r w:rsidR="006B07A7">
        <w:rPr>
          <w:lang w:val="en-NZ"/>
        </w:rPr>
        <w:t>s; Services Industries.</w:t>
      </w:r>
    </w:p>
    <w:p w:rsidR="006B07A7" w:rsidRDefault="006B07A7" w:rsidP="00435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p>
    <w:p w:rsidR="00CC1036" w:rsidRDefault="00CC1036" w:rsidP="00CC10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r>
        <w:rPr>
          <w:lang w:val="en-NZ"/>
        </w:rPr>
        <w:t xml:space="preserve">A </w:t>
      </w:r>
      <w:r w:rsidRPr="00435D29">
        <w:rPr>
          <w:lang w:val="en-NZ"/>
        </w:rPr>
        <w:t xml:space="preserve">sixth pathway, </w:t>
      </w:r>
      <w:r>
        <w:rPr>
          <w:lang w:val="en-NZ"/>
        </w:rPr>
        <w:t xml:space="preserve">for </w:t>
      </w:r>
      <w:r w:rsidRPr="00435D29">
        <w:rPr>
          <w:lang w:val="en-NZ"/>
        </w:rPr>
        <w:t>Creative Industries, will be launched in June 2014.</w:t>
      </w:r>
    </w:p>
    <w:p w:rsidR="00CC1036" w:rsidRPr="00435D29" w:rsidRDefault="00CC1036" w:rsidP="00CC10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p>
    <w:p w:rsidR="006B07A7" w:rsidRDefault="006B07A7" w:rsidP="00435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r>
        <w:rPr>
          <w:lang w:val="en-NZ"/>
        </w:rPr>
        <w:t>The Vocational Pathways have become central to the Youth Guarantee initiatives: Fees-free programmes leading to NCEA qualifications must align with the V</w:t>
      </w:r>
      <w:r w:rsidR="00507760">
        <w:rPr>
          <w:lang w:val="en-NZ"/>
        </w:rPr>
        <w:t xml:space="preserve">ocational </w:t>
      </w:r>
      <w:r>
        <w:rPr>
          <w:lang w:val="en-NZ"/>
        </w:rPr>
        <w:t>P</w:t>
      </w:r>
      <w:r w:rsidR="00507760">
        <w:rPr>
          <w:lang w:val="en-NZ"/>
        </w:rPr>
        <w:t>athway</w:t>
      </w:r>
      <w:r>
        <w:rPr>
          <w:lang w:val="en-NZ"/>
        </w:rPr>
        <w:t>s.   Trades Academy programmes must deliver credits recommended in the V</w:t>
      </w:r>
      <w:r w:rsidR="00507760">
        <w:rPr>
          <w:lang w:val="en-NZ"/>
        </w:rPr>
        <w:t xml:space="preserve">ocational </w:t>
      </w:r>
      <w:r>
        <w:rPr>
          <w:lang w:val="en-NZ"/>
        </w:rPr>
        <w:t>P</w:t>
      </w:r>
      <w:r w:rsidR="00507760">
        <w:rPr>
          <w:lang w:val="en-NZ"/>
        </w:rPr>
        <w:t>athway</w:t>
      </w:r>
      <w:r>
        <w:rPr>
          <w:lang w:val="en-NZ"/>
        </w:rPr>
        <w:t>s.  Regional Youth Guarantee networks are using the V</w:t>
      </w:r>
      <w:r w:rsidR="00507760">
        <w:rPr>
          <w:lang w:val="en-NZ"/>
        </w:rPr>
        <w:t xml:space="preserve">ocational </w:t>
      </w:r>
      <w:r>
        <w:rPr>
          <w:lang w:val="en-NZ"/>
        </w:rPr>
        <w:t>P</w:t>
      </w:r>
      <w:r w:rsidR="00507760">
        <w:rPr>
          <w:lang w:val="en-NZ"/>
        </w:rPr>
        <w:t>athway</w:t>
      </w:r>
      <w:r>
        <w:rPr>
          <w:lang w:val="en-NZ"/>
        </w:rPr>
        <w:t xml:space="preserve">s to support the development of programmes and education partnerships in the regions, to deliver coherent programmes and qualifications. </w:t>
      </w:r>
    </w:p>
    <w:p w:rsidR="006B07A7" w:rsidRPr="00435D29" w:rsidRDefault="006B07A7" w:rsidP="00435D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NZ"/>
        </w:rPr>
      </w:pPr>
    </w:p>
    <w:p w:rsidR="00EC2E67" w:rsidRDefault="00EC2E67" w:rsidP="00EC2E67">
      <w:pPr>
        <w:pStyle w:val="Heading2"/>
        <w:rPr>
          <w:color w:val="595959" w:themeColor="text1" w:themeTint="A6"/>
          <w:lang w:val="en-US"/>
        </w:rPr>
      </w:pPr>
      <w:r>
        <w:rPr>
          <w:color w:val="595959" w:themeColor="text1" w:themeTint="A6"/>
          <w:lang w:val="en-US"/>
        </w:rPr>
        <w:t>Uptake of Vocational Pathways</w:t>
      </w:r>
    </w:p>
    <w:p w:rsidR="00EC2E67" w:rsidRDefault="00EC2E67" w:rsidP="00EC2E67">
      <w:pPr>
        <w:rPr>
          <w:lang w:val="en-US"/>
        </w:rPr>
      </w:pPr>
    </w:p>
    <w:p w:rsidR="00EC2E67" w:rsidRDefault="007621FA" w:rsidP="00EC2E67">
      <w:pPr>
        <w:rPr>
          <w:lang w:val="en-US"/>
        </w:rPr>
      </w:pPr>
      <w:r>
        <w:rPr>
          <w:lang w:val="en-US"/>
        </w:rPr>
        <w:t xml:space="preserve">Provisional </w:t>
      </w:r>
      <w:r w:rsidR="007D03F6">
        <w:rPr>
          <w:lang w:val="en-US"/>
        </w:rPr>
        <w:t xml:space="preserve">NCEA Level 2 data from 2013 </w:t>
      </w:r>
      <w:r w:rsidR="00EC2E67">
        <w:rPr>
          <w:lang w:val="en-US"/>
        </w:rPr>
        <w:t xml:space="preserve">and a comparison to </w:t>
      </w:r>
      <w:r w:rsidR="00DB043C">
        <w:rPr>
          <w:lang w:val="en-US"/>
        </w:rPr>
        <w:t>2012</w:t>
      </w:r>
      <w:r w:rsidR="00EC2E67">
        <w:rPr>
          <w:lang w:val="en-US"/>
        </w:rPr>
        <w:t xml:space="preserve"> can provide an indication of the initial take-up of Vocational Pathways. </w:t>
      </w:r>
      <w:r>
        <w:rPr>
          <w:lang w:val="en-US"/>
        </w:rPr>
        <w:t xml:space="preserve"> </w:t>
      </w:r>
      <w:r w:rsidR="00EC2E67">
        <w:rPr>
          <w:lang w:val="en-US"/>
        </w:rPr>
        <w:t xml:space="preserve">In mid-2012, draft Pathways were released.  </w:t>
      </w:r>
      <w:r w:rsidR="007C1205">
        <w:rPr>
          <w:lang w:val="en-US"/>
        </w:rPr>
        <w:t xml:space="preserve">The </w:t>
      </w:r>
      <w:r w:rsidR="00EC2E67">
        <w:rPr>
          <w:lang w:val="en-US"/>
        </w:rPr>
        <w:t>first year in which schools and students were able to use Vocational Pathways (albeit draft versions) to support study and course assessment choices</w:t>
      </w:r>
      <w:r w:rsidR="007C1205">
        <w:rPr>
          <w:lang w:val="en-US"/>
        </w:rPr>
        <w:t xml:space="preserve"> was 2013</w:t>
      </w:r>
      <w:r w:rsidR="00EC2E67">
        <w:rPr>
          <w:lang w:val="en-US"/>
        </w:rPr>
        <w:t xml:space="preserve">.  </w:t>
      </w:r>
    </w:p>
    <w:p w:rsidR="00EC2E67" w:rsidRDefault="00EC2E67" w:rsidP="00EC2E67">
      <w:pPr>
        <w:rPr>
          <w:lang w:val="en-US"/>
        </w:rPr>
      </w:pPr>
    </w:p>
    <w:p w:rsidR="00EC2E67" w:rsidRDefault="00EC2E67" w:rsidP="00EC2E67">
      <w:pPr>
        <w:rPr>
          <w:lang w:val="en-US"/>
        </w:rPr>
      </w:pPr>
      <w:r>
        <w:rPr>
          <w:lang w:val="en-US"/>
        </w:rPr>
        <w:t xml:space="preserve">Results are </w:t>
      </w:r>
      <w:r w:rsidR="007621FA">
        <w:rPr>
          <w:lang w:val="en-US"/>
        </w:rPr>
        <w:t xml:space="preserve">very </w:t>
      </w:r>
      <w:r>
        <w:rPr>
          <w:lang w:val="en-US"/>
        </w:rPr>
        <w:t xml:space="preserve">encouraging.  In 2013, around twice as many students (35,000) would have achieved a NCEA Level 2 qualification with at least one Vocational Pathway </w:t>
      </w:r>
      <w:r w:rsidR="007621FA">
        <w:rPr>
          <w:lang w:val="en-US"/>
        </w:rPr>
        <w:t>A</w:t>
      </w:r>
      <w:r>
        <w:rPr>
          <w:lang w:val="en-US"/>
        </w:rPr>
        <w:t xml:space="preserve">ward than in 2012 (16,000).  The number has approximately doubled for each of the five pathways (see Figure 1 below and Table 1 in Appendix </w:t>
      </w:r>
      <w:r w:rsidR="00AB3156">
        <w:rPr>
          <w:lang w:val="en-US"/>
        </w:rPr>
        <w:t>10</w:t>
      </w:r>
      <w:r>
        <w:rPr>
          <w:lang w:val="en-US"/>
        </w:rPr>
        <w:t xml:space="preserve">).  </w:t>
      </w:r>
    </w:p>
    <w:p w:rsidR="00EC2E67" w:rsidRDefault="00EC2E67" w:rsidP="00EC2E67">
      <w:pPr>
        <w:rPr>
          <w:lang w:val="en-US"/>
        </w:rPr>
      </w:pPr>
    </w:p>
    <w:p w:rsidR="00EC2E67" w:rsidRDefault="009E7E36" w:rsidP="00EC2E67">
      <w:pPr>
        <w:rPr>
          <w:lang w:val="en-US"/>
        </w:rPr>
      </w:pPr>
      <w:r>
        <w:rPr>
          <w:lang w:val="en-US"/>
        </w:rPr>
        <w:t>In 2013,</w:t>
      </w:r>
      <w:r w:rsidR="00EC2E67">
        <w:rPr>
          <w:lang w:val="en-US"/>
        </w:rPr>
        <w:t xml:space="preserve"> </w:t>
      </w:r>
      <w:r w:rsidR="007621FA">
        <w:rPr>
          <w:lang w:val="en-US"/>
        </w:rPr>
        <w:t xml:space="preserve">35,000, or </w:t>
      </w:r>
      <w:r w:rsidR="00EC2E67">
        <w:rPr>
          <w:lang w:val="en-US"/>
        </w:rPr>
        <w:t>42 percent</w:t>
      </w:r>
      <w:r w:rsidR="007621FA">
        <w:rPr>
          <w:lang w:val="en-US"/>
        </w:rPr>
        <w:t>,</w:t>
      </w:r>
      <w:r w:rsidR="00EC2E67">
        <w:rPr>
          <w:lang w:val="en-US"/>
        </w:rPr>
        <w:t xml:space="preserve"> of students achieving NCEA Level 2 would have achieved at least one Vocational Pathway award.  In 2012, 20 percent of students achieving NCEA Level 2 were estimated to have been able to be awarded a Vocational Pathway.  </w:t>
      </w:r>
    </w:p>
    <w:p w:rsidR="00EC2E67" w:rsidRDefault="00EC2E67" w:rsidP="00EC2E67">
      <w:pPr>
        <w:rPr>
          <w:lang w:val="en-US"/>
        </w:rPr>
      </w:pPr>
    </w:p>
    <w:p w:rsidR="00EC2E67" w:rsidRDefault="00EC2E67" w:rsidP="00EC2E67">
      <w:pPr>
        <w:rPr>
          <w:lang w:val="en-US"/>
        </w:rPr>
      </w:pPr>
      <w:proofErr w:type="gramStart"/>
      <w:r>
        <w:rPr>
          <w:lang w:val="en-US"/>
        </w:rPr>
        <w:t>Just over half of the students who would have achieved a Vocational Pathways award in 2013, would have achieved more than one Vocational Pathway.</w:t>
      </w:r>
      <w:proofErr w:type="gramEnd"/>
      <w:r>
        <w:rPr>
          <w:lang w:val="en-US"/>
        </w:rPr>
        <w:t xml:space="preserve">   </w:t>
      </w:r>
    </w:p>
    <w:p w:rsidR="00EC2E67" w:rsidRDefault="00EC2E67" w:rsidP="00EC2E67">
      <w:pPr>
        <w:rPr>
          <w:lang w:val="en-US"/>
        </w:rPr>
      </w:pPr>
    </w:p>
    <w:p w:rsidR="00EC2E67" w:rsidRDefault="007621FA" w:rsidP="00EC2E67">
      <w:pPr>
        <w:rPr>
          <w:lang w:val="en-US"/>
        </w:rPr>
      </w:pPr>
      <w:r>
        <w:rPr>
          <w:lang w:val="en-US"/>
        </w:rPr>
        <w:t>The p</w:t>
      </w:r>
      <w:r w:rsidR="00EC2E67">
        <w:rPr>
          <w:lang w:val="en-US"/>
        </w:rPr>
        <w:t xml:space="preserve">rovisional 2013 data indicates that the proportion of students achieving NCEA Level 2 that gain a Vocational Pathway Awards is highest in the Primary Industries (29 percent), followed by Construction and Infrastructure (19 percent), Services Industries (17 percent), </w:t>
      </w:r>
      <w:r w:rsidR="00EC2E67">
        <w:rPr>
          <w:lang w:val="en-US"/>
        </w:rPr>
        <w:lastRenderedPageBreak/>
        <w:t>Social and Community Services (15 percent) and Manu</w:t>
      </w:r>
      <w:r w:rsidR="00701133">
        <w:rPr>
          <w:lang w:val="en-US"/>
        </w:rPr>
        <w:t>facturing and Technology</w:t>
      </w:r>
      <w:r w:rsidR="00EC2E67">
        <w:rPr>
          <w:lang w:val="en-US"/>
        </w:rPr>
        <w:t xml:space="preserve"> (7 percent). </w:t>
      </w:r>
    </w:p>
    <w:p w:rsidR="00EC2E67" w:rsidRDefault="00EC2E67" w:rsidP="00EC2E67">
      <w:pPr>
        <w:rPr>
          <w:lang w:val="en-US"/>
        </w:rPr>
      </w:pPr>
    </w:p>
    <w:p w:rsidR="001E398C" w:rsidRPr="00B83C01" w:rsidRDefault="001E398C" w:rsidP="001E398C">
      <w:pPr>
        <w:rPr>
          <w:rFonts w:cs="Arial"/>
          <w:b/>
          <w:szCs w:val="22"/>
        </w:rPr>
      </w:pPr>
      <w:r w:rsidRPr="00B83C01">
        <w:rPr>
          <w:rFonts w:cs="Arial"/>
          <w:b/>
          <w:szCs w:val="22"/>
        </w:rPr>
        <w:t>Figure 1: Vocational Pathways Awards, as a percentage of school students achieving NCEA Level 2, by sector, 2012–2013</w:t>
      </w:r>
    </w:p>
    <w:p w:rsidR="001E398C" w:rsidRDefault="00365866" w:rsidP="001E398C">
      <w:r>
        <w:rPr>
          <w:noProof/>
          <w:lang w:val="en-NZ" w:eastAsia="en-NZ"/>
        </w:rPr>
        <w:drawing>
          <wp:inline distT="0" distB="0" distL="0" distR="0">
            <wp:extent cx="5669915" cy="1901825"/>
            <wp:effectExtent l="19050" t="0" r="6985" b="0"/>
            <wp:docPr id="1" name="Picture 0" descr="peterpalmer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palmerchart.png"/>
                    <pic:cNvPicPr/>
                  </pic:nvPicPr>
                  <pic:blipFill>
                    <a:blip r:embed="rId9"/>
                    <a:stretch>
                      <a:fillRect/>
                    </a:stretch>
                  </pic:blipFill>
                  <pic:spPr>
                    <a:xfrm>
                      <a:off x="0" y="0"/>
                      <a:ext cx="5669915" cy="1901825"/>
                    </a:xfrm>
                    <a:prstGeom prst="rect">
                      <a:avLst/>
                    </a:prstGeom>
                  </pic:spPr>
                </pic:pic>
              </a:graphicData>
            </a:graphic>
          </wp:inline>
        </w:drawing>
      </w:r>
    </w:p>
    <w:p w:rsidR="001E398C" w:rsidRDefault="001E398C" w:rsidP="001E398C">
      <w:pPr>
        <w:rPr>
          <w:rFonts w:cs="Arial"/>
          <w:sz w:val="18"/>
          <w:szCs w:val="18"/>
        </w:rPr>
      </w:pPr>
      <w:r>
        <w:rPr>
          <w:rFonts w:cs="Arial"/>
          <w:sz w:val="18"/>
          <w:szCs w:val="18"/>
        </w:rPr>
        <w:t>Source:   New Zealand Qualifications Authority (NZQA), unpublished analysis.</w:t>
      </w:r>
    </w:p>
    <w:p w:rsidR="001E398C" w:rsidRPr="00173648" w:rsidRDefault="001E398C" w:rsidP="001E398C">
      <w:pPr>
        <w:rPr>
          <w:rFonts w:cs="Arial"/>
          <w:sz w:val="18"/>
          <w:szCs w:val="18"/>
        </w:rPr>
      </w:pPr>
      <w:r w:rsidRPr="00173648">
        <w:rPr>
          <w:rFonts w:cs="Arial"/>
          <w:sz w:val="18"/>
          <w:szCs w:val="18"/>
        </w:rPr>
        <w:t>Note</w:t>
      </w:r>
      <w:r>
        <w:rPr>
          <w:rFonts w:cs="Arial"/>
          <w:sz w:val="18"/>
          <w:szCs w:val="18"/>
        </w:rPr>
        <w:t>s</w:t>
      </w:r>
      <w:r w:rsidRPr="00173648">
        <w:rPr>
          <w:rFonts w:cs="Arial"/>
          <w:sz w:val="18"/>
          <w:szCs w:val="18"/>
        </w:rPr>
        <w:t xml:space="preserve">: </w:t>
      </w:r>
      <w:r>
        <w:rPr>
          <w:rFonts w:cs="Arial"/>
          <w:sz w:val="18"/>
          <w:szCs w:val="18"/>
        </w:rPr>
        <w:t xml:space="preserve">    1. </w:t>
      </w:r>
      <w:r w:rsidRPr="00173648">
        <w:rPr>
          <w:rFonts w:cs="Arial"/>
          <w:sz w:val="18"/>
          <w:szCs w:val="18"/>
        </w:rPr>
        <w:t>2013 NCEA data is provisional</w:t>
      </w:r>
    </w:p>
    <w:p w:rsidR="001E398C" w:rsidRPr="00173648" w:rsidRDefault="001E398C" w:rsidP="001E398C">
      <w:pPr>
        <w:ind w:left="720"/>
        <w:rPr>
          <w:rFonts w:cs="Arial"/>
          <w:sz w:val="18"/>
          <w:szCs w:val="18"/>
        </w:rPr>
      </w:pPr>
      <w:r>
        <w:rPr>
          <w:rFonts w:cs="Arial"/>
          <w:sz w:val="18"/>
          <w:szCs w:val="18"/>
        </w:rPr>
        <w:t xml:space="preserve"> </w:t>
      </w:r>
      <w:r w:rsidRPr="00DC5F9D">
        <w:rPr>
          <w:rFonts w:cs="Arial"/>
          <w:sz w:val="18"/>
          <w:szCs w:val="18"/>
        </w:rPr>
        <w:t>2. Vocational Pathways awards are not awarded by NZQA until after June 2014. NZQA has undertaken provisional analysis of datasets to provide estimates for Vocational Pathways awards based on the current Pathways and provisional NCEA results.</w:t>
      </w:r>
      <w:r>
        <w:rPr>
          <w:rFonts w:cs="Arial"/>
          <w:sz w:val="18"/>
          <w:szCs w:val="18"/>
        </w:rPr>
        <w:t xml:space="preserve">   </w:t>
      </w:r>
    </w:p>
    <w:p w:rsidR="001E398C" w:rsidRDefault="001E398C" w:rsidP="00EC2E67">
      <w:pPr>
        <w:rPr>
          <w:lang w:val="en-US"/>
        </w:rPr>
      </w:pPr>
    </w:p>
    <w:p w:rsidR="00EC2E67" w:rsidRDefault="00EC2E67" w:rsidP="00EC2E67">
      <w:pPr>
        <w:rPr>
          <w:lang w:val="en-US"/>
        </w:rPr>
      </w:pPr>
      <w:r>
        <w:rPr>
          <w:lang w:val="en-US"/>
        </w:rPr>
        <w:t>The achievemen</w:t>
      </w:r>
      <w:r w:rsidR="007D03F6">
        <w:rPr>
          <w:lang w:val="en-US"/>
        </w:rPr>
        <w:t>t of a Vocational Pathway</w:t>
      </w:r>
      <w:r w:rsidR="001E398C">
        <w:rPr>
          <w:lang w:val="en-US"/>
        </w:rPr>
        <w:t>s</w:t>
      </w:r>
      <w:r w:rsidR="007D03F6">
        <w:rPr>
          <w:lang w:val="en-US"/>
        </w:rPr>
        <w:t xml:space="preserve"> Award</w:t>
      </w:r>
      <w:r>
        <w:rPr>
          <w:lang w:val="en-US"/>
        </w:rPr>
        <w:t xml:space="preserve"> for a particular sector is a function of not only students’ interest in sector and scale of opportunities and career options within it, but the approach the sector groups had when agreeing to the composition of the Vocational Pathways.  For instance, the Primary Industries sector recommended 371 standards and identified 190 as sector related, compared to 154 in each category for the Manufacturing and Technology sector.   </w:t>
      </w:r>
    </w:p>
    <w:p w:rsidR="00FC78EC" w:rsidRDefault="00FC78EC" w:rsidP="00EC2E67">
      <w:pPr>
        <w:rPr>
          <w:lang w:val="en-US"/>
        </w:rPr>
      </w:pPr>
    </w:p>
    <w:p w:rsidR="00FC78EC" w:rsidRDefault="00FC78EC" w:rsidP="00EC2E67">
      <w:pPr>
        <w:rPr>
          <w:lang w:val="en-US"/>
        </w:rPr>
      </w:pPr>
      <w:r>
        <w:rPr>
          <w:lang w:val="en-US"/>
        </w:rPr>
        <w:t xml:space="preserve">While it is a year since the launch of the </w:t>
      </w:r>
      <w:proofErr w:type="spellStart"/>
      <w:r>
        <w:rPr>
          <w:lang w:val="en-US"/>
        </w:rPr>
        <w:t>finalised</w:t>
      </w:r>
      <w:proofErr w:type="spellEnd"/>
      <w:r>
        <w:rPr>
          <w:lang w:val="en-US"/>
        </w:rPr>
        <w:t xml:space="preserve"> Pathways in June 2013, for the most part, secondary students</w:t>
      </w:r>
      <w:r w:rsidR="001E398C">
        <w:rPr>
          <w:lang w:val="en-US"/>
        </w:rPr>
        <w:t xml:space="preserve"> would</w:t>
      </w:r>
      <w:r>
        <w:rPr>
          <w:lang w:val="en-US"/>
        </w:rPr>
        <w:t xml:space="preserve"> have made their study choices for 2013 in</w:t>
      </w:r>
      <w:r w:rsidR="001E398C">
        <w:rPr>
          <w:lang w:val="en-US"/>
        </w:rPr>
        <w:t xml:space="preserve"> late 2012</w:t>
      </w:r>
      <w:r>
        <w:rPr>
          <w:lang w:val="en-US"/>
        </w:rPr>
        <w:t>. Therefore, 2014 is the first full year that students, schools, and other providers have been able to us</w:t>
      </w:r>
      <w:r w:rsidR="001E398C">
        <w:rPr>
          <w:lang w:val="en-US"/>
        </w:rPr>
        <w:t xml:space="preserve">e the </w:t>
      </w:r>
      <w:proofErr w:type="spellStart"/>
      <w:r w:rsidR="001E398C">
        <w:rPr>
          <w:lang w:val="en-US"/>
        </w:rPr>
        <w:t>finalised</w:t>
      </w:r>
      <w:proofErr w:type="spellEnd"/>
      <w:r w:rsidR="001E398C">
        <w:rPr>
          <w:lang w:val="en-US"/>
        </w:rPr>
        <w:t xml:space="preserve"> Pathways to inform</w:t>
      </w:r>
      <w:r>
        <w:rPr>
          <w:lang w:val="en-US"/>
        </w:rPr>
        <w:t xml:space="preserve"> their subject and course decisions. The 2014 NCEA and Vocational Pathway awards</w:t>
      </w:r>
      <w:r>
        <w:rPr>
          <w:rStyle w:val="FootnoteReference"/>
          <w:lang w:val="en-US"/>
        </w:rPr>
        <w:footnoteReference w:id="1"/>
      </w:r>
      <w:r>
        <w:rPr>
          <w:lang w:val="en-US"/>
        </w:rPr>
        <w:t xml:space="preserve"> data, which can be awarded from June 2014, will offer the first full year of results on the </w:t>
      </w:r>
      <w:proofErr w:type="spellStart"/>
      <w:r>
        <w:rPr>
          <w:lang w:val="en-US"/>
        </w:rPr>
        <w:t>utilisation</w:t>
      </w:r>
      <w:proofErr w:type="spellEnd"/>
      <w:r>
        <w:rPr>
          <w:lang w:val="en-US"/>
        </w:rPr>
        <w:t xml:space="preserve"> of Vocational Pathways within NCEA Level 2.</w:t>
      </w:r>
    </w:p>
    <w:p w:rsidR="00EC2E67" w:rsidRDefault="00EC2E67" w:rsidP="00EC2E67">
      <w:pPr>
        <w:rPr>
          <w:lang w:val="en-US"/>
        </w:rPr>
      </w:pPr>
      <w:r>
        <w:rPr>
          <w:lang w:val="en-US"/>
        </w:rPr>
        <w:t xml:space="preserve"> </w:t>
      </w:r>
    </w:p>
    <w:p w:rsidR="00EC2E67" w:rsidRPr="001E398C" w:rsidRDefault="001E398C" w:rsidP="001E398C">
      <w:pPr>
        <w:rPr>
          <w:lang w:val="en-US"/>
        </w:rPr>
      </w:pPr>
      <w:r>
        <w:rPr>
          <w:lang w:val="en-US"/>
        </w:rPr>
        <w:t>These results are early</w:t>
      </w:r>
      <w:r w:rsidR="00EC2E67">
        <w:rPr>
          <w:lang w:val="en-US"/>
        </w:rPr>
        <w:t xml:space="preserve"> but encouraging evidence that the Vocational Pathways are driving more coherent approaches to assembling NCEA Level 2 qualifications that include the skills and competencies recommended for industries.  </w:t>
      </w:r>
    </w:p>
    <w:p w:rsidR="00675619" w:rsidRDefault="00675619" w:rsidP="001F18A8">
      <w:pPr>
        <w:pStyle w:val="Heading2"/>
        <w:rPr>
          <w:color w:val="595959" w:themeColor="text1" w:themeTint="A6"/>
          <w:lang w:val="en-US"/>
        </w:rPr>
      </w:pPr>
    </w:p>
    <w:p w:rsidR="001F18A8" w:rsidRPr="00CC1036" w:rsidRDefault="001F18A8" w:rsidP="001F18A8">
      <w:pPr>
        <w:pStyle w:val="Heading2"/>
        <w:rPr>
          <w:color w:val="595959" w:themeColor="text1" w:themeTint="A6"/>
          <w:lang w:val="en-US"/>
        </w:rPr>
      </w:pPr>
      <w:r w:rsidRPr="00CC1036">
        <w:rPr>
          <w:color w:val="595959" w:themeColor="text1" w:themeTint="A6"/>
          <w:lang w:val="en-US"/>
        </w:rPr>
        <w:t>Key developments</w:t>
      </w:r>
    </w:p>
    <w:p w:rsidR="001F18A8" w:rsidRDefault="001F18A8" w:rsidP="001F1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F18A8" w:rsidRDefault="001F18A8" w:rsidP="001F1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Since the launch of the Vocational Pathways, several tools and resources have been developed in their wake.  These include:  </w:t>
      </w:r>
    </w:p>
    <w:p w:rsidR="001F18A8" w:rsidRDefault="001F18A8" w:rsidP="001F1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F18A8" w:rsidRDefault="001F18A8" w:rsidP="001F18A8">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CC1036">
        <w:rPr>
          <w:b/>
        </w:rPr>
        <w:t xml:space="preserve">Vocational Profile Builder </w:t>
      </w:r>
      <w:r>
        <w:t xml:space="preserve">on </w:t>
      </w:r>
      <w:hyperlink r:id="rId10" w:history="1">
        <w:r w:rsidRPr="005941A0">
          <w:rPr>
            <w:rStyle w:val="Hyperlink"/>
          </w:rPr>
          <w:t>www.youthguarantee.net.nz</w:t>
        </w:r>
      </w:hyperlink>
      <w:r>
        <w:br/>
      </w:r>
      <w:proofErr w:type="gramStart"/>
      <w:r>
        <w:t>This</w:t>
      </w:r>
      <w:proofErr w:type="gramEnd"/>
      <w:r>
        <w:t xml:space="preserve"> allows people to plan their subject and course choices through seeing how many credits they are gaining are recommended for industry sectors. In turn, the profile builder links to job profiles on Careers NZ’s website</w:t>
      </w:r>
      <w:r w:rsidR="00245243">
        <w:t xml:space="preserve"> (See Appendix 1)</w:t>
      </w:r>
      <w:r>
        <w:t xml:space="preserve">. </w:t>
      </w:r>
      <w:r>
        <w:br/>
      </w:r>
    </w:p>
    <w:p w:rsidR="001F18A8" w:rsidRDefault="001F18A8" w:rsidP="001F18A8">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rPr>
        <w:t>Vocational Profiles</w:t>
      </w:r>
      <w:r>
        <w:t xml:space="preserve"> on </w:t>
      </w:r>
      <w:hyperlink r:id="rId11" w:history="1">
        <w:r w:rsidRPr="005941A0">
          <w:rPr>
            <w:rStyle w:val="Hyperlink"/>
          </w:rPr>
          <w:t>www.nzqa.govt.nz</w:t>
        </w:r>
      </w:hyperlink>
      <w:r>
        <w:br/>
      </w:r>
      <w:proofErr w:type="gramStart"/>
      <w:r>
        <w:t>This</w:t>
      </w:r>
      <w:proofErr w:type="gramEnd"/>
      <w:r>
        <w:t xml:space="preserve"> allows students to view their official Vocational Profile as part of their NZQA Record of Achievement.  This is a graphical device which provides visual information to employers and end users about the areas of strength and achievement with respect to their sectors</w:t>
      </w:r>
      <w:r w:rsidR="00245243">
        <w:t>.</w:t>
      </w:r>
      <w:r>
        <w:br/>
      </w:r>
    </w:p>
    <w:p w:rsidR="001F18A8" w:rsidRPr="00234F68" w:rsidRDefault="001F18A8" w:rsidP="001F18A8">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rPr>
        <w:t>Vocational Pathway Awards</w:t>
      </w:r>
      <w:r>
        <w:rPr>
          <w:b/>
        </w:rPr>
        <w:br/>
      </w:r>
      <w:r>
        <w:t>From this year, when students achieve sufficient sector-related credits (20) from one or more of the Vocational Pathways, they can have their NCEA qualification endorsed with a Vocational Pathways Award</w:t>
      </w:r>
      <w:r w:rsidR="00245243">
        <w:t xml:space="preserve"> (See Appendix 2</w:t>
      </w:r>
      <w:r w:rsidR="00C101F1">
        <w:t>)</w:t>
      </w:r>
      <w:r>
        <w:t>.</w:t>
      </w:r>
    </w:p>
    <w:p w:rsidR="001F18A8" w:rsidRDefault="001F18A8" w:rsidP="001F1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F18A8" w:rsidRDefault="00921B6E" w:rsidP="001F1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More recently, the agencies have</w:t>
      </w:r>
      <w:r w:rsidR="001F18A8">
        <w:t xml:space="preserve"> developed a range of information to support families, educators and employers to raise awareness and understanding of the Voc</w:t>
      </w:r>
      <w:r w:rsidR="00C101F1">
        <w:t xml:space="preserve">ational Pathways. </w:t>
      </w:r>
      <w:r>
        <w:t>These include the</w:t>
      </w:r>
      <w:r w:rsidR="00C101F1">
        <w:t xml:space="preserve"> O</w:t>
      </w:r>
      <w:r>
        <w:t>ccupational Outlook 2014 reports and Smartphone apps</w:t>
      </w:r>
      <w:r w:rsidR="00C101F1">
        <w:t>, the Youth Guarantee Website</w:t>
      </w:r>
      <w:r>
        <w:t>,</w:t>
      </w:r>
      <w:r w:rsidR="00C101F1">
        <w:t xml:space="preserve"> Vocational Pathways Booklet</w:t>
      </w:r>
      <w:r>
        <w:t>,</w:t>
      </w:r>
      <w:r w:rsidR="00C101F1">
        <w:t xml:space="preserve"> Vocational Pathways </w:t>
      </w:r>
      <w:r>
        <w:t>Programme Guidance Booklet and</w:t>
      </w:r>
      <w:r w:rsidR="00C101F1">
        <w:t xml:space="preserve"> NZQA quality assu</w:t>
      </w:r>
      <w:r>
        <w:t>red asse</w:t>
      </w:r>
      <w:r w:rsidR="00245243">
        <w:t>ssment resources (See Appendix 3-7</w:t>
      </w:r>
      <w:r>
        <w:t>)</w:t>
      </w:r>
      <w:r w:rsidR="001F18A8">
        <w:t xml:space="preserve">.  </w:t>
      </w:r>
    </w:p>
    <w:p w:rsidR="001F18A8" w:rsidRDefault="001F18A8" w:rsidP="001F1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F18A8" w:rsidRDefault="001F18A8" w:rsidP="001F1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Ministry of Education has also prepared a range of resources to support secondary and tertiary educators to respond to the pathways.  These include</w:t>
      </w:r>
      <w:r w:rsidR="00FC0E03">
        <w:t>:</w:t>
      </w:r>
    </w:p>
    <w:p w:rsidR="001F18A8" w:rsidRDefault="001F18A8" w:rsidP="001F1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F18A8" w:rsidRDefault="001F18A8" w:rsidP="001F18A8">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320 Contextualised Assessment resources, showing how internally assessed achievement standards (in core Curriculum subjects) can be validly assessed using contexts derived from industry.</w:t>
      </w:r>
    </w:p>
    <w:p w:rsidR="001F18A8" w:rsidRDefault="001F18A8" w:rsidP="001F18A8">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Programme design guidance documents, showing educators how integrated programmes can be developed, that integrate core Curriculum and vocational learning into coherent and robust programmes (that result in NCEA qualifications with VP endorsements. </w:t>
      </w:r>
    </w:p>
    <w:p w:rsidR="001F18A8" w:rsidRDefault="001F18A8" w:rsidP="001F18A8">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Ministry’s Youth Guarantee networks team have delivered workshops to engage the sector and show how the VPs can be used to develop relevant learning pathways for young people in the regions, especially (but not solely) the 70 percent of school leavers not following degree level pathways immediately post-school.</w:t>
      </w:r>
    </w:p>
    <w:p w:rsidR="001F18A8" w:rsidRDefault="001F18A8" w:rsidP="001F1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DE0D16" w:rsidRDefault="00DE0D16" w:rsidP="001F1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F18A8" w:rsidRDefault="001F18A8" w:rsidP="001F1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Ministry, ITF, and ITOs have continued to work together on a marketing and communications strategy for the Vocational Pathways, to raise awareness and understanding in busin</w:t>
      </w:r>
      <w:r w:rsidR="00FC0E03">
        <w:t xml:space="preserve">ess and the wider community. </w:t>
      </w:r>
      <w:r>
        <w:t>The Ministry of Education and the ITF agree this is an area of focus for the remainder of 2014, since from 2015, students are likely to present to empl</w:t>
      </w:r>
      <w:r w:rsidR="00DE0D16">
        <w:t>oyers with Vocational Pathways A</w:t>
      </w:r>
      <w:r>
        <w:t xml:space="preserve">wards and Vocational Profiles. It is important that employers recognise and understand the learning undertaken by young </w:t>
      </w:r>
      <w:r w:rsidR="00E3553B">
        <w:t xml:space="preserve">people </w:t>
      </w:r>
      <w:r>
        <w:t xml:space="preserve">in areas that are relevant to those employers. </w:t>
      </w:r>
    </w:p>
    <w:p w:rsidR="001F18A8" w:rsidRDefault="001F18A8" w:rsidP="001F1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F18A8" w:rsidRDefault="001F18A8" w:rsidP="001F1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Similarly, the Ministry has been working with the tertiary sector, particularly Institutes of Technology/Polytechnics (ITPs), to encourage them to align their course and qualification offerings at Levels 3 and above with the Vocational Pathways, so students have a better “line of sight” between their achievement at school, and the range of choices in further education. In addition, you will shortly be considering changes to STAR and Gateway, and one of the key </w:t>
      </w:r>
      <w:r w:rsidR="00166286">
        <w:t>proposals</w:t>
      </w:r>
      <w:r>
        <w:t xml:space="preserve"> of this review was stronger alignment of these secondary-tertiary programmes with Vocational Pathways. </w:t>
      </w:r>
    </w:p>
    <w:p w:rsidR="001F18A8" w:rsidRDefault="001F18A8" w:rsidP="001F1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AE51A1" w:rsidRDefault="00D4325C" w:rsidP="00AE5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595959" w:themeColor="text1" w:themeTint="A6"/>
          <w:lang w:val="en-US"/>
        </w:rPr>
      </w:pPr>
      <w:r>
        <w:t>The Ministry has recently produced</w:t>
      </w:r>
      <w:r w:rsidR="001F18A8">
        <w:t xml:space="preserve"> Vocational Pathways ‘Information for Parents’,</w:t>
      </w:r>
      <w:r>
        <w:t xml:space="preserve"> ‘Information for Employers’</w:t>
      </w:r>
      <w:r w:rsidR="001F18A8">
        <w:t xml:space="preserve"> and ‘Information for Educators’ brochures. These explain how students can gain a NCEA Level 2 qualification endorsed with a Vocational Pathways Award, and outline the resources available to support students in their journey towards higher qualifications and/or employment.</w:t>
      </w:r>
    </w:p>
    <w:p w:rsidR="00AE51A1" w:rsidRDefault="00AE51A1" w:rsidP="00AE5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595959" w:themeColor="text1" w:themeTint="A6"/>
          <w:lang w:val="en-US"/>
        </w:rPr>
      </w:pPr>
    </w:p>
    <w:p w:rsidR="00C23072" w:rsidRPr="00AE51A1" w:rsidRDefault="00C23072" w:rsidP="00AE51A1">
      <w:pPr>
        <w:pStyle w:val="Heading2"/>
        <w:rPr>
          <w:color w:val="595959" w:themeColor="text1" w:themeTint="A6"/>
          <w:lang w:val="en-US"/>
        </w:rPr>
      </w:pPr>
      <w:r>
        <w:rPr>
          <w:color w:val="595959" w:themeColor="text1" w:themeTint="A6"/>
          <w:lang w:val="en-US"/>
        </w:rPr>
        <w:t xml:space="preserve">Issues and Concerns </w:t>
      </w:r>
    </w:p>
    <w:p w:rsidR="00C23072" w:rsidRDefault="00C23072" w:rsidP="00C23072">
      <w:pPr>
        <w:rPr>
          <w:lang w:val="en-US"/>
        </w:rPr>
      </w:pPr>
    </w:p>
    <w:p w:rsidR="00EE31EF" w:rsidRDefault="003B6888" w:rsidP="00C23072">
      <w:pPr>
        <w:rPr>
          <w:lang w:val="en-US"/>
        </w:rPr>
      </w:pPr>
      <w:r>
        <w:rPr>
          <w:lang w:val="en-US"/>
        </w:rPr>
        <w:t>E</w:t>
      </w:r>
      <w:r w:rsidR="000013E2">
        <w:rPr>
          <w:lang w:val="en-US"/>
        </w:rPr>
        <w:t>stablish</w:t>
      </w:r>
      <w:r>
        <w:rPr>
          <w:lang w:val="en-US"/>
        </w:rPr>
        <w:t>ing</w:t>
      </w:r>
      <w:r w:rsidR="000013E2">
        <w:rPr>
          <w:lang w:val="en-US"/>
        </w:rPr>
        <w:t xml:space="preserve"> a shared language and understanding between </w:t>
      </w:r>
      <w:r w:rsidR="000724E5">
        <w:rPr>
          <w:lang w:val="en-US"/>
        </w:rPr>
        <w:t>the Ministry</w:t>
      </w:r>
      <w:r w:rsidR="000013E2">
        <w:rPr>
          <w:lang w:val="en-US"/>
        </w:rPr>
        <w:t xml:space="preserve"> and ITO</w:t>
      </w:r>
      <w:r w:rsidR="000724E5">
        <w:rPr>
          <w:lang w:val="en-US"/>
        </w:rPr>
        <w:t>s around the place of the Vocational Pathways within the</w:t>
      </w:r>
      <w:r w:rsidR="00C4182D">
        <w:rPr>
          <w:lang w:val="en-US"/>
        </w:rPr>
        <w:t xml:space="preserve"> vocational education system</w:t>
      </w:r>
      <w:r>
        <w:rPr>
          <w:lang w:val="en-US"/>
        </w:rPr>
        <w:t xml:space="preserve"> is vital for the ongoing success of the initiative</w:t>
      </w:r>
      <w:r w:rsidR="00C4182D">
        <w:rPr>
          <w:lang w:val="en-US"/>
        </w:rPr>
        <w:t>. T</w:t>
      </w:r>
      <w:r w:rsidR="000724E5">
        <w:rPr>
          <w:lang w:val="en-US"/>
        </w:rPr>
        <w:t>he relationship between NCEA, the Vocational Pathways, and specific industry credits and qualifications, especially at foundation levels</w:t>
      </w:r>
      <w:r w:rsidR="00C15D7E">
        <w:rPr>
          <w:lang w:val="en-US"/>
        </w:rPr>
        <w:t>, has not always been</w:t>
      </w:r>
      <w:r w:rsidR="00C4182D">
        <w:rPr>
          <w:lang w:val="en-US"/>
        </w:rPr>
        <w:t xml:space="preserve"> clear</w:t>
      </w:r>
      <w:r w:rsidR="000724E5">
        <w:rPr>
          <w:lang w:val="en-US"/>
        </w:rPr>
        <w:t>.</w:t>
      </w:r>
    </w:p>
    <w:p w:rsidR="000724E5" w:rsidRDefault="000724E5" w:rsidP="00C23072">
      <w:pPr>
        <w:rPr>
          <w:lang w:val="en-US"/>
        </w:rPr>
      </w:pPr>
    </w:p>
    <w:p w:rsidR="000724E5" w:rsidRDefault="000724E5" w:rsidP="00C23072">
      <w:pPr>
        <w:rPr>
          <w:lang w:val="en-US"/>
        </w:rPr>
      </w:pPr>
      <w:r>
        <w:rPr>
          <w:lang w:val="en-US"/>
        </w:rPr>
        <w:t>Partly, this is symptomatic of the ‘articulation’ problem between the secondar</w:t>
      </w:r>
      <w:r w:rsidR="008D1C78">
        <w:rPr>
          <w:lang w:val="en-US"/>
        </w:rPr>
        <w:t>y and tertiary system that the Vocational P</w:t>
      </w:r>
      <w:r w:rsidR="00C4182D">
        <w:rPr>
          <w:lang w:val="en-US"/>
        </w:rPr>
        <w:t>athways were</w:t>
      </w:r>
      <w:r>
        <w:rPr>
          <w:lang w:val="en-US"/>
        </w:rPr>
        <w:t xml:space="preserve"> designed to improve.</w:t>
      </w:r>
      <w:r w:rsidR="00067F5D">
        <w:rPr>
          <w:lang w:val="en-US"/>
        </w:rPr>
        <w:t xml:space="preserve"> There is an artificial distinction between young people working towards NCEA, and adult foundation level learners, who may associate Vocational Pathways with schooling qualifications.</w:t>
      </w:r>
      <w:r>
        <w:rPr>
          <w:lang w:val="en-US"/>
        </w:rPr>
        <w:t xml:space="preserve">  </w:t>
      </w:r>
    </w:p>
    <w:p w:rsidR="000724E5" w:rsidRDefault="000724E5" w:rsidP="00C23072">
      <w:pPr>
        <w:rPr>
          <w:lang w:val="en-US"/>
        </w:rPr>
      </w:pPr>
    </w:p>
    <w:p w:rsidR="000724E5" w:rsidRDefault="00C4182D" w:rsidP="00C23072">
      <w:pPr>
        <w:rPr>
          <w:lang w:val="en-US"/>
        </w:rPr>
      </w:pPr>
      <w:r>
        <w:rPr>
          <w:lang w:val="en-US"/>
        </w:rPr>
        <w:t>The Ministry and the ITF are</w:t>
      </w:r>
      <w:r w:rsidR="000724E5">
        <w:rPr>
          <w:lang w:val="en-US"/>
        </w:rPr>
        <w:t xml:space="preserve"> agre</w:t>
      </w:r>
      <w:r>
        <w:rPr>
          <w:lang w:val="en-US"/>
        </w:rPr>
        <w:t>ed</w:t>
      </w:r>
      <w:r w:rsidR="000724E5">
        <w:rPr>
          <w:lang w:val="en-US"/>
        </w:rPr>
        <w:t xml:space="preserve"> that it is in</w:t>
      </w:r>
      <w:r>
        <w:rPr>
          <w:lang w:val="en-US"/>
        </w:rPr>
        <w:t xml:space="preserve"> the int</w:t>
      </w:r>
      <w:r w:rsidR="00067F5D">
        <w:rPr>
          <w:lang w:val="en-US"/>
        </w:rPr>
        <w:t>erest of industry, and learners</w:t>
      </w:r>
      <w:r>
        <w:rPr>
          <w:lang w:val="en-US"/>
        </w:rPr>
        <w:t xml:space="preserve">, </w:t>
      </w:r>
      <w:r w:rsidR="000724E5">
        <w:rPr>
          <w:lang w:val="en-US"/>
        </w:rPr>
        <w:t>that the choices made at school genuinely and adequately prepare young people for their next steps beyond school, including p</w:t>
      </w:r>
      <w:r>
        <w:rPr>
          <w:lang w:val="en-US"/>
        </w:rPr>
        <w:t>athways directly into industry.  The Ministry and ITF</w:t>
      </w:r>
      <w:r w:rsidR="000724E5">
        <w:rPr>
          <w:lang w:val="en-US"/>
        </w:rPr>
        <w:t xml:space="preserve"> agree that the NZQF should, ideally, staircase young people </w:t>
      </w:r>
      <w:r w:rsidR="002A2999">
        <w:rPr>
          <w:lang w:val="en-US"/>
        </w:rPr>
        <w:t xml:space="preserve">to education and training at higher </w:t>
      </w:r>
      <w:r w:rsidR="002A2999">
        <w:rPr>
          <w:lang w:val="en-US"/>
        </w:rPr>
        <w:lastRenderedPageBreak/>
        <w:t>levels</w:t>
      </w:r>
      <w:r w:rsidR="001F18A8">
        <w:rPr>
          <w:lang w:val="en-US"/>
        </w:rPr>
        <w:t xml:space="preserve"> where appropriate</w:t>
      </w:r>
      <w:r w:rsidR="002A2999">
        <w:rPr>
          <w:lang w:val="en-US"/>
        </w:rPr>
        <w:t>, since the purpose of Level 2 is to provide foundation skills that make young people “work ready”.</w:t>
      </w:r>
    </w:p>
    <w:p w:rsidR="000724E5" w:rsidRDefault="000724E5" w:rsidP="00C23072">
      <w:pPr>
        <w:rPr>
          <w:lang w:val="en-US"/>
        </w:rPr>
      </w:pPr>
    </w:p>
    <w:p w:rsidR="00E3745A" w:rsidRDefault="002A2999" w:rsidP="00C23072">
      <w:pPr>
        <w:rPr>
          <w:lang w:val="en-US"/>
        </w:rPr>
      </w:pPr>
      <w:r>
        <w:rPr>
          <w:lang w:val="en-US"/>
        </w:rPr>
        <w:t xml:space="preserve">The original premise of </w:t>
      </w:r>
      <w:r w:rsidR="000724E5">
        <w:rPr>
          <w:lang w:val="en-US"/>
        </w:rPr>
        <w:t xml:space="preserve">the Vocational Pathways </w:t>
      </w:r>
      <w:r>
        <w:rPr>
          <w:lang w:val="en-US"/>
        </w:rPr>
        <w:t>was as a tool</w:t>
      </w:r>
      <w:r w:rsidR="008543CA">
        <w:rPr>
          <w:lang w:val="en-US"/>
        </w:rPr>
        <w:t xml:space="preserve"> designed to improve the </w:t>
      </w:r>
      <w:r w:rsidR="000724E5">
        <w:rPr>
          <w:lang w:val="en-US"/>
        </w:rPr>
        <w:t xml:space="preserve">coherence and esteem of vocational education in schools.  </w:t>
      </w:r>
      <w:r>
        <w:rPr>
          <w:lang w:val="en-US"/>
        </w:rPr>
        <w:t xml:space="preserve">However, it is equally able to support </w:t>
      </w:r>
      <w:proofErr w:type="spellStart"/>
      <w:r>
        <w:rPr>
          <w:lang w:val="en-US"/>
        </w:rPr>
        <w:t>programme</w:t>
      </w:r>
      <w:proofErr w:type="spellEnd"/>
      <w:r>
        <w:rPr>
          <w:lang w:val="en-US"/>
        </w:rPr>
        <w:t xml:space="preserve"> design in the tertiary sector,</w:t>
      </w:r>
      <w:r w:rsidR="00063E04">
        <w:rPr>
          <w:lang w:val="en-US"/>
        </w:rPr>
        <w:t xml:space="preserve"> schools </w:t>
      </w:r>
      <w:r w:rsidR="007840A7">
        <w:rPr>
          <w:lang w:val="en-US"/>
        </w:rPr>
        <w:t xml:space="preserve">employers </w:t>
      </w:r>
      <w:r w:rsidR="00063E04">
        <w:rPr>
          <w:lang w:val="en-US"/>
        </w:rPr>
        <w:t xml:space="preserve">and industry. </w:t>
      </w:r>
      <w:r w:rsidR="006F4AF4">
        <w:rPr>
          <w:lang w:val="en-US"/>
        </w:rPr>
        <w:t xml:space="preserve">These ideas have sometimes been </w:t>
      </w:r>
      <w:r w:rsidR="00CA7226">
        <w:rPr>
          <w:lang w:val="en-US"/>
        </w:rPr>
        <w:t>‘</w:t>
      </w:r>
      <w:r w:rsidR="006F4AF4">
        <w:rPr>
          <w:lang w:val="en-US"/>
        </w:rPr>
        <w:t>lost in translation</w:t>
      </w:r>
      <w:r w:rsidR="00CA7226">
        <w:rPr>
          <w:lang w:val="en-US"/>
        </w:rPr>
        <w:t>’</w:t>
      </w:r>
      <w:r w:rsidR="006F4AF4">
        <w:rPr>
          <w:lang w:val="en-US"/>
        </w:rPr>
        <w:t xml:space="preserve"> due to misconceptions about the application and scope of the Pathways. </w:t>
      </w:r>
    </w:p>
    <w:p w:rsidR="00E3745A" w:rsidRDefault="00E3745A" w:rsidP="00C23072">
      <w:pPr>
        <w:rPr>
          <w:lang w:val="en-US"/>
        </w:rPr>
      </w:pPr>
    </w:p>
    <w:p w:rsidR="003F34BF" w:rsidRDefault="00E3745A" w:rsidP="00C23072">
      <w:pPr>
        <w:rPr>
          <w:lang w:val="en-US"/>
        </w:rPr>
      </w:pPr>
      <w:r>
        <w:rPr>
          <w:lang w:val="en-US"/>
        </w:rPr>
        <w:t>Further communications and marketing work is being carr</w:t>
      </w:r>
      <w:r w:rsidR="00CA7226">
        <w:rPr>
          <w:lang w:val="en-US"/>
        </w:rPr>
        <w:t xml:space="preserve">ied out by both the ITF and Ministry </w:t>
      </w:r>
      <w:r w:rsidR="005E2584">
        <w:rPr>
          <w:lang w:val="en-US"/>
        </w:rPr>
        <w:t>to</w:t>
      </w:r>
      <w:r>
        <w:rPr>
          <w:lang w:val="en-US"/>
        </w:rPr>
        <w:t xml:space="preserve"> </w:t>
      </w:r>
      <w:r w:rsidR="0033209B">
        <w:rPr>
          <w:lang w:val="en-US"/>
        </w:rPr>
        <w:t>build awareness of</w:t>
      </w:r>
      <w:r w:rsidR="00C7376C">
        <w:rPr>
          <w:lang w:val="en-US"/>
        </w:rPr>
        <w:t>,</w:t>
      </w:r>
      <w:r w:rsidR="0033209B">
        <w:rPr>
          <w:lang w:val="en-US"/>
        </w:rPr>
        <w:t xml:space="preserve"> and give </w:t>
      </w:r>
      <w:r>
        <w:rPr>
          <w:lang w:val="en-US"/>
        </w:rPr>
        <w:t>greater confidence to educators, employers and industry using the Vocational Pathways. This work is explained in greater depth in the ‘recommended future work’ section of this report.</w:t>
      </w:r>
    </w:p>
    <w:p w:rsidR="00EE31EF" w:rsidRDefault="00EE31EF" w:rsidP="00C23072">
      <w:pPr>
        <w:rPr>
          <w:b/>
          <w:lang w:val="en-US"/>
        </w:rPr>
      </w:pPr>
    </w:p>
    <w:p w:rsidR="00EE31EF" w:rsidRPr="00EE31EF" w:rsidRDefault="00EE31EF" w:rsidP="00C23072">
      <w:pPr>
        <w:rPr>
          <w:b/>
          <w:lang w:val="en-US"/>
        </w:rPr>
      </w:pPr>
      <w:r w:rsidRPr="00EE31EF">
        <w:rPr>
          <w:b/>
          <w:lang w:val="en-US"/>
        </w:rPr>
        <w:t>Level 3 Vocational Pathways</w:t>
      </w:r>
    </w:p>
    <w:p w:rsidR="00EE31EF" w:rsidRDefault="00EE31EF" w:rsidP="00C23072">
      <w:pPr>
        <w:rPr>
          <w:lang w:val="en-US"/>
        </w:rPr>
      </w:pPr>
    </w:p>
    <w:p w:rsidR="00C23072" w:rsidRDefault="00EE31EF" w:rsidP="00C23072">
      <w:pPr>
        <w:rPr>
          <w:lang w:val="en-US"/>
        </w:rPr>
      </w:pPr>
      <w:r>
        <w:rPr>
          <w:lang w:val="en-US"/>
        </w:rPr>
        <w:t xml:space="preserve">Extending the Vocational Pathways to Level 3 raises challenges not faced </w:t>
      </w:r>
      <w:r w:rsidR="0047123D">
        <w:rPr>
          <w:lang w:val="en-US"/>
        </w:rPr>
        <w:t>for L</w:t>
      </w:r>
      <w:r w:rsidR="00356D29">
        <w:rPr>
          <w:lang w:val="en-US"/>
        </w:rPr>
        <w:t>eve</w:t>
      </w:r>
      <w:r w:rsidR="00A40A64">
        <w:rPr>
          <w:lang w:val="en-US"/>
        </w:rPr>
        <w:t>l</w:t>
      </w:r>
      <w:r w:rsidR="00356D29">
        <w:rPr>
          <w:lang w:val="en-US"/>
        </w:rPr>
        <w:t xml:space="preserve"> </w:t>
      </w:r>
      <w:r w:rsidR="00A40A64">
        <w:rPr>
          <w:lang w:val="en-US"/>
        </w:rPr>
        <w:t>1 and 2</w:t>
      </w:r>
      <w:r w:rsidR="00D4325C">
        <w:rPr>
          <w:lang w:val="en-US"/>
        </w:rPr>
        <w:t>.</w:t>
      </w:r>
    </w:p>
    <w:p w:rsidR="00A40A64" w:rsidRDefault="00A40A64" w:rsidP="00C23072">
      <w:pPr>
        <w:rPr>
          <w:lang w:val="en-US"/>
        </w:rPr>
      </w:pPr>
    </w:p>
    <w:p w:rsidR="00FB04CD" w:rsidRDefault="00A40A64" w:rsidP="00E3745A">
      <w:pPr>
        <w:rPr>
          <w:lang w:val="en-US"/>
        </w:rPr>
      </w:pPr>
      <w:r>
        <w:rPr>
          <w:lang w:val="en-US"/>
        </w:rPr>
        <w:t>We agree that a more differentiated approach is needed to define V</w:t>
      </w:r>
      <w:r w:rsidR="00FB04CD">
        <w:rPr>
          <w:lang w:val="en-US"/>
        </w:rPr>
        <w:t xml:space="preserve">ocational </w:t>
      </w:r>
      <w:r>
        <w:rPr>
          <w:lang w:val="en-US"/>
        </w:rPr>
        <w:t>P</w:t>
      </w:r>
      <w:r w:rsidR="00FB04CD">
        <w:rPr>
          <w:lang w:val="en-US"/>
        </w:rPr>
        <w:t>athway</w:t>
      </w:r>
      <w:r>
        <w:rPr>
          <w:lang w:val="en-US"/>
        </w:rPr>
        <w:t>s at Level 3. L</w:t>
      </w:r>
      <w:r w:rsidR="00A93BAD">
        <w:rPr>
          <w:lang w:val="en-US"/>
        </w:rPr>
        <w:t xml:space="preserve">evel </w:t>
      </w:r>
      <w:r>
        <w:rPr>
          <w:lang w:val="en-US"/>
        </w:rPr>
        <w:t>3 is not foundational, so Level 3 V</w:t>
      </w:r>
      <w:r w:rsidR="00FB04CD">
        <w:rPr>
          <w:lang w:val="en-US"/>
        </w:rPr>
        <w:t xml:space="preserve">ocational </w:t>
      </w:r>
      <w:r>
        <w:rPr>
          <w:lang w:val="en-US"/>
        </w:rPr>
        <w:t>P</w:t>
      </w:r>
      <w:r w:rsidR="00FB04CD">
        <w:rPr>
          <w:lang w:val="en-US"/>
        </w:rPr>
        <w:t>athway</w:t>
      </w:r>
      <w:r>
        <w:rPr>
          <w:lang w:val="en-US"/>
        </w:rPr>
        <w:t xml:space="preserve">s need to articulate the school-based, industry-based, and </w:t>
      </w:r>
      <w:r w:rsidR="00CA7226">
        <w:rPr>
          <w:lang w:val="en-US"/>
        </w:rPr>
        <w:t>provider-based pathways at Level 3 within the six</w:t>
      </w:r>
      <w:r>
        <w:rPr>
          <w:lang w:val="en-US"/>
        </w:rPr>
        <w:t xml:space="preserve"> sectors</w:t>
      </w:r>
      <w:r w:rsidR="00CA7226">
        <w:rPr>
          <w:lang w:val="en-US"/>
        </w:rPr>
        <w:t xml:space="preserve"> covered by the current Vocational Pathways. </w:t>
      </w:r>
      <w:r w:rsidR="007840A7">
        <w:rPr>
          <w:lang w:val="en-US"/>
        </w:rPr>
        <w:t>For example, a mature student (over 25) can complete Levels 3, 4 and 5 of the NZQF through Industry Training while working, or through a T</w:t>
      </w:r>
      <w:r w:rsidR="00786830">
        <w:rPr>
          <w:lang w:val="en-US"/>
        </w:rPr>
        <w:t xml:space="preserve">ertiary </w:t>
      </w:r>
      <w:r w:rsidR="007840A7">
        <w:rPr>
          <w:lang w:val="en-US"/>
        </w:rPr>
        <w:t>E</w:t>
      </w:r>
      <w:r w:rsidR="00786830">
        <w:rPr>
          <w:lang w:val="en-US"/>
        </w:rPr>
        <w:t xml:space="preserve">ducation </w:t>
      </w:r>
      <w:r w:rsidR="007840A7">
        <w:rPr>
          <w:lang w:val="en-US"/>
        </w:rPr>
        <w:t>O</w:t>
      </w:r>
      <w:r w:rsidR="00786830">
        <w:rPr>
          <w:lang w:val="en-US"/>
        </w:rPr>
        <w:t>rganization (TEO)</w:t>
      </w:r>
      <w:r w:rsidR="007840A7">
        <w:rPr>
          <w:lang w:val="en-US"/>
        </w:rPr>
        <w:t>, to attain a Plasterer qualification in the Construction and Infrastructure Pathway.</w:t>
      </w:r>
    </w:p>
    <w:p w:rsidR="00477F56" w:rsidRPr="00E3745A" w:rsidRDefault="00477F56" w:rsidP="00E3745A">
      <w:pPr>
        <w:rPr>
          <w:lang w:val="en-US"/>
        </w:rPr>
      </w:pPr>
    </w:p>
    <w:p w:rsidR="00EE31EF" w:rsidRPr="003F34BF" w:rsidRDefault="003F34BF" w:rsidP="003F34BF">
      <w:pPr>
        <w:pStyle w:val="Heading2"/>
        <w:rPr>
          <w:color w:val="595959" w:themeColor="text1" w:themeTint="A6"/>
          <w:lang w:val="en-US"/>
        </w:rPr>
      </w:pPr>
      <w:r>
        <w:rPr>
          <w:color w:val="595959" w:themeColor="text1" w:themeTint="A6"/>
          <w:lang w:val="en-US"/>
        </w:rPr>
        <w:t>Recommended Future W</w:t>
      </w:r>
      <w:r w:rsidRPr="003F34BF">
        <w:rPr>
          <w:color w:val="595959" w:themeColor="text1" w:themeTint="A6"/>
          <w:lang w:val="en-US"/>
        </w:rPr>
        <w:t>ork</w:t>
      </w:r>
    </w:p>
    <w:p w:rsidR="00E3745A" w:rsidRDefault="00E3745A" w:rsidP="00E3745A">
      <w:pPr>
        <w:rPr>
          <w:lang w:val="en-US"/>
        </w:rPr>
      </w:pPr>
    </w:p>
    <w:p w:rsidR="008550FD" w:rsidRDefault="00E3745A" w:rsidP="00E3745A">
      <w:pPr>
        <w:rPr>
          <w:lang w:val="en-US"/>
        </w:rPr>
      </w:pPr>
      <w:r>
        <w:rPr>
          <w:lang w:val="en-US"/>
        </w:rPr>
        <w:t>We believe that targeted communications and marketing is requir</w:t>
      </w:r>
      <w:r w:rsidR="002334A2">
        <w:rPr>
          <w:lang w:val="en-US"/>
        </w:rPr>
        <w:t xml:space="preserve">ed for operational staff in schools, tertiary providers and </w:t>
      </w:r>
      <w:r>
        <w:rPr>
          <w:lang w:val="en-US"/>
        </w:rPr>
        <w:t>ITOs to en</w:t>
      </w:r>
      <w:r w:rsidR="008550FD">
        <w:rPr>
          <w:lang w:val="en-US"/>
        </w:rPr>
        <w:t>sure that Vocational Pathways</w:t>
      </w:r>
      <w:r>
        <w:rPr>
          <w:lang w:val="en-US"/>
        </w:rPr>
        <w:t xml:space="preserve"> </w:t>
      </w:r>
      <w:r w:rsidR="00CA7226">
        <w:rPr>
          <w:lang w:val="en-US"/>
        </w:rPr>
        <w:t>information</w:t>
      </w:r>
      <w:r w:rsidR="008550FD">
        <w:rPr>
          <w:lang w:val="en-US"/>
        </w:rPr>
        <w:t xml:space="preserve"> and </w:t>
      </w:r>
      <w:proofErr w:type="spellStart"/>
      <w:r w:rsidR="008550FD">
        <w:rPr>
          <w:lang w:val="en-US"/>
        </w:rPr>
        <w:t>programme</w:t>
      </w:r>
      <w:proofErr w:type="spellEnd"/>
      <w:r w:rsidR="008550FD">
        <w:rPr>
          <w:lang w:val="en-US"/>
        </w:rPr>
        <w:t xml:space="preserve"> </w:t>
      </w:r>
      <w:r>
        <w:rPr>
          <w:lang w:val="en-US"/>
        </w:rPr>
        <w:t xml:space="preserve">messages are </w:t>
      </w:r>
      <w:r w:rsidR="007D03F6">
        <w:rPr>
          <w:lang w:val="en-US"/>
        </w:rPr>
        <w:t>delivered clearly</w:t>
      </w:r>
      <w:r w:rsidR="00CA7226">
        <w:rPr>
          <w:lang w:val="en-US"/>
        </w:rPr>
        <w:t>. The end result of this</w:t>
      </w:r>
      <w:r>
        <w:rPr>
          <w:lang w:val="en-US"/>
        </w:rPr>
        <w:t xml:space="preserve"> approach will mean that those with the most in</w:t>
      </w:r>
      <w:r w:rsidR="00CA7226">
        <w:rPr>
          <w:lang w:val="en-US"/>
        </w:rPr>
        <w:t>teraction with learners</w:t>
      </w:r>
      <w:r w:rsidR="00833E01" w:rsidRPr="00833E01">
        <w:rPr>
          <w:lang w:val="en-US"/>
        </w:rPr>
        <w:t xml:space="preserve"> </w:t>
      </w:r>
      <w:r w:rsidR="00833E01">
        <w:rPr>
          <w:lang w:val="en-US"/>
        </w:rPr>
        <w:t>firstly</w:t>
      </w:r>
      <w:r w:rsidR="00CA7226">
        <w:rPr>
          <w:lang w:val="en-US"/>
        </w:rPr>
        <w:t xml:space="preserve"> are </w:t>
      </w:r>
      <w:r w:rsidR="00833E01">
        <w:rPr>
          <w:lang w:val="en-US"/>
        </w:rPr>
        <w:t>more</w:t>
      </w:r>
      <w:r>
        <w:rPr>
          <w:lang w:val="en-US"/>
        </w:rPr>
        <w:t xml:space="preserve"> confident in</w:t>
      </w:r>
      <w:r w:rsidR="00CA7226">
        <w:rPr>
          <w:lang w:val="en-US"/>
        </w:rPr>
        <w:t xml:space="preserve">, </w:t>
      </w:r>
      <w:r>
        <w:rPr>
          <w:lang w:val="en-US"/>
        </w:rPr>
        <w:t>explaining the Vocational Pathways to</w:t>
      </w:r>
      <w:r w:rsidR="008550FD">
        <w:rPr>
          <w:lang w:val="en-US"/>
        </w:rPr>
        <w:t xml:space="preserve"> learners, and secondly</w:t>
      </w:r>
      <w:r w:rsidR="00CA7226">
        <w:rPr>
          <w:lang w:val="en-US"/>
        </w:rPr>
        <w:t xml:space="preserve">, </w:t>
      </w:r>
      <w:r w:rsidR="008550FD">
        <w:rPr>
          <w:lang w:val="en-US"/>
        </w:rPr>
        <w:t xml:space="preserve">are better able to implement </w:t>
      </w:r>
      <w:proofErr w:type="spellStart"/>
      <w:r w:rsidR="008550FD">
        <w:rPr>
          <w:lang w:val="en-US"/>
        </w:rPr>
        <w:t>programmes</w:t>
      </w:r>
      <w:proofErr w:type="spellEnd"/>
      <w:r w:rsidR="008550FD">
        <w:rPr>
          <w:lang w:val="en-US"/>
        </w:rPr>
        <w:t xml:space="preserve"> based on the Pathways</w:t>
      </w:r>
      <w:r w:rsidR="00CA7226">
        <w:rPr>
          <w:lang w:val="en-US"/>
        </w:rPr>
        <w:t xml:space="preserve"> in their local context</w:t>
      </w:r>
      <w:r w:rsidR="008550FD">
        <w:rPr>
          <w:lang w:val="en-US"/>
        </w:rPr>
        <w:t>.</w:t>
      </w:r>
      <w:r>
        <w:rPr>
          <w:lang w:val="en-US"/>
        </w:rPr>
        <w:t xml:space="preserve">   </w:t>
      </w:r>
    </w:p>
    <w:p w:rsidR="008550FD" w:rsidRDefault="008550FD" w:rsidP="00E3745A">
      <w:pPr>
        <w:rPr>
          <w:lang w:val="en-US"/>
        </w:rPr>
      </w:pPr>
    </w:p>
    <w:p w:rsidR="00731D82" w:rsidRDefault="008550FD" w:rsidP="00731D82">
      <w:pPr>
        <w:rPr>
          <w:lang w:val="en-US"/>
        </w:rPr>
      </w:pPr>
      <w:r>
        <w:rPr>
          <w:lang w:val="en-US"/>
        </w:rPr>
        <w:t>M</w:t>
      </w:r>
      <w:r w:rsidR="00E3745A">
        <w:rPr>
          <w:lang w:val="en-US"/>
        </w:rPr>
        <w:t>ore supporting resources are being developed</w:t>
      </w:r>
      <w:r w:rsidR="00635BAB">
        <w:rPr>
          <w:lang w:val="en-US"/>
        </w:rPr>
        <w:t xml:space="preserve"> by the Ministry</w:t>
      </w:r>
      <w:r w:rsidR="00FC78EC">
        <w:rPr>
          <w:lang w:val="en-US"/>
        </w:rPr>
        <w:t xml:space="preserve"> </w:t>
      </w:r>
      <w:r w:rsidR="00E3745A">
        <w:rPr>
          <w:lang w:val="en-US"/>
        </w:rPr>
        <w:t>to support implementation</w:t>
      </w:r>
      <w:r w:rsidR="00731D82">
        <w:rPr>
          <w:lang w:val="en-US"/>
        </w:rPr>
        <w:t xml:space="preserve"> of the Vocational Pathways</w:t>
      </w:r>
      <w:r w:rsidR="00E3745A">
        <w:rPr>
          <w:lang w:val="en-US"/>
        </w:rPr>
        <w:t xml:space="preserve"> in schools</w:t>
      </w:r>
      <w:r>
        <w:rPr>
          <w:lang w:val="en-US"/>
        </w:rPr>
        <w:t>, TEOs and industry.</w:t>
      </w:r>
      <w:r w:rsidR="00731D82">
        <w:rPr>
          <w:lang w:val="en-US"/>
        </w:rPr>
        <w:t xml:space="preserve"> These include</w:t>
      </w:r>
      <w:r w:rsidR="00D12EA2">
        <w:rPr>
          <w:lang w:val="en-US"/>
        </w:rPr>
        <w:t>:</w:t>
      </w:r>
    </w:p>
    <w:p w:rsidR="00635BAB" w:rsidRPr="00DB043C" w:rsidRDefault="00635BAB" w:rsidP="00DB043C">
      <w:pPr>
        <w:rPr>
          <w:lang w:val="en-US"/>
        </w:rPr>
      </w:pPr>
    </w:p>
    <w:p w:rsidR="00635BAB" w:rsidRDefault="00635BAB" w:rsidP="00635BAB">
      <w:pPr>
        <w:pStyle w:val="ListParagraph"/>
        <w:numPr>
          <w:ilvl w:val="0"/>
          <w:numId w:val="13"/>
        </w:numPr>
        <w:rPr>
          <w:lang w:val="en-US"/>
        </w:rPr>
      </w:pPr>
      <w:r w:rsidRPr="00635BAB">
        <w:rPr>
          <w:b/>
          <w:lang w:val="en-US"/>
        </w:rPr>
        <w:t>A</w:t>
      </w:r>
      <w:r>
        <w:rPr>
          <w:b/>
          <w:lang w:val="en-US"/>
        </w:rPr>
        <w:t>n online</w:t>
      </w:r>
      <w:r w:rsidRPr="00635BAB">
        <w:rPr>
          <w:b/>
          <w:lang w:val="en-US"/>
        </w:rPr>
        <w:t xml:space="preserve"> tool that allows teachers to link the standards from the Vocational Pathways booklets to career examples and skill application in lessons.</w:t>
      </w:r>
      <w:r w:rsidRPr="00635BAB">
        <w:rPr>
          <w:lang w:val="en-US"/>
        </w:rPr>
        <w:t xml:space="preserve"> This will allow ed</w:t>
      </w:r>
      <w:r w:rsidR="00477F56">
        <w:rPr>
          <w:lang w:val="en-US"/>
        </w:rPr>
        <w:t>ucators to answer the question ‘</w:t>
      </w:r>
      <w:r w:rsidRPr="00635BAB">
        <w:rPr>
          <w:lang w:val="en-US"/>
        </w:rPr>
        <w:t>Why am I learning this</w:t>
      </w:r>
      <w:r w:rsidR="00477F56">
        <w:rPr>
          <w:lang w:val="en-US"/>
        </w:rPr>
        <w:t>?</w:t>
      </w:r>
      <w:r w:rsidRPr="00635BAB">
        <w:rPr>
          <w:lang w:val="en-US"/>
        </w:rPr>
        <w:t xml:space="preserve">’ by making the </w:t>
      </w:r>
      <w:r w:rsidRPr="00635BAB">
        <w:rPr>
          <w:lang w:val="en-US"/>
        </w:rPr>
        <w:lastRenderedPageBreak/>
        <w:t>real-life applications of the skills and knowledge learnt in the classroom</w:t>
      </w:r>
      <w:r>
        <w:rPr>
          <w:lang w:val="en-US"/>
        </w:rPr>
        <w:t xml:space="preserve"> clear</w:t>
      </w:r>
      <w:r w:rsidRPr="00635BAB">
        <w:rPr>
          <w:lang w:val="en-US"/>
        </w:rPr>
        <w:t xml:space="preserve">. It will also help educators identify community members who work in unit/achievement standard-relevant occupations and get them in the classroom to further </w:t>
      </w:r>
      <w:proofErr w:type="spellStart"/>
      <w:r w:rsidRPr="00635BAB">
        <w:rPr>
          <w:lang w:val="en-US"/>
        </w:rPr>
        <w:t>contextualise</w:t>
      </w:r>
      <w:proofErr w:type="spellEnd"/>
      <w:r w:rsidRPr="00635BAB">
        <w:rPr>
          <w:lang w:val="en-US"/>
        </w:rPr>
        <w:t xml:space="preserve"> learning. </w:t>
      </w:r>
    </w:p>
    <w:p w:rsidR="00635BAB" w:rsidRDefault="00635BAB" w:rsidP="00635BAB">
      <w:pPr>
        <w:pStyle w:val="ListParagraph"/>
        <w:numPr>
          <w:ilvl w:val="0"/>
          <w:numId w:val="13"/>
        </w:numPr>
        <w:rPr>
          <w:lang w:val="en-US"/>
        </w:rPr>
      </w:pPr>
      <w:r w:rsidRPr="00635BAB">
        <w:rPr>
          <w:b/>
          <w:lang w:val="en-US"/>
        </w:rPr>
        <w:t>Curriculum mapping exemplars</w:t>
      </w:r>
      <w:r>
        <w:rPr>
          <w:lang w:val="en-US"/>
        </w:rPr>
        <w:t xml:space="preserve"> on the Y</w:t>
      </w:r>
      <w:r w:rsidR="00786830">
        <w:rPr>
          <w:lang w:val="en-US"/>
        </w:rPr>
        <w:t xml:space="preserve">outh </w:t>
      </w:r>
      <w:r>
        <w:rPr>
          <w:lang w:val="en-US"/>
        </w:rPr>
        <w:t>G</w:t>
      </w:r>
      <w:r w:rsidR="00786830">
        <w:rPr>
          <w:lang w:val="en-US"/>
        </w:rPr>
        <w:t>uarantee</w:t>
      </w:r>
      <w:r>
        <w:rPr>
          <w:lang w:val="en-US"/>
        </w:rPr>
        <w:t xml:space="preserve"> website for teachers, TEOs and industry to help them in</w:t>
      </w:r>
      <w:r w:rsidRPr="00635BAB">
        <w:rPr>
          <w:lang w:val="en-US"/>
        </w:rPr>
        <w:t xml:space="preserve"> developing their lesson</w:t>
      </w:r>
      <w:r>
        <w:rPr>
          <w:lang w:val="en-US"/>
        </w:rPr>
        <w:t xml:space="preserve"> plans to deliver the Vocational Pathway </w:t>
      </w:r>
      <w:proofErr w:type="spellStart"/>
      <w:r>
        <w:rPr>
          <w:lang w:val="en-US"/>
        </w:rPr>
        <w:t>Programmes</w:t>
      </w:r>
      <w:proofErr w:type="spellEnd"/>
      <w:r>
        <w:rPr>
          <w:lang w:val="en-US"/>
        </w:rPr>
        <w:t>.</w:t>
      </w:r>
    </w:p>
    <w:p w:rsidR="00635BAB" w:rsidRPr="00C7376C" w:rsidRDefault="00635BAB" w:rsidP="00731D82">
      <w:pPr>
        <w:pStyle w:val="ListParagraph"/>
        <w:numPr>
          <w:ilvl w:val="0"/>
          <w:numId w:val="13"/>
        </w:numPr>
        <w:rPr>
          <w:lang w:val="en-US"/>
        </w:rPr>
      </w:pPr>
      <w:r>
        <w:rPr>
          <w:lang w:val="en-US"/>
        </w:rPr>
        <w:t>A</w:t>
      </w:r>
      <w:r w:rsidRPr="00635BAB">
        <w:rPr>
          <w:lang w:val="en-US"/>
        </w:rPr>
        <w:t xml:space="preserve"> ‘</w:t>
      </w:r>
      <w:r w:rsidR="001A64B4">
        <w:rPr>
          <w:b/>
          <w:lang w:val="en-US"/>
        </w:rPr>
        <w:t xml:space="preserve">model school/provider/employer’ </w:t>
      </w:r>
      <w:r w:rsidRPr="00635BAB">
        <w:rPr>
          <w:b/>
          <w:lang w:val="en-US"/>
        </w:rPr>
        <w:t>exemplar</w:t>
      </w:r>
      <w:r w:rsidR="002334A2">
        <w:rPr>
          <w:lang w:val="en-US"/>
        </w:rPr>
        <w:t xml:space="preserve"> to inform</w:t>
      </w:r>
      <w:r w:rsidRPr="00635BAB">
        <w:rPr>
          <w:lang w:val="en-US"/>
        </w:rPr>
        <w:t xml:space="preserve"> development of Vocational Pa</w:t>
      </w:r>
      <w:r w:rsidR="002334A2">
        <w:rPr>
          <w:lang w:val="en-US"/>
        </w:rPr>
        <w:t xml:space="preserve">thways </w:t>
      </w:r>
      <w:proofErr w:type="spellStart"/>
      <w:r w:rsidR="002334A2">
        <w:rPr>
          <w:lang w:val="en-US"/>
        </w:rPr>
        <w:t>programme</w:t>
      </w:r>
      <w:proofErr w:type="spellEnd"/>
      <w:r w:rsidR="002334A2">
        <w:rPr>
          <w:lang w:val="en-US"/>
        </w:rPr>
        <w:t xml:space="preserve"> developments</w:t>
      </w:r>
      <w:r w:rsidRPr="00635BAB">
        <w:rPr>
          <w:lang w:val="en-US"/>
        </w:rPr>
        <w:t>.</w:t>
      </w:r>
      <w:r>
        <w:rPr>
          <w:lang w:val="en-US"/>
        </w:rPr>
        <w:t xml:space="preserve"> </w:t>
      </w:r>
      <w:r w:rsidRPr="00635BAB">
        <w:rPr>
          <w:lang w:val="en-US"/>
        </w:rPr>
        <w:t xml:space="preserve">The Ministry will use YG networks to identify successful early-adopters who are willing to be a model for organizations that are planning </w:t>
      </w:r>
      <w:proofErr w:type="spellStart"/>
      <w:r w:rsidRPr="00635BAB">
        <w:rPr>
          <w:lang w:val="en-US"/>
        </w:rPr>
        <w:t>programmes</w:t>
      </w:r>
      <w:proofErr w:type="spellEnd"/>
      <w:r w:rsidRPr="00635BAB">
        <w:rPr>
          <w:lang w:val="en-US"/>
        </w:rPr>
        <w:t xml:space="preserve"> based on the Vocational Pathways. Inclusion of case studies of Vocational Pathways implementation on the YG website would help schools, tertiary providers and industry struggling with implementing Vocational Pathways </w:t>
      </w:r>
      <w:proofErr w:type="spellStart"/>
      <w:r w:rsidRPr="00635BAB">
        <w:rPr>
          <w:lang w:val="en-US"/>
        </w:rPr>
        <w:t>programmes</w:t>
      </w:r>
      <w:proofErr w:type="spellEnd"/>
      <w:r w:rsidR="002334A2">
        <w:rPr>
          <w:lang w:val="en-US"/>
        </w:rPr>
        <w:t xml:space="preserve"> by giving them examples of innovative</w:t>
      </w:r>
      <w:r w:rsidRPr="00635BAB">
        <w:rPr>
          <w:lang w:val="en-US"/>
        </w:rPr>
        <w:t xml:space="preserve">-practice. </w:t>
      </w:r>
    </w:p>
    <w:p w:rsidR="00ED2E1C" w:rsidRDefault="00ED2E1C" w:rsidP="00731D82">
      <w:pPr>
        <w:rPr>
          <w:b/>
          <w:lang w:val="en-US"/>
        </w:rPr>
      </w:pPr>
    </w:p>
    <w:p w:rsidR="00EE31EF" w:rsidRPr="00731D82" w:rsidRDefault="00EE31EF" w:rsidP="00731D82">
      <w:pPr>
        <w:rPr>
          <w:b/>
          <w:lang w:val="en-US"/>
        </w:rPr>
      </w:pPr>
      <w:r w:rsidRPr="00731D82">
        <w:rPr>
          <w:b/>
          <w:lang w:val="en-US"/>
        </w:rPr>
        <w:t>Monitoring and Evaluation</w:t>
      </w:r>
    </w:p>
    <w:p w:rsidR="00EE31EF" w:rsidRDefault="00EE31EF" w:rsidP="00EE31EF">
      <w:pPr>
        <w:rPr>
          <w:lang w:val="en-US"/>
        </w:rPr>
      </w:pPr>
    </w:p>
    <w:p w:rsidR="00E82B8A" w:rsidRDefault="00EE31EF" w:rsidP="00313D9B">
      <w:pPr>
        <w:rPr>
          <w:lang w:val="en-US"/>
        </w:rPr>
      </w:pPr>
      <w:r>
        <w:rPr>
          <w:lang w:val="en-US"/>
        </w:rPr>
        <w:t>The recent release of the report Monitoring</w:t>
      </w:r>
      <w:r w:rsidR="00E82B8A">
        <w:rPr>
          <w:lang w:val="en-US"/>
        </w:rPr>
        <w:t xml:space="preserve"> the Youth Guarantee Policy 2010-2012 provided evidence that two Youth Guarantee initiatives, fees-free places and Secondary-Tertiary Partnerships, are proving successful in regards to improving students’ achievement </w:t>
      </w:r>
      <w:r w:rsidR="00D500E9">
        <w:rPr>
          <w:lang w:val="en-US"/>
        </w:rPr>
        <w:t>(attaining NCEA Level 2)</w:t>
      </w:r>
      <w:r w:rsidR="006E0CB7">
        <w:rPr>
          <w:lang w:val="en-US"/>
        </w:rPr>
        <w:t>,</w:t>
      </w:r>
      <w:r w:rsidR="00D500E9">
        <w:rPr>
          <w:lang w:val="en-US"/>
        </w:rPr>
        <w:t xml:space="preserve"> </w:t>
      </w:r>
      <w:r w:rsidR="00E82B8A">
        <w:rPr>
          <w:lang w:val="en-US"/>
        </w:rPr>
        <w:t>and retention in educati</w:t>
      </w:r>
      <w:r w:rsidR="00313D9B">
        <w:rPr>
          <w:lang w:val="en-US"/>
        </w:rPr>
        <w:t xml:space="preserve">on. A third evaluative measure </w:t>
      </w:r>
      <w:r w:rsidR="00E82B8A">
        <w:rPr>
          <w:lang w:val="en-US"/>
        </w:rPr>
        <w:t>progression to higher lev</w:t>
      </w:r>
      <w:r w:rsidR="00313D9B">
        <w:rPr>
          <w:lang w:val="en-US"/>
        </w:rPr>
        <w:t>els of education and employment</w:t>
      </w:r>
      <w:r w:rsidR="00E82B8A">
        <w:rPr>
          <w:lang w:val="en-US"/>
        </w:rPr>
        <w:t xml:space="preserve"> was not assessed as the </w:t>
      </w:r>
      <w:r w:rsidR="006E0CB7">
        <w:rPr>
          <w:lang w:val="en-US"/>
        </w:rPr>
        <w:t>cohort examined is</w:t>
      </w:r>
      <w:r w:rsidR="00E82B8A">
        <w:rPr>
          <w:lang w:val="en-US"/>
        </w:rPr>
        <w:t xml:space="preserve"> not yet old enough to be assessed.</w:t>
      </w:r>
    </w:p>
    <w:p w:rsidR="00CA7226" w:rsidRDefault="00CA7226" w:rsidP="008543CA">
      <w:pPr>
        <w:rPr>
          <w:lang w:val="en-US"/>
        </w:rPr>
      </w:pPr>
    </w:p>
    <w:p w:rsidR="00E82B8A" w:rsidRDefault="008543CA" w:rsidP="008543CA">
      <w:pPr>
        <w:rPr>
          <w:lang w:val="en-US"/>
        </w:rPr>
      </w:pPr>
      <w:r w:rsidRPr="008543CA">
        <w:rPr>
          <w:lang w:val="en-US"/>
        </w:rPr>
        <w:t>Due to the</w:t>
      </w:r>
      <w:r w:rsidR="00CA7226">
        <w:rPr>
          <w:lang w:val="en-US"/>
        </w:rPr>
        <w:t xml:space="preserve"> relatively</w:t>
      </w:r>
      <w:r w:rsidRPr="008543CA">
        <w:rPr>
          <w:lang w:val="en-US"/>
        </w:rPr>
        <w:t xml:space="preserve"> recent implementation of the Vocational Pathways it is too early to determin</w:t>
      </w:r>
      <w:r w:rsidR="00E82B8A">
        <w:rPr>
          <w:lang w:val="en-US"/>
        </w:rPr>
        <w:t xml:space="preserve">e the success of the initiative in regards to </w:t>
      </w:r>
      <w:r w:rsidR="006E0CB7">
        <w:rPr>
          <w:lang w:val="en-US"/>
        </w:rPr>
        <w:t xml:space="preserve">improving students’ </w:t>
      </w:r>
      <w:r w:rsidR="00E82B8A">
        <w:rPr>
          <w:lang w:val="en-US"/>
        </w:rPr>
        <w:t>achievement, retention and progression</w:t>
      </w:r>
      <w:r w:rsidR="00CA7226">
        <w:rPr>
          <w:lang w:val="en-US"/>
        </w:rPr>
        <w:t>,</w:t>
      </w:r>
      <w:r w:rsidR="002334A2">
        <w:rPr>
          <w:lang w:val="en-US"/>
        </w:rPr>
        <w:t xml:space="preserve"> but early indications are </w:t>
      </w:r>
      <w:r w:rsidR="00CA7226">
        <w:rPr>
          <w:lang w:val="en-US"/>
        </w:rPr>
        <w:t xml:space="preserve">promising. </w:t>
      </w:r>
      <w:r w:rsidRPr="008543CA">
        <w:rPr>
          <w:lang w:val="en-US"/>
        </w:rPr>
        <w:t xml:space="preserve"> </w:t>
      </w:r>
    </w:p>
    <w:p w:rsidR="00E82B8A" w:rsidRDefault="00E82B8A" w:rsidP="008543CA">
      <w:pPr>
        <w:rPr>
          <w:lang w:val="en-US"/>
        </w:rPr>
      </w:pPr>
    </w:p>
    <w:p w:rsidR="00906E12" w:rsidRDefault="008543CA" w:rsidP="00183931">
      <w:pPr>
        <w:rPr>
          <w:color w:val="595959" w:themeColor="text1" w:themeTint="A6"/>
          <w:lang w:val="en-US"/>
        </w:rPr>
        <w:sectPr w:rsidR="00906E12" w:rsidSect="00183931">
          <w:headerReference w:type="even" r:id="rId12"/>
          <w:headerReference w:type="default" r:id="rId13"/>
          <w:footerReference w:type="even" r:id="rId14"/>
          <w:footerReference w:type="default" r:id="rId15"/>
          <w:headerReference w:type="first" r:id="rId16"/>
          <w:footerReference w:type="first" r:id="rId17"/>
          <w:pgSz w:w="11900" w:h="16840"/>
          <w:pgMar w:top="1418" w:right="1270" w:bottom="1418" w:left="1701" w:header="567" w:footer="851" w:gutter="0"/>
          <w:cols w:space="708"/>
          <w:titlePg/>
          <w:docGrid w:linePitch="299"/>
        </w:sectPr>
      </w:pPr>
      <w:r w:rsidRPr="008543CA">
        <w:rPr>
          <w:lang w:val="en-US"/>
        </w:rPr>
        <w:t xml:space="preserve">The Ministry of Education </w:t>
      </w:r>
      <w:r w:rsidR="00E82B8A">
        <w:rPr>
          <w:lang w:val="en-US"/>
        </w:rPr>
        <w:t xml:space="preserve">and Industry Training Federation </w:t>
      </w:r>
      <w:r w:rsidR="009F3C52">
        <w:rPr>
          <w:lang w:val="en-US"/>
        </w:rPr>
        <w:t>support</w:t>
      </w:r>
      <w:r w:rsidRPr="008543CA">
        <w:rPr>
          <w:lang w:val="en-US"/>
        </w:rPr>
        <w:t xml:space="preserve"> monitoring and evaluation of the Vocational Pathways </w:t>
      </w:r>
      <w:proofErr w:type="spellStart"/>
      <w:r w:rsidRPr="008543CA">
        <w:rPr>
          <w:lang w:val="en-US"/>
        </w:rPr>
        <w:t>programme</w:t>
      </w:r>
      <w:proofErr w:type="spellEnd"/>
      <w:r w:rsidRPr="008543CA">
        <w:rPr>
          <w:lang w:val="en-US"/>
        </w:rPr>
        <w:t xml:space="preserve"> as</w:t>
      </w:r>
      <w:r w:rsidR="004538AD">
        <w:rPr>
          <w:lang w:val="en-US"/>
        </w:rPr>
        <w:t xml:space="preserve"> a</w:t>
      </w:r>
      <w:r w:rsidR="00CA7226">
        <w:rPr>
          <w:lang w:val="en-US"/>
        </w:rPr>
        <w:t xml:space="preserve"> joint</w:t>
      </w:r>
      <w:r w:rsidRPr="008543CA">
        <w:rPr>
          <w:lang w:val="en-US"/>
        </w:rPr>
        <w:t xml:space="preserve"> research</w:t>
      </w:r>
      <w:r w:rsidR="00CA7226">
        <w:rPr>
          <w:lang w:val="en-US"/>
        </w:rPr>
        <w:t xml:space="preserve"> project</w:t>
      </w:r>
      <w:r w:rsidRPr="008543CA">
        <w:rPr>
          <w:lang w:val="en-US"/>
        </w:rPr>
        <w:t xml:space="preserve"> </w:t>
      </w:r>
      <w:r w:rsidR="00CA7226">
        <w:rPr>
          <w:lang w:val="en-US"/>
        </w:rPr>
        <w:t xml:space="preserve">to provide further assurance to Ministers that Vocational Pathways are achieving the </w:t>
      </w:r>
      <w:r w:rsidR="002E16C7">
        <w:rPr>
          <w:lang w:val="en-US"/>
        </w:rPr>
        <w:t>aims</w:t>
      </w:r>
      <w:r w:rsidR="00CA7226">
        <w:rPr>
          <w:lang w:val="en-US"/>
        </w:rPr>
        <w:t xml:space="preserve"> and objectives as first envisioned. The Ministry and ITF</w:t>
      </w:r>
      <w:r w:rsidRPr="008543CA">
        <w:rPr>
          <w:lang w:val="en-US"/>
        </w:rPr>
        <w:t xml:space="preserve"> propose using the same indicators as the Monitoring the Youth Guarantee policy 2010-2012 report</w:t>
      </w:r>
      <w:r w:rsidR="00CA7226">
        <w:rPr>
          <w:lang w:val="en-US"/>
        </w:rPr>
        <w:t>, which</w:t>
      </w:r>
      <w:r w:rsidRPr="008543CA">
        <w:rPr>
          <w:lang w:val="en-US"/>
        </w:rPr>
        <w:t xml:space="preserve"> published in February 2014, as part of a full evaluation of </w:t>
      </w:r>
      <w:r w:rsidR="00ED2E1C">
        <w:rPr>
          <w:lang w:val="en-US"/>
        </w:rPr>
        <w:t xml:space="preserve">Vocational Pathways </w:t>
      </w:r>
      <w:r w:rsidRPr="008543CA">
        <w:rPr>
          <w:lang w:val="en-US"/>
        </w:rPr>
        <w:t>in</w:t>
      </w:r>
      <w:r w:rsidR="00CD7254">
        <w:rPr>
          <w:lang w:val="en-US"/>
        </w:rPr>
        <w:t xml:space="preserve"> 2017.</w:t>
      </w:r>
      <w:r w:rsidRPr="008543CA">
        <w:rPr>
          <w:lang w:val="en-US"/>
        </w:rPr>
        <w:t xml:space="preserve"> </w:t>
      </w:r>
    </w:p>
    <w:p w:rsidR="00AB54AC" w:rsidRDefault="00245243" w:rsidP="00AB54AC">
      <w:pPr>
        <w:pStyle w:val="Heading2"/>
        <w:rPr>
          <w:color w:val="595959" w:themeColor="text1" w:themeTint="A6"/>
          <w:lang w:val="en-US"/>
        </w:rPr>
      </w:pPr>
      <w:r>
        <w:rPr>
          <w:color w:val="595959" w:themeColor="text1" w:themeTint="A6"/>
          <w:lang w:val="en-US"/>
        </w:rPr>
        <w:lastRenderedPageBreak/>
        <w:t>Appendix 1</w:t>
      </w:r>
      <w:r w:rsidR="00AB54AC" w:rsidRPr="00AB54AC">
        <w:rPr>
          <w:color w:val="595959" w:themeColor="text1" w:themeTint="A6"/>
          <w:lang w:val="en-US"/>
        </w:rPr>
        <w:t>: Vocational Pathways Resources Developed</w:t>
      </w:r>
    </w:p>
    <w:p w:rsidR="00906E12" w:rsidRDefault="00477F56" w:rsidP="00906E12">
      <w:pPr>
        <w:rPr>
          <w:lang w:val="en-US"/>
        </w:rPr>
      </w:pPr>
      <w:r>
        <w:rPr>
          <w:lang w:val="en-US"/>
        </w:rPr>
        <w:t>NZQA Vocational Profiles</w:t>
      </w:r>
    </w:p>
    <w:p w:rsidR="00906E12" w:rsidRDefault="00906E12" w:rsidP="00906E12">
      <w:pPr>
        <w:rPr>
          <w:lang w:val="en-US"/>
        </w:rPr>
      </w:pPr>
    </w:p>
    <w:p w:rsidR="00906E12" w:rsidRDefault="00906E12" w:rsidP="00906E12">
      <w:pPr>
        <w:rPr>
          <w:lang w:val="en-US"/>
        </w:rPr>
      </w:pPr>
      <w:r>
        <w:rPr>
          <w:noProof/>
          <w:lang w:val="en-NZ" w:eastAsia="en-NZ"/>
        </w:rPr>
        <w:drawing>
          <wp:inline distT="0" distB="0" distL="0" distR="0">
            <wp:extent cx="5669915" cy="6459220"/>
            <wp:effectExtent l="38100" t="0" r="26035" b="0"/>
            <wp:docPr id="6" name="Picture 5" descr="01 Landing page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Landing page example.jpg"/>
                    <pic:cNvPicPr/>
                  </pic:nvPicPr>
                  <pic:blipFill>
                    <a:blip r:embed="rId18"/>
                    <a:stretch>
                      <a:fillRect/>
                    </a:stretch>
                  </pic:blipFill>
                  <pic:spPr>
                    <a:xfrm>
                      <a:off x="0" y="0"/>
                      <a:ext cx="5669915" cy="6459220"/>
                    </a:xfrm>
                    <a:prstGeom prst="rect">
                      <a:avLst/>
                    </a:prstGeom>
                    <a:ln>
                      <a:solidFill>
                        <a:schemeClr val="tx1">
                          <a:alpha val="0"/>
                        </a:schemeClr>
                      </a:solidFill>
                    </a:ln>
                  </pic:spPr>
                </pic:pic>
              </a:graphicData>
            </a:graphic>
          </wp:inline>
        </w:drawing>
      </w:r>
    </w:p>
    <w:p w:rsidR="00906E12" w:rsidRDefault="00906E12" w:rsidP="00906E12">
      <w:pPr>
        <w:rPr>
          <w:lang w:val="en-US"/>
        </w:rPr>
      </w:pPr>
    </w:p>
    <w:p w:rsidR="00906E12" w:rsidRDefault="00906E12" w:rsidP="00906E12">
      <w:pPr>
        <w:rPr>
          <w:lang w:val="en-US"/>
        </w:rPr>
      </w:pPr>
    </w:p>
    <w:p w:rsidR="00906E12" w:rsidRDefault="00906E12" w:rsidP="00906E12">
      <w:pPr>
        <w:rPr>
          <w:lang w:val="en-US"/>
        </w:rPr>
        <w:sectPr w:rsidR="00906E12" w:rsidSect="00906E12">
          <w:pgSz w:w="11900" w:h="16840"/>
          <w:pgMar w:top="1418" w:right="1270" w:bottom="1418" w:left="1701" w:header="567" w:footer="851" w:gutter="0"/>
          <w:cols w:space="708"/>
          <w:titlePg/>
        </w:sectPr>
      </w:pPr>
    </w:p>
    <w:p w:rsidR="00906E12" w:rsidRDefault="00906E12" w:rsidP="00906E12">
      <w:pPr>
        <w:rPr>
          <w:lang w:val="en-US"/>
        </w:rPr>
      </w:pPr>
    </w:p>
    <w:p w:rsidR="00906E12" w:rsidRPr="00236A94" w:rsidRDefault="00245243" w:rsidP="00236A94">
      <w:pPr>
        <w:pStyle w:val="Heading2"/>
        <w:rPr>
          <w:color w:val="595959" w:themeColor="text1" w:themeTint="A6"/>
          <w:lang w:val="en-US"/>
        </w:rPr>
      </w:pPr>
      <w:r>
        <w:rPr>
          <w:color w:val="595959" w:themeColor="text1" w:themeTint="A6"/>
          <w:lang w:val="en-US"/>
        </w:rPr>
        <w:t>Appendix 2</w:t>
      </w:r>
      <w:r w:rsidR="00CA7226" w:rsidRPr="00236A94">
        <w:rPr>
          <w:color w:val="595959" w:themeColor="text1" w:themeTint="A6"/>
          <w:lang w:val="en-US"/>
        </w:rPr>
        <w:t xml:space="preserve">: </w:t>
      </w:r>
      <w:r w:rsidR="00906E12" w:rsidRPr="00236A94">
        <w:rPr>
          <w:color w:val="595959" w:themeColor="text1" w:themeTint="A6"/>
          <w:lang w:val="en-US"/>
        </w:rPr>
        <w:t xml:space="preserve">Vocational Pathways </w:t>
      </w:r>
      <w:r w:rsidR="00477F56">
        <w:rPr>
          <w:color w:val="595959" w:themeColor="text1" w:themeTint="A6"/>
          <w:lang w:val="en-US"/>
        </w:rPr>
        <w:t>Awards</w:t>
      </w:r>
    </w:p>
    <w:p w:rsidR="00906E12" w:rsidRDefault="00906E12" w:rsidP="00906E12">
      <w:pPr>
        <w:rPr>
          <w:lang w:val="en-US"/>
        </w:rPr>
      </w:pPr>
    </w:p>
    <w:p w:rsidR="00906E12" w:rsidRDefault="001A64B4" w:rsidP="00906E12">
      <w:pPr>
        <w:rPr>
          <w:lang w:val="en-US"/>
        </w:rPr>
      </w:pPr>
      <w:r>
        <w:rPr>
          <w:noProof/>
          <w:lang w:val="en-NZ" w:eastAsia="en-NZ"/>
        </w:rPr>
        <w:drawing>
          <wp:inline distT="0" distB="0" distL="0" distR="0">
            <wp:extent cx="5669915" cy="6400165"/>
            <wp:effectExtent l="19050" t="0" r="6985" b="0"/>
            <wp:docPr id="2" name="Picture 1" descr="award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 updated.png"/>
                    <pic:cNvPicPr/>
                  </pic:nvPicPr>
                  <pic:blipFill>
                    <a:blip r:embed="rId19"/>
                    <a:stretch>
                      <a:fillRect/>
                    </a:stretch>
                  </pic:blipFill>
                  <pic:spPr>
                    <a:xfrm>
                      <a:off x="0" y="0"/>
                      <a:ext cx="5669915" cy="6400165"/>
                    </a:xfrm>
                    <a:prstGeom prst="rect">
                      <a:avLst/>
                    </a:prstGeom>
                  </pic:spPr>
                </pic:pic>
              </a:graphicData>
            </a:graphic>
          </wp:inline>
        </w:drawing>
      </w:r>
    </w:p>
    <w:p w:rsidR="00530E0C" w:rsidRDefault="00530E0C" w:rsidP="00906E12">
      <w:pPr>
        <w:rPr>
          <w:lang w:val="en-US"/>
        </w:rPr>
      </w:pPr>
    </w:p>
    <w:p w:rsidR="00530E0C" w:rsidRDefault="00530E0C" w:rsidP="00906E12">
      <w:pPr>
        <w:rPr>
          <w:lang w:val="en-US"/>
        </w:rPr>
      </w:pPr>
    </w:p>
    <w:p w:rsidR="00530E0C" w:rsidRDefault="00530E0C" w:rsidP="00906E12">
      <w:pPr>
        <w:rPr>
          <w:lang w:val="en-US"/>
        </w:rPr>
      </w:pPr>
    </w:p>
    <w:p w:rsidR="00530E0C" w:rsidRDefault="00530E0C" w:rsidP="00906E12">
      <w:pPr>
        <w:rPr>
          <w:lang w:val="en-US"/>
        </w:rPr>
      </w:pPr>
    </w:p>
    <w:p w:rsidR="00530E0C" w:rsidRDefault="00530E0C" w:rsidP="00906E12">
      <w:pPr>
        <w:rPr>
          <w:lang w:val="en-US"/>
        </w:rPr>
      </w:pPr>
    </w:p>
    <w:p w:rsidR="00530E0C" w:rsidRDefault="00530E0C" w:rsidP="00906E12">
      <w:pPr>
        <w:rPr>
          <w:lang w:val="en-US"/>
        </w:rPr>
      </w:pPr>
    </w:p>
    <w:p w:rsidR="00530E0C" w:rsidRDefault="00530E0C" w:rsidP="00906E12">
      <w:pPr>
        <w:rPr>
          <w:lang w:val="en-US"/>
        </w:rPr>
      </w:pPr>
    </w:p>
    <w:p w:rsidR="00530E0C" w:rsidRDefault="00530E0C" w:rsidP="00906E12">
      <w:pPr>
        <w:rPr>
          <w:lang w:val="en-US"/>
        </w:rPr>
      </w:pPr>
    </w:p>
    <w:p w:rsidR="00295760" w:rsidRDefault="00295760" w:rsidP="00906E12">
      <w:pPr>
        <w:rPr>
          <w:lang w:val="en-US"/>
        </w:rPr>
        <w:sectPr w:rsidR="00295760" w:rsidSect="00906E12">
          <w:pgSz w:w="11900" w:h="16840"/>
          <w:pgMar w:top="1418" w:right="1270" w:bottom="1418" w:left="1701" w:header="567" w:footer="851" w:gutter="0"/>
          <w:cols w:space="708"/>
          <w:titlePg/>
        </w:sectPr>
      </w:pPr>
    </w:p>
    <w:p w:rsidR="00295760" w:rsidRPr="00236A94" w:rsidRDefault="00245243" w:rsidP="00236A94">
      <w:pPr>
        <w:pStyle w:val="Heading2"/>
        <w:rPr>
          <w:color w:val="595959" w:themeColor="text1" w:themeTint="A6"/>
          <w:lang w:val="en-US"/>
        </w:rPr>
      </w:pPr>
      <w:r>
        <w:rPr>
          <w:color w:val="595959" w:themeColor="text1" w:themeTint="A6"/>
          <w:lang w:val="en-US"/>
        </w:rPr>
        <w:lastRenderedPageBreak/>
        <w:t>Appendix 3</w:t>
      </w:r>
      <w:r w:rsidR="00236A94" w:rsidRPr="00236A94">
        <w:rPr>
          <w:color w:val="595959" w:themeColor="text1" w:themeTint="A6"/>
          <w:lang w:val="en-US"/>
        </w:rPr>
        <w:t>:</w:t>
      </w:r>
      <w:r w:rsidR="00F52A5B" w:rsidRPr="00236A94">
        <w:rPr>
          <w:color w:val="595959" w:themeColor="text1" w:themeTint="A6"/>
          <w:lang w:val="en-US"/>
        </w:rPr>
        <w:t xml:space="preserve"> </w:t>
      </w:r>
      <w:r w:rsidR="00295760" w:rsidRPr="00236A94">
        <w:rPr>
          <w:color w:val="595959" w:themeColor="text1" w:themeTint="A6"/>
          <w:lang w:val="en-US"/>
        </w:rPr>
        <w:t>Occupational Outlook 2014 Summary</w:t>
      </w:r>
    </w:p>
    <w:p w:rsidR="00295760" w:rsidRDefault="00295760" w:rsidP="00906E12">
      <w:pPr>
        <w:rPr>
          <w:lang w:val="en-US"/>
        </w:rPr>
      </w:pPr>
      <w:r>
        <w:rPr>
          <w:lang w:val="en-US"/>
        </w:rPr>
        <w:t>The Occupational Outlook report and mobile app are</w:t>
      </w:r>
      <w:r w:rsidR="00477F56">
        <w:rPr>
          <w:lang w:val="en-US"/>
        </w:rPr>
        <w:t xml:space="preserve"> organized and</w:t>
      </w:r>
      <w:r>
        <w:rPr>
          <w:lang w:val="en-US"/>
        </w:rPr>
        <w:t xml:space="preserve"> </w:t>
      </w:r>
      <w:proofErr w:type="spellStart"/>
      <w:r>
        <w:rPr>
          <w:lang w:val="en-US"/>
        </w:rPr>
        <w:t>colour</w:t>
      </w:r>
      <w:proofErr w:type="spellEnd"/>
      <w:r>
        <w:rPr>
          <w:lang w:val="en-US"/>
        </w:rPr>
        <w:t xml:space="preserve">-coded using </w:t>
      </w:r>
      <w:r w:rsidR="00477F56">
        <w:rPr>
          <w:lang w:val="en-US"/>
        </w:rPr>
        <w:t xml:space="preserve">the </w:t>
      </w:r>
      <w:r>
        <w:rPr>
          <w:lang w:val="en-US"/>
        </w:rPr>
        <w:t xml:space="preserve">Vocational Pathways </w:t>
      </w:r>
    </w:p>
    <w:p w:rsidR="00295760" w:rsidRDefault="00295760" w:rsidP="00906E12">
      <w:pPr>
        <w:rPr>
          <w:lang w:val="en-US"/>
        </w:rPr>
      </w:pPr>
      <w:r>
        <w:rPr>
          <w:noProof/>
          <w:lang w:val="en-NZ" w:eastAsia="en-NZ"/>
        </w:rPr>
        <w:drawing>
          <wp:inline distT="0" distB="0" distL="0" distR="0">
            <wp:extent cx="6533866" cy="4410075"/>
            <wp:effectExtent l="19050" t="0" r="284" b="0"/>
            <wp:docPr id="7" name="Picture 6" descr="occupational outlook summary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pational outlook summary 2014.png"/>
                    <pic:cNvPicPr/>
                  </pic:nvPicPr>
                  <pic:blipFill>
                    <a:blip r:embed="rId20"/>
                    <a:stretch>
                      <a:fillRect/>
                    </a:stretch>
                  </pic:blipFill>
                  <pic:spPr>
                    <a:xfrm>
                      <a:off x="0" y="0"/>
                      <a:ext cx="6537934" cy="4412821"/>
                    </a:xfrm>
                    <a:prstGeom prst="rect">
                      <a:avLst/>
                    </a:prstGeom>
                  </pic:spPr>
                </pic:pic>
              </a:graphicData>
            </a:graphic>
          </wp:inline>
        </w:drawing>
      </w:r>
    </w:p>
    <w:p w:rsidR="00143A94" w:rsidRDefault="00143A94" w:rsidP="00906E12">
      <w:pPr>
        <w:rPr>
          <w:lang w:val="en-US"/>
        </w:rPr>
        <w:sectPr w:rsidR="00143A94" w:rsidSect="00295760">
          <w:pgSz w:w="16840" w:h="11900" w:orient="landscape"/>
          <w:pgMar w:top="1701" w:right="1418" w:bottom="1270" w:left="1418" w:header="567" w:footer="851" w:gutter="0"/>
          <w:cols w:space="708"/>
          <w:titlePg/>
        </w:sectPr>
      </w:pPr>
    </w:p>
    <w:p w:rsidR="00143A94" w:rsidRDefault="00143A94" w:rsidP="00906E12">
      <w:pPr>
        <w:rPr>
          <w:lang w:val="en-US"/>
        </w:rPr>
      </w:pPr>
    </w:p>
    <w:p w:rsidR="00143A94" w:rsidRPr="00236A94" w:rsidRDefault="00245243" w:rsidP="00236A94">
      <w:pPr>
        <w:pStyle w:val="Heading2"/>
        <w:rPr>
          <w:color w:val="595959" w:themeColor="text1" w:themeTint="A6"/>
          <w:lang w:val="en-US"/>
        </w:rPr>
      </w:pPr>
      <w:r>
        <w:rPr>
          <w:color w:val="595959" w:themeColor="text1" w:themeTint="A6"/>
          <w:lang w:val="en-US"/>
        </w:rPr>
        <w:t>Appendix 4</w:t>
      </w:r>
      <w:r w:rsidR="00236A94" w:rsidRPr="00236A94">
        <w:rPr>
          <w:color w:val="595959" w:themeColor="text1" w:themeTint="A6"/>
          <w:lang w:val="en-US"/>
        </w:rPr>
        <w:t>:</w:t>
      </w:r>
      <w:r w:rsidR="00F52A5B" w:rsidRPr="00236A94">
        <w:rPr>
          <w:color w:val="595959" w:themeColor="text1" w:themeTint="A6"/>
          <w:lang w:val="en-US"/>
        </w:rPr>
        <w:t xml:space="preserve"> </w:t>
      </w:r>
      <w:r w:rsidR="00143A94" w:rsidRPr="00236A94">
        <w:rPr>
          <w:color w:val="595959" w:themeColor="text1" w:themeTint="A6"/>
          <w:lang w:val="en-US"/>
        </w:rPr>
        <w:t xml:space="preserve">Youth Guarantee Website </w:t>
      </w:r>
    </w:p>
    <w:p w:rsidR="00143A94" w:rsidRDefault="00143A94" w:rsidP="00906E12">
      <w:pPr>
        <w:rPr>
          <w:lang w:val="en-US"/>
        </w:rPr>
      </w:pPr>
    </w:p>
    <w:p w:rsidR="00143A94" w:rsidRDefault="00143A94" w:rsidP="00906E12">
      <w:pPr>
        <w:rPr>
          <w:lang w:val="en-US"/>
        </w:rPr>
      </w:pPr>
      <w:r>
        <w:rPr>
          <w:noProof/>
          <w:lang w:val="en-NZ" w:eastAsia="en-NZ"/>
        </w:rPr>
        <w:drawing>
          <wp:inline distT="0" distB="0" distL="0" distR="0">
            <wp:extent cx="4748380" cy="8001000"/>
            <wp:effectExtent l="38100" t="0" r="14120" b="0"/>
            <wp:docPr id="8" name="Picture 7" descr="YG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 website.png"/>
                    <pic:cNvPicPr/>
                  </pic:nvPicPr>
                  <pic:blipFill>
                    <a:blip r:embed="rId21"/>
                    <a:stretch>
                      <a:fillRect/>
                    </a:stretch>
                  </pic:blipFill>
                  <pic:spPr>
                    <a:xfrm>
                      <a:off x="0" y="0"/>
                      <a:ext cx="4748952" cy="8001963"/>
                    </a:xfrm>
                    <a:prstGeom prst="rect">
                      <a:avLst/>
                    </a:prstGeom>
                    <a:ln>
                      <a:solidFill>
                        <a:schemeClr val="tx1">
                          <a:alpha val="0"/>
                        </a:schemeClr>
                      </a:solidFill>
                    </a:ln>
                  </pic:spPr>
                </pic:pic>
              </a:graphicData>
            </a:graphic>
          </wp:inline>
        </w:drawing>
      </w:r>
    </w:p>
    <w:p w:rsidR="00626320" w:rsidRDefault="00626320" w:rsidP="00906E12">
      <w:pPr>
        <w:rPr>
          <w:lang w:val="en-US"/>
        </w:rPr>
      </w:pPr>
    </w:p>
    <w:p w:rsidR="00626320" w:rsidRPr="00236A94" w:rsidRDefault="00245243" w:rsidP="00236A94">
      <w:pPr>
        <w:pStyle w:val="Heading2"/>
        <w:rPr>
          <w:color w:val="595959" w:themeColor="text1" w:themeTint="A6"/>
          <w:lang w:val="en-US"/>
        </w:rPr>
      </w:pPr>
      <w:r>
        <w:rPr>
          <w:color w:val="595959" w:themeColor="text1" w:themeTint="A6"/>
          <w:lang w:val="en-US"/>
        </w:rPr>
        <w:t>Appendix 5</w:t>
      </w:r>
      <w:r w:rsidR="00F52A5B" w:rsidRPr="00236A94">
        <w:rPr>
          <w:color w:val="595959" w:themeColor="text1" w:themeTint="A6"/>
          <w:lang w:val="en-US"/>
        </w:rPr>
        <w:t xml:space="preserve">: </w:t>
      </w:r>
      <w:r w:rsidR="00626320" w:rsidRPr="00236A94">
        <w:rPr>
          <w:color w:val="595959" w:themeColor="text1" w:themeTint="A6"/>
          <w:lang w:val="en-US"/>
        </w:rPr>
        <w:t>Vocational Pathways Booklet example</w:t>
      </w:r>
    </w:p>
    <w:p w:rsidR="00626320" w:rsidRDefault="00626320" w:rsidP="00906E12">
      <w:pPr>
        <w:rPr>
          <w:lang w:val="en-US"/>
        </w:rPr>
      </w:pPr>
    </w:p>
    <w:p w:rsidR="00626320" w:rsidRDefault="001A64B4" w:rsidP="00906E12">
      <w:pPr>
        <w:rPr>
          <w:lang w:val="en-US"/>
        </w:rPr>
      </w:pPr>
      <w:r>
        <w:rPr>
          <w:noProof/>
          <w:lang w:val="en-NZ" w:eastAsia="en-NZ"/>
        </w:rPr>
        <w:drawing>
          <wp:inline distT="0" distB="0" distL="0" distR="0">
            <wp:extent cx="5259343" cy="7449312"/>
            <wp:effectExtent l="19050" t="0" r="0" b="0"/>
            <wp:docPr id="9" name="Picture 8" descr="CI booklet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booklet cover.png"/>
                    <pic:cNvPicPr/>
                  </pic:nvPicPr>
                  <pic:blipFill>
                    <a:blip r:embed="rId22"/>
                    <a:stretch>
                      <a:fillRect/>
                    </a:stretch>
                  </pic:blipFill>
                  <pic:spPr>
                    <a:xfrm>
                      <a:off x="0" y="0"/>
                      <a:ext cx="5261464" cy="7452317"/>
                    </a:xfrm>
                    <a:prstGeom prst="rect">
                      <a:avLst/>
                    </a:prstGeom>
                  </pic:spPr>
                </pic:pic>
              </a:graphicData>
            </a:graphic>
          </wp:inline>
        </w:drawing>
      </w:r>
    </w:p>
    <w:p w:rsidR="00CC5F70" w:rsidRDefault="00CC5F70" w:rsidP="00906E12">
      <w:pPr>
        <w:rPr>
          <w:lang w:val="en-US"/>
        </w:rPr>
      </w:pPr>
    </w:p>
    <w:p w:rsidR="00CC5F70" w:rsidRPr="00236A94" w:rsidRDefault="00245243" w:rsidP="00236A94">
      <w:pPr>
        <w:pStyle w:val="Heading2"/>
        <w:rPr>
          <w:color w:val="595959" w:themeColor="text1" w:themeTint="A6"/>
          <w:lang w:val="en-US"/>
        </w:rPr>
      </w:pPr>
      <w:r>
        <w:rPr>
          <w:color w:val="595959" w:themeColor="text1" w:themeTint="A6"/>
          <w:lang w:val="en-US"/>
        </w:rPr>
        <w:lastRenderedPageBreak/>
        <w:t>Appendix 6</w:t>
      </w:r>
      <w:r w:rsidR="00F52A5B" w:rsidRPr="00236A94">
        <w:rPr>
          <w:color w:val="595959" w:themeColor="text1" w:themeTint="A6"/>
          <w:lang w:val="en-US"/>
        </w:rPr>
        <w:t xml:space="preserve">: </w:t>
      </w:r>
      <w:r w:rsidR="00CC5F70" w:rsidRPr="00236A94">
        <w:rPr>
          <w:color w:val="595959" w:themeColor="text1" w:themeTint="A6"/>
          <w:lang w:val="en-US"/>
        </w:rPr>
        <w:t>Vocational Pathways Guidance Booklet example</w:t>
      </w:r>
    </w:p>
    <w:p w:rsidR="00CC5F70" w:rsidRDefault="00CC5F70" w:rsidP="00906E12">
      <w:pPr>
        <w:rPr>
          <w:lang w:val="en-US"/>
        </w:rPr>
      </w:pPr>
    </w:p>
    <w:p w:rsidR="00CC5F70" w:rsidRDefault="00866313" w:rsidP="00906E12">
      <w:pPr>
        <w:rPr>
          <w:lang w:val="en-US"/>
        </w:rPr>
      </w:pPr>
      <w:r>
        <w:rPr>
          <w:noProof/>
          <w:lang w:val="en-NZ" w:eastAsia="en-NZ"/>
        </w:rPr>
        <w:drawing>
          <wp:inline distT="0" distB="0" distL="0" distR="0">
            <wp:extent cx="5669915" cy="8030845"/>
            <wp:effectExtent l="19050" t="0" r="6985" b="0"/>
            <wp:docPr id="14" name="Picture 13" descr="guidance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nce updated.png"/>
                    <pic:cNvPicPr/>
                  </pic:nvPicPr>
                  <pic:blipFill>
                    <a:blip r:embed="rId23"/>
                    <a:stretch>
                      <a:fillRect/>
                    </a:stretch>
                  </pic:blipFill>
                  <pic:spPr>
                    <a:xfrm>
                      <a:off x="0" y="0"/>
                      <a:ext cx="5669915" cy="8030845"/>
                    </a:xfrm>
                    <a:prstGeom prst="rect">
                      <a:avLst/>
                    </a:prstGeom>
                  </pic:spPr>
                </pic:pic>
              </a:graphicData>
            </a:graphic>
          </wp:inline>
        </w:drawing>
      </w:r>
    </w:p>
    <w:p w:rsidR="00CC3A8B" w:rsidRDefault="00CC3A8B" w:rsidP="00906E12">
      <w:pPr>
        <w:rPr>
          <w:lang w:val="en-US"/>
        </w:rPr>
      </w:pPr>
    </w:p>
    <w:p w:rsidR="00CC3A8B" w:rsidRPr="00236A94" w:rsidRDefault="00245243" w:rsidP="00236A94">
      <w:pPr>
        <w:pStyle w:val="Heading2"/>
        <w:rPr>
          <w:color w:val="595959" w:themeColor="text1" w:themeTint="A6"/>
          <w:lang w:val="en-US"/>
        </w:rPr>
      </w:pPr>
      <w:r>
        <w:rPr>
          <w:color w:val="595959" w:themeColor="text1" w:themeTint="A6"/>
          <w:lang w:val="en-US"/>
        </w:rPr>
        <w:lastRenderedPageBreak/>
        <w:t>Appendix 7</w:t>
      </w:r>
      <w:r w:rsidR="00F52A5B" w:rsidRPr="00236A94">
        <w:rPr>
          <w:color w:val="595959" w:themeColor="text1" w:themeTint="A6"/>
          <w:lang w:val="en-US"/>
        </w:rPr>
        <w:t xml:space="preserve">: </w:t>
      </w:r>
      <w:r w:rsidR="00CC3A8B" w:rsidRPr="00236A94">
        <w:rPr>
          <w:color w:val="595959" w:themeColor="text1" w:themeTint="A6"/>
          <w:lang w:val="en-US"/>
        </w:rPr>
        <w:t>NZQA qual</w:t>
      </w:r>
      <w:r w:rsidR="003476E5" w:rsidRPr="00236A94">
        <w:rPr>
          <w:color w:val="595959" w:themeColor="text1" w:themeTint="A6"/>
          <w:lang w:val="en-US"/>
        </w:rPr>
        <w:t>ity assured assessment resource</w:t>
      </w:r>
      <w:r w:rsidR="00CC3A8B" w:rsidRPr="00236A94">
        <w:rPr>
          <w:color w:val="595959" w:themeColor="text1" w:themeTint="A6"/>
          <w:lang w:val="en-US"/>
        </w:rPr>
        <w:t xml:space="preserve"> to support internally assessed Level 1 and Level 2 registered achievement standards in Vocational Pathways example</w:t>
      </w:r>
    </w:p>
    <w:p w:rsidR="00CC3A8B" w:rsidRDefault="00CC3A8B" w:rsidP="00906E12">
      <w:pPr>
        <w:rPr>
          <w:lang w:val="en-US"/>
        </w:rPr>
      </w:pPr>
    </w:p>
    <w:p w:rsidR="00CC3A8B" w:rsidRDefault="00CC3A8B" w:rsidP="00906E12">
      <w:pPr>
        <w:rPr>
          <w:lang w:val="en-US"/>
        </w:rPr>
      </w:pPr>
      <w:r>
        <w:rPr>
          <w:noProof/>
          <w:lang w:val="en-NZ" w:eastAsia="en-NZ"/>
        </w:rPr>
        <w:drawing>
          <wp:inline distT="0" distB="0" distL="0" distR="0">
            <wp:extent cx="5534798" cy="7783012"/>
            <wp:effectExtent l="19050" t="0" r="27802" b="8438"/>
            <wp:docPr id="13" name="Picture 12" descr="contextualised learning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tualised learning example.png"/>
                    <pic:cNvPicPr/>
                  </pic:nvPicPr>
                  <pic:blipFill>
                    <a:blip r:embed="rId24"/>
                    <a:stretch>
                      <a:fillRect/>
                    </a:stretch>
                  </pic:blipFill>
                  <pic:spPr>
                    <a:xfrm>
                      <a:off x="0" y="0"/>
                      <a:ext cx="5534798" cy="7783012"/>
                    </a:xfrm>
                    <a:prstGeom prst="rect">
                      <a:avLst/>
                    </a:prstGeom>
                    <a:ln>
                      <a:solidFill>
                        <a:schemeClr val="tx1">
                          <a:alpha val="0"/>
                        </a:schemeClr>
                      </a:solidFill>
                    </a:ln>
                  </pic:spPr>
                </pic:pic>
              </a:graphicData>
            </a:graphic>
          </wp:inline>
        </w:drawing>
      </w:r>
    </w:p>
    <w:p w:rsidR="00DC5F9D" w:rsidRPr="00DC5F9D" w:rsidRDefault="00245243" w:rsidP="00DC5F9D">
      <w:pPr>
        <w:pStyle w:val="Heading2"/>
        <w:rPr>
          <w:color w:val="595959" w:themeColor="text1" w:themeTint="A6"/>
          <w:lang w:val="en-US"/>
        </w:rPr>
      </w:pPr>
      <w:r>
        <w:rPr>
          <w:color w:val="595959" w:themeColor="text1" w:themeTint="A6"/>
          <w:lang w:val="en-US"/>
        </w:rPr>
        <w:lastRenderedPageBreak/>
        <w:t>Appendix 8</w:t>
      </w:r>
      <w:r w:rsidR="00DC5F9D" w:rsidRPr="00DC5F9D">
        <w:rPr>
          <w:color w:val="595959" w:themeColor="text1" w:themeTint="A6"/>
          <w:lang w:val="en-US"/>
        </w:rPr>
        <w:t>: Table One: Students achieving NCEA Level 2, with a Vocational Pathway Award, 2012–2013</w:t>
      </w:r>
    </w:p>
    <w:p w:rsidR="00DC5F9D" w:rsidRDefault="00DC5F9D" w:rsidP="00DC5F9D">
      <w:pPr>
        <w:rPr>
          <w:rFonts w:cs="Arial"/>
          <w:szCs w:val="22"/>
        </w:rPr>
      </w:pPr>
    </w:p>
    <w:tbl>
      <w:tblPr>
        <w:tblW w:w="8815"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04"/>
        <w:gridCol w:w="932"/>
        <w:gridCol w:w="932"/>
        <w:gridCol w:w="1002"/>
        <w:gridCol w:w="703"/>
        <w:gridCol w:w="703"/>
        <w:gridCol w:w="976"/>
      </w:tblGrid>
      <w:tr w:rsidR="00DC5F9D" w:rsidRPr="006B12D2" w:rsidTr="001A64B4">
        <w:trPr>
          <w:trHeight w:val="300"/>
        </w:trPr>
        <w:tc>
          <w:tcPr>
            <w:tcW w:w="3843" w:type="dxa"/>
            <w:vMerge w:val="restart"/>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2572" w:type="dxa"/>
            <w:gridSpan w:val="3"/>
            <w:shd w:val="clear" w:color="auto" w:fill="auto"/>
            <w:noWrap/>
            <w:vAlign w:val="bottom"/>
            <w:hideMark/>
          </w:tcPr>
          <w:p w:rsidR="00DC5F9D" w:rsidRPr="006B12D2" w:rsidRDefault="00DC5F9D" w:rsidP="001A64B4">
            <w:pPr>
              <w:rPr>
                <w:rFonts w:ascii="Calibri" w:hAnsi="Calibri" w:cs="Calibri"/>
                <w:b/>
                <w:color w:val="000000"/>
                <w:szCs w:val="22"/>
                <w:lang w:val="en-NZ" w:eastAsia="en-NZ"/>
              </w:rPr>
            </w:pPr>
            <w:r w:rsidRPr="006B12D2">
              <w:rPr>
                <w:rFonts w:ascii="Calibri" w:hAnsi="Calibri" w:cs="Calibri"/>
                <w:b/>
                <w:color w:val="000000"/>
                <w:szCs w:val="22"/>
                <w:lang w:val="en-NZ" w:eastAsia="en-NZ"/>
              </w:rPr>
              <w:t>Achieved Vocational Pathway</w:t>
            </w:r>
            <w:r>
              <w:rPr>
                <w:rFonts w:ascii="Calibri" w:hAnsi="Calibri" w:cs="Calibri"/>
                <w:b/>
                <w:color w:val="000000"/>
                <w:szCs w:val="22"/>
                <w:lang w:val="en-NZ" w:eastAsia="en-NZ"/>
              </w:rPr>
              <w:t xml:space="preserve"> Award</w:t>
            </w:r>
          </w:p>
        </w:tc>
        <w:tc>
          <w:tcPr>
            <w:tcW w:w="2400" w:type="dxa"/>
            <w:gridSpan w:val="3"/>
            <w:shd w:val="clear" w:color="auto" w:fill="auto"/>
            <w:noWrap/>
            <w:vAlign w:val="bottom"/>
            <w:hideMark/>
          </w:tcPr>
          <w:p w:rsidR="00DC5F9D" w:rsidRPr="006B12D2" w:rsidRDefault="00DC5F9D" w:rsidP="001A64B4">
            <w:pPr>
              <w:rPr>
                <w:rFonts w:ascii="Calibri" w:hAnsi="Calibri" w:cs="Calibri"/>
                <w:b/>
                <w:color w:val="000000"/>
                <w:szCs w:val="22"/>
                <w:lang w:val="en-NZ" w:eastAsia="en-NZ"/>
              </w:rPr>
            </w:pPr>
            <w:r w:rsidRPr="006B12D2">
              <w:rPr>
                <w:rFonts w:ascii="Calibri" w:hAnsi="Calibri" w:cs="Calibri"/>
                <w:b/>
                <w:color w:val="000000"/>
                <w:szCs w:val="22"/>
                <w:lang w:val="en-NZ" w:eastAsia="en-NZ"/>
              </w:rPr>
              <w:t>Percent achieving NCEA Level 2 with Vocational Pathway</w:t>
            </w:r>
            <w:r>
              <w:rPr>
                <w:rFonts w:ascii="Calibri" w:hAnsi="Calibri" w:cs="Calibri"/>
                <w:b/>
                <w:color w:val="000000"/>
                <w:szCs w:val="22"/>
                <w:lang w:val="en-NZ" w:eastAsia="en-NZ"/>
              </w:rPr>
              <w:t xml:space="preserve"> Award</w:t>
            </w:r>
          </w:p>
        </w:tc>
      </w:tr>
      <w:tr w:rsidR="00DC5F9D" w:rsidRPr="006B12D2" w:rsidTr="001A64B4">
        <w:trPr>
          <w:trHeight w:val="300"/>
        </w:trPr>
        <w:tc>
          <w:tcPr>
            <w:tcW w:w="3843" w:type="dxa"/>
            <w:vMerge/>
            <w:tcBorders>
              <w:bottom w:val="single" w:sz="6" w:space="0" w:color="auto"/>
            </w:tcBorders>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622" w:type="dxa"/>
            <w:tcBorders>
              <w:bottom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2012</w:t>
            </w:r>
          </w:p>
        </w:tc>
        <w:tc>
          <w:tcPr>
            <w:tcW w:w="940" w:type="dxa"/>
            <w:tcBorders>
              <w:bottom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2013</w:t>
            </w:r>
          </w:p>
        </w:tc>
        <w:tc>
          <w:tcPr>
            <w:tcW w:w="1010" w:type="dxa"/>
            <w:tcBorders>
              <w:bottom w:val="single" w:sz="6" w:space="0" w:color="auto"/>
            </w:tcBorders>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r>
              <w:rPr>
                <w:rFonts w:ascii="Calibri" w:hAnsi="Calibri" w:cs="Calibri"/>
                <w:color w:val="000000"/>
                <w:szCs w:val="22"/>
                <w:lang w:val="en-NZ" w:eastAsia="en-NZ"/>
              </w:rPr>
              <w:t>2012-2013</w:t>
            </w:r>
          </w:p>
        </w:tc>
        <w:tc>
          <w:tcPr>
            <w:tcW w:w="708" w:type="dxa"/>
            <w:tcBorders>
              <w:bottom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2012</w:t>
            </w:r>
          </w:p>
        </w:tc>
        <w:tc>
          <w:tcPr>
            <w:tcW w:w="708" w:type="dxa"/>
            <w:tcBorders>
              <w:bottom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2013</w:t>
            </w:r>
          </w:p>
        </w:tc>
        <w:tc>
          <w:tcPr>
            <w:tcW w:w="984" w:type="dxa"/>
            <w:tcBorders>
              <w:bottom w:val="single" w:sz="6" w:space="0" w:color="auto"/>
            </w:tcBorders>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r w:rsidRPr="006B12D2">
              <w:rPr>
                <w:rFonts w:ascii="Calibri" w:hAnsi="Calibri" w:cs="Calibri"/>
                <w:color w:val="000000"/>
                <w:szCs w:val="22"/>
                <w:lang w:val="en-NZ" w:eastAsia="en-NZ"/>
              </w:rPr>
              <w:t>% increase</w:t>
            </w:r>
          </w:p>
        </w:tc>
      </w:tr>
      <w:tr w:rsidR="00DC5F9D" w:rsidRPr="006B12D2" w:rsidTr="001A64B4">
        <w:trPr>
          <w:trHeight w:val="300"/>
        </w:trPr>
        <w:tc>
          <w:tcPr>
            <w:tcW w:w="3843" w:type="dxa"/>
            <w:tcBorders>
              <w:top w:val="single" w:sz="6" w:space="0" w:color="auto"/>
              <w:bottom w:val="single" w:sz="6" w:space="0" w:color="auto"/>
            </w:tcBorders>
            <w:shd w:val="clear" w:color="auto" w:fill="FABF8F" w:themeFill="accent6" w:themeFillTint="99"/>
            <w:noWrap/>
            <w:vAlign w:val="bottom"/>
            <w:hideMark/>
          </w:tcPr>
          <w:p w:rsidR="00DC5F9D" w:rsidRPr="006B12D2" w:rsidRDefault="00DC5F9D" w:rsidP="001A64B4">
            <w:pPr>
              <w:rPr>
                <w:rFonts w:ascii="Calibri" w:hAnsi="Calibri" w:cs="Calibri"/>
                <w:b/>
                <w:color w:val="000000"/>
                <w:szCs w:val="22"/>
                <w:lang w:val="en-NZ" w:eastAsia="en-NZ"/>
              </w:rPr>
            </w:pPr>
            <w:r w:rsidRPr="006B12D2">
              <w:rPr>
                <w:rFonts w:ascii="Calibri" w:hAnsi="Calibri" w:cs="Calibri"/>
                <w:b/>
                <w:color w:val="000000"/>
                <w:szCs w:val="22"/>
                <w:lang w:val="en-NZ" w:eastAsia="en-NZ"/>
              </w:rPr>
              <w:t>Construction and Infrastructure</w:t>
            </w:r>
          </w:p>
        </w:tc>
        <w:tc>
          <w:tcPr>
            <w:tcW w:w="622" w:type="dxa"/>
            <w:tcBorders>
              <w:top w:val="single" w:sz="6" w:space="0" w:color="auto"/>
              <w:bottom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7,394</w:t>
            </w:r>
          </w:p>
        </w:tc>
        <w:tc>
          <w:tcPr>
            <w:tcW w:w="940" w:type="dxa"/>
            <w:tcBorders>
              <w:top w:val="single" w:sz="6" w:space="0" w:color="auto"/>
              <w:bottom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15,688</w:t>
            </w:r>
          </w:p>
        </w:tc>
        <w:tc>
          <w:tcPr>
            <w:tcW w:w="1010" w:type="dxa"/>
            <w:tcBorders>
              <w:top w:val="single" w:sz="6" w:space="0" w:color="auto"/>
              <w:bottom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8,294</w:t>
            </w:r>
          </w:p>
        </w:tc>
        <w:tc>
          <w:tcPr>
            <w:tcW w:w="708" w:type="dxa"/>
            <w:tcBorders>
              <w:top w:val="single" w:sz="6" w:space="0" w:color="auto"/>
              <w:bottom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9.3</w:t>
            </w:r>
          </w:p>
        </w:tc>
        <w:tc>
          <w:tcPr>
            <w:tcW w:w="708" w:type="dxa"/>
            <w:tcBorders>
              <w:top w:val="single" w:sz="6" w:space="0" w:color="auto"/>
              <w:bottom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19.0</w:t>
            </w:r>
          </w:p>
        </w:tc>
        <w:tc>
          <w:tcPr>
            <w:tcW w:w="984" w:type="dxa"/>
            <w:tcBorders>
              <w:top w:val="single" w:sz="6" w:space="0" w:color="auto"/>
              <w:bottom w:val="single" w:sz="6" w:space="0" w:color="auto"/>
            </w:tcBorders>
            <w:shd w:val="clear" w:color="auto" w:fill="auto"/>
            <w:noWrap/>
            <w:vAlign w:val="bottom"/>
            <w:hideMark/>
          </w:tcPr>
          <w:p w:rsidR="00DC5F9D" w:rsidRPr="006B12D2" w:rsidRDefault="00DC5F9D" w:rsidP="001A64B4">
            <w:pPr>
              <w:jc w:val="right"/>
              <w:rPr>
                <w:rFonts w:ascii="Calibri" w:hAnsi="Calibri" w:cs="Calibri"/>
                <w:szCs w:val="22"/>
                <w:lang w:val="en-NZ" w:eastAsia="en-NZ"/>
              </w:rPr>
            </w:pPr>
            <w:r w:rsidRPr="006B12D2">
              <w:rPr>
                <w:rFonts w:ascii="Calibri" w:hAnsi="Calibri" w:cs="Calibri"/>
                <w:color w:val="000000"/>
                <w:szCs w:val="22"/>
                <w:lang w:val="en-NZ" w:eastAsia="en-NZ"/>
              </w:rPr>
              <w:t>112</w:t>
            </w:r>
          </w:p>
        </w:tc>
      </w:tr>
      <w:tr w:rsidR="00DC5F9D" w:rsidRPr="006B12D2" w:rsidTr="001A64B4">
        <w:trPr>
          <w:trHeight w:val="300"/>
        </w:trPr>
        <w:tc>
          <w:tcPr>
            <w:tcW w:w="3843" w:type="dxa"/>
            <w:tcBorders>
              <w:top w:val="single" w:sz="6" w:space="0" w:color="auto"/>
              <w:bottom w:val="single" w:sz="6" w:space="0" w:color="auto"/>
            </w:tcBorders>
            <w:shd w:val="clear" w:color="auto" w:fill="FF0000"/>
            <w:noWrap/>
            <w:vAlign w:val="bottom"/>
            <w:hideMark/>
          </w:tcPr>
          <w:p w:rsidR="00DC5F9D" w:rsidRPr="006B12D2" w:rsidRDefault="00DC5F9D" w:rsidP="001A64B4">
            <w:pPr>
              <w:rPr>
                <w:rFonts w:ascii="Calibri" w:hAnsi="Calibri" w:cs="Calibri"/>
                <w:b/>
                <w:color w:val="000000"/>
                <w:szCs w:val="22"/>
                <w:lang w:val="en-NZ" w:eastAsia="en-NZ"/>
              </w:rPr>
            </w:pPr>
            <w:r w:rsidRPr="006B12D2">
              <w:rPr>
                <w:rFonts w:ascii="Calibri" w:hAnsi="Calibri" w:cs="Calibri"/>
                <w:b/>
                <w:color w:val="000000"/>
                <w:szCs w:val="22"/>
                <w:lang w:val="en-NZ" w:eastAsia="en-NZ"/>
              </w:rPr>
              <w:t>Manufacturing and Technology</w:t>
            </w:r>
          </w:p>
        </w:tc>
        <w:tc>
          <w:tcPr>
            <w:tcW w:w="622" w:type="dxa"/>
            <w:tcBorders>
              <w:top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2,736</w:t>
            </w:r>
          </w:p>
        </w:tc>
        <w:tc>
          <w:tcPr>
            <w:tcW w:w="940" w:type="dxa"/>
            <w:tcBorders>
              <w:top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5,780</w:t>
            </w:r>
          </w:p>
        </w:tc>
        <w:tc>
          <w:tcPr>
            <w:tcW w:w="1010" w:type="dxa"/>
            <w:tcBorders>
              <w:top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3,044</w:t>
            </w:r>
          </w:p>
        </w:tc>
        <w:tc>
          <w:tcPr>
            <w:tcW w:w="708" w:type="dxa"/>
            <w:tcBorders>
              <w:top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3.4</w:t>
            </w:r>
          </w:p>
        </w:tc>
        <w:tc>
          <w:tcPr>
            <w:tcW w:w="708" w:type="dxa"/>
            <w:tcBorders>
              <w:top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7.0</w:t>
            </w:r>
          </w:p>
        </w:tc>
        <w:tc>
          <w:tcPr>
            <w:tcW w:w="984" w:type="dxa"/>
            <w:tcBorders>
              <w:top w:val="single" w:sz="6" w:space="0" w:color="auto"/>
            </w:tcBorders>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111</w:t>
            </w:r>
          </w:p>
        </w:tc>
      </w:tr>
      <w:tr w:rsidR="00DC5F9D" w:rsidRPr="006B12D2" w:rsidTr="001A64B4">
        <w:trPr>
          <w:trHeight w:val="300"/>
        </w:trPr>
        <w:tc>
          <w:tcPr>
            <w:tcW w:w="3843" w:type="dxa"/>
            <w:tcBorders>
              <w:top w:val="single" w:sz="6" w:space="0" w:color="auto"/>
              <w:bottom w:val="single" w:sz="6" w:space="0" w:color="auto"/>
            </w:tcBorders>
            <w:shd w:val="clear" w:color="auto" w:fill="C2D69B" w:themeFill="accent3" w:themeFillTint="99"/>
            <w:noWrap/>
            <w:vAlign w:val="bottom"/>
            <w:hideMark/>
          </w:tcPr>
          <w:p w:rsidR="00DC5F9D" w:rsidRPr="006B12D2" w:rsidRDefault="00DC5F9D" w:rsidP="001A64B4">
            <w:pPr>
              <w:rPr>
                <w:rFonts w:ascii="Calibri" w:hAnsi="Calibri" w:cs="Calibri"/>
                <w:b/>
                <w:color w:val="000000"/>
                <w:szCs w:val="22"/>
                <w:lang w:val="en-NZ" w:eastAsia="en-NZ"/>
              </w:rPr>
            </w:pPr>
            <w:r w:rsidRPr="006B12D2">
              <w:rPr>
                <w:rFonts w:ascii="Calibri" w:hAnsi="Calibri" w:cs="Calibri"/>
                <w:b/>
                <w:color w:val="000000"/>
                <w:szCs w:val="22"/>
                <w:lang w:val="en-NZ" w:eastAsia="en-NZ"/>
              </w:rPr>
              <w:t>Primary Industries</w:t>
            </w:r>
          </w:p>
        </w:tc>
        <w:tc>
          <w:tcPr>
            <w:tcW w:w="622"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10,963</w:t>
            </w:r>
          </w:p>
        </w:tc>
        <w:tc>
          <w:tcPr>
            <w:tcW w:w="940"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23,559</w:t>
            </w:r>
          </w:p>
        </w:tc>
        <w:tc>
          <w:tcPr>
            <w:tcW w:w="1010"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12,596</w:t>
            </w:r>
          </w:p>
        </w:tc>
        <w:tc>
          <w:tcPr>
            <w:tcW w:w="708"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13.7</w:t>
            </w:r>
          </w:p>
        </w:tc>
        <w:tc>
          <w:tcPr>
            <w:tcW w:w="708"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28.5</w:t>
            </w:r>
          </w:p>
        </w:tc>
        <w:tc>
          <w:tcPr>
            <w:tcW w:w="984"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11</w:t>
            </w:r>
            <w:r>
              <w:rPr>
                <w:rFonts w:ascii="Calibri" w:hAnsi="Calibri" w:cs="Calibri"/>
                <w:color w:val="000000"/>
                <w:szCs w:val="22"/>
                <w:lang w:val="en-NZ" w:eastAsia="en-NZ"/>
              </w:rPr>
              <w:t>5</w:t>
            </w:r>
          </w:p>
        </w:tc>
      </w:tr>
      <w:tr w:rsidR="00DC5F9D" w:rsidRPr="006B12D2" w:rsidTr="001A64B4">
        <w:trPr>
          <w:trHeight w:val="300"/>
        </w:trPr>
        <w:tc>
          <w:tcPr>
            <w:tcW w:w="3843" w:type="dxa"/>
            <w:tcBorders>
              <w:top w:val="single" w:sz="6" w:space="0" w:color="auto"/>
              <w:bottom w:val="single" w:sz="6" w:space="0" w:color="auto"/>
            </w:tcBorders>
            <w:shd w:val="clear" w:color="auto" w:fill="92CDDC" w:themeFill="accent5" w:themeFillTint="99"/>
            <w:noWrap/>
            <w:vAlign w:val="bottom"/>
            <w:hideMark/>
          </w:tcPr>
          <w:p w:rsidR="00DC5F9D" w:rsidRPr="006B12D2" w:rsidRDefault="00DC5F9D" w:rsidP="001A64B4">
            <w:pPr>
              <w:rPr>
                <w:rFonts w:ascii="Calibri" w:hAnsi="Calibri" w:cs="Calibri"/>
                <w:b/>
                <w:color w:val="000000"/>
                <w:szCs w:val="22"/>
                <w:lang w:val="en-NZ" w:eastAsia="en-NZ"/>
              </w:rPr>
            </w:pPr>
            <w:r w:rsidRPr="006B12D2">
              <w:rPr>
                <w:rFonts w:ascii="Calibri" w:hAnsi="Calibri" w:cs="Calibri"/>
                <w:b/>
                <w:color w:val="000000"/>
                <w:szCs w:val="22"/>
                <w:lang w:val="en-NZ" w:eastAsia="en-NZ"/>
              </w:rPr>
              <w:t>Services Industries</w:t>
            </w:r>
          </w:p>
        </w:tc>
        <w:tc>
          <w:tcPr>
            <w:tcW w:w="622"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5,850</w:t>
            </w:r>
          </w:p>
        </w:tc>
        <w:tc>
          <w:tcPr>
            <w:tcW w:w="940"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13,946</w:t>
            </w:r>
          </w:p>
        </w:tc>
        <w:tc>
          <w:tcPr>
            <w:tcW w:w="1010"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8,096</w:t>
            </w:r>
          </w:p>
        </w:tc>
        <w:tc>
          <w:tcPr>
            <w:tcW w:w="708"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7.3</w:t>
            </w:r>
          </w:p>
        </w:tc>
        <w:tc>
          <w:tcPr>
            <w:tcW w:w="708"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16.9</w:t>
            </w:r>
          </w:p>
        </w:tc>
        <w:tc>
          <w:tcPr>
            <w:tcW w:w="984"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138</w:t>
            </w:r>
          </w:p>
        </w:tc>
      </w:tr>
      <w:tr w:rsidR="00DC5F9D" w:rsidRPr="006B12D2" w:rsidTr="001A64B4">
        <w:trPr>
          <w:trHeight w:val="300"/>
        </w:trPr>
        <w:tc>
          <w:tcPr>
            <w:tcW w:w="3843" w:type="dxa"/>
            <w:tcBorders>
              <w:top w:val="single" w:sz="6" w:space="0" w:color="auto"/>
              <w:bottom w:val="single" w:sz="6" w:space="0" w:color="auto"/>
            </w:tcBorders>
            <w:shd w:val="clear" w:color="auto" w:fill="B2A1C7" w:themeFill="accent4" w:themeFillTint="99"/>
            <w:noWrap/>
            <w:vAlign w:val="bottom"/>
            <w:hideMark/>
          </w:tcPr>
          <w:p w:rsidR="00DC5F9D" w:rsidRPr="006B12D2" w:rsidRDefault="00DC5F9D" w:rsidP="001A64B4">
            <w:pPr>
              <w:rPr>
                <w:rFonts w:ascii="Calibri" w:hAnsi="Calibri" w:cs="Calibri"/>
                <w:b/>
                <w:color w:val="000000"/>
                <w:szCs w:val="22"/>
                <w:lang w:val="en-NZ" w:eastAsia="en-NZ"/>
              </w:rPr>
            </w:pPr>
            <w:r w:rsidRPr="006B12D2">
              <w:rPr>
                <w:rFonts w:ascii="Calibri" w:hAnsi="Calibri" w:cs="Calibri"/>
                <w:b/>
                <w:color w:val="000000"/>
                <w:szCs w:val="22"/>
                <w:lang w:val="en-NZ" w:eastAsia="en-NZ"/>
              </w:rPr>
              <w:t>Social and Community Services</w:t>
            </w:r>
          </w:p>
        </w:tc>
        <w:tc>
          <w:tcPr>
            <w:tcW w:w="622"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5,584</w:t>
            </w:r>
          </w:p>
        </w:tc>
        <w:tc>
          <w:tcPr>
            <w:tcW w:w="940"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12,664</w:t>
            </w:r>
          </w:p>
        </w:tc>
        <w:tc>
          <w:tcPr>
            <w:tcW w:w="1010"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7,080</w:t>
            </w:r>
          </w:p>
        </w:tc>
        <w:tc>
          <w:tcPr>
            <w:tcW w:w="708"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7.0</w:t>
            </w:r>
          </w:p>
        </w:tc>
        <w:tc>
          <w:tcPr>
            <w:tcW w:w="708"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15.3</w:t>
            </w:r>
          </w:p>
        </w:tc>
        <w:tc>
          <w:tcPr>
            <w:tcW w:w="984"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12</w:t>
            </w:r>
            <w:r>
              <w:rPr>
                <w:rFonts w:ascii="Calibri" w:hAnsi="Calibri" w:cs="Calibri"/>
                <w:color w:val="000000"/>
                <w:szCs w:val="22"/>
                <w:lang w:val="en-NZ" w:eastAsia="en-NZ"/>
              </w:rPr>
              <w:t>7</w:t>
            </w:r>
          </w:p>
        </w:tc>
      </w:tr>
      <w:tr w:rsidR="00DC5F9D" w:rsidRPr="006B12D2" w:rsidTr="001A64B4">
        <w:trPr>
          <w:trHeight w:val="300"/>
        </w:trPr>
        <w:tc>
          <w:tcPr>
            <w:tcW w:w="3843" w:type="dxa"/>
            <w:tcBorders>
              <w:top w:val="single" w:sz="6" w:space="0" w:color="auto"/>
            </w:tcBorders>
            <w:shd w:val="clear" w:color="auto" w:fill="auto"/>
            <w:noWrap/>
            <w:vAlign w:val="bottom"/>
            <w:hideMark/>
          </w:tcPr>
          <w:p w:rsidR="00DC5F9D" w:rsidRPr="006B12D2" w:rsidRDefault="00DC5F9D" w:rsidP="001A64B4">
            <w:pPr>
              <w:rPr>
                <w:rFonts w:ascii="Calibri" w:hAnsi="Calibri" w:cs="Calibri"/>
                <w:b/>
                <w:color w:val="000000"/>
                <w:szCs w:val="22"/>
                <w:lang w:val="en-NZ" w:eastAsia="en-NZ"/>
              </w:rPr>
            </w:pPr>
          </w:p>
        </w:tc>
        <w:tc>
          <w:tcPr>
            <w:tcW w:w="622"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940"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1010"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708"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708"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984"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r>
      <w:tr w:rsidR="00DC5F9D" w:rsidRPr="006B12D2" w:rsidTr="001A64B4">
        <w:trPr>
          <w:trHeight w:val="300"/>
        </w:trPr>
        <w:tc>
          <w:tcPr>
            <w:tcW w:w="3843" w:type="dxa"/>
            <w:shd w:val="clear" w:color="auto" w:fill="auto"/>
            <w:noWrap/>
            <w:vAlign w:val="bottom"/>
            <w:hideMark/>
          </w:tcPr>
          <w:p w:rsidR="00DC5F9D" w:rsidRPr="006B12D2" w:rsidRDefault="00DC5F9D" w:rsidP="001A64B4">
            <w:pPr>
              <w:rPr>
                <w:rFonts w:ascii="Calibri" w:hAnsi="Calibri" w:cs="Calibri"/>
                <w:b/>
                <w:color w:val="000000"/>
                <w:szCs w:val="22"/>
                <w:lang w:val="en-NZ" w:eastAsia="en-NZ"/>
              </w:rPr>
            </w:pPr>
            <w:r w:rsidRPr="006B12D2">
              <w:rPr>
                <w:rFonts w:ascii="Calibri" w:hAnsi="Calibri" w:cs="Calibri"/>
                <w:b/>
                <w:color w:val="000000"/>
                <w:szCs w:val="22"/>
                <w:lang w:val="en-NZ" w:eastAsia="en-NZ"/>
              </w:rPr>
              <w:t>Total awards</w:t>
            </w:r>
          </w:p>
        </w:tc>
        <w:tc>
          <w:tcPr>
            <w:tcW w:w="622"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32,527</w:t>
            </w:r>
          </w:p>
        </w:tc>
        <w:tc>
          <w:tcPr>
            <w:tcW w:w="940"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71,637</w:t>
            </w:r>
          </w:p>
        </w:tc>
        <w:tc>
          <w:tcPr>
            <w:tcW w:w="1010"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39,110</w:t>
            </w:r>
          </w:p>
        </w:tc>
        <w:tc>
          <w:tcPr>
            <w:tcW w:w="708"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708"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984"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120</w:t>
            </w:r>
          </w:p>
        </w:tc>
      </w:tr>
      <w:tr w:rsidR="00DC5F9D" w:rsidRPr="006B12D2" w:rsidTr="001A64B4">
        <w:trPr>
          <w:trHeight w:val="300"/>
        </w:trPr>
        <w:tc>
          <w:tcPr>
            <w:tcW w:w="3843" w:type="dxa"/>
            <w:shd w:val="clear" w:color="auto" w:fill="auto"/>
            <w:noWrap/>
            <w:vAlign w:val="bottom"/>
            <w:hideMark/>
          </w:tcPr>
          <w:p w:rsidR="00DC5F9D" w:rsidRPr="006B12D2" w:rsidRDefault="00DC5F9D" w:rsidP="001A64B4">
            <w:pPr>
              <w:rPr>
                <w:rFonts w:ascii="Calibri" w:hAnsi="Calibri" w:cs="Calibri"/>
                <w:b/>
                <w:color w:val="000000"/>
                <w:szCs w:val="22"/>
                <w:lang w:val="en-NZ" w:eastAsia="en-NZ"/>
              </w:rPr>
            </w:pPr>
          </w:p>
        </w:tc>
        <w:tc>
          <w:tcPr>
            <w:tcW w:w="622"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940"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1010"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708"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708"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984"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r>
      <w:tr w:rsidR="00DC5F9D" w:rsidRPr="006B12D2" w:rsidTr="001A64B4">
        <w:trPr>
          <w:trHeight w:val="300"/>
        </w:trPr>
        <w:tc>
          <w:tcPr>
            <w:tcW w:w="3843" w:type="dxa"/>
            <w:shd w:val="clear" w:color="auto" w:fill="auto"/>
            <w:noWrap/>
            <w:vAlign w:val="bottom"/>
            <w:hideMark/>
          </w:tcPr>
          <w:p w:rsidR="00DC5F9D" w:rsidRPr="006B12D2" w:rsidRDefault="00DC5F9D" w:rsidP="001A64B4">
            <w:pPr>
              <w:rPr>
                <w:rFonts w:ascii="Calibri" w:hAnsi="Calibri" w:cs="Calibri"/>
                <w:b/>
                <w:color w:val="000000"/>
                <w:szCs w:val="22"/>
                <w:lang w:val="en-NZ" w:eastAsia="en-NZ"/>
              </w:rPr>
            </w:pPr>
            <w:r w:rsidRPr="006B12D2">
              <w:rPr>
                <w:rFonts w:ascii="Calibri" w:hAnsi="Calibri" w:cs="Calibri"/>
                <w:b/>
                <w:color w:val="000000"/>
                <w:szCs w:val="22"/>
                <w:lang w:val="en-NZ" w:eastAsia="en-NZ"/>
              </w:rPr>
              <w:t>Total students gaining awards</w:t>
            </w:r>
          </w:p>
        </w:tc>
        <w:tc>
          <w:tcPr>
            <w:tcW w:w="622"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15,900</w:t>
            </w:r>
          </w:p>
        </w:tc>
        <w:tc>
          <w:tcPr>
            <w:tcW w:w="940"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34,598</w:t>
            </w:r>
          </w:p>
        </w:tc>
        <w:tc>
          <w:tcPr>
            <w:tcW w:w="1010"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18,698</w:t>
            </w:r>
          </w:p>
        </w:tc>
        <w:tc>
          <w:tcPr>
            <w:tcW w:w="708"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19.9</w:t>
            </w:r>
          </w:p>
        </w:tc>
        <w:tc>
          <w:tcPr>
            <w:tcW w:w="708"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41.9</w:t>
            </w:r>
          </w:p>
        </w:tc>
        <w:tc>
          <w:tcPr>
            <w:tcW w:w="984"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11</w:t>
            </w:r>
            <w:r>
              <w:rPr>
                <w:rFonts w:ascii="Calibri" w:hAnsi="Calibri" w:cs="Calibri"/>
                <w:color w:val="000000"/>
                <w:szCs w:val="22"/>
                <w:lang w:val="en-NZ" w:eastAsia="en-NZ"/>
              </w:rPr>
              <w:t>8</w:t>
            </w:r>
          </w:p>
        </w:tc>
      </w:tr>
      <w:tr w:rsidR="00DC5F9D" w:rsidRPr="006B12D2" w:rsidTr="001A64B4">
        <w:trPr>
          <w:trHeight w:val="300"/>
        </w:trPr>
        <w:tc>
          <w:tcPr>
            <w:tcW w:w="3843" w:type="dxa"/>
            <w:shd w:val="clear" w:color="auto" w:fill="auto"/>
            <w:noWrap/>
            <w:vAlign w:val="bottom"/>
            <w:hideMark/>
          </w:tcPr>
          <w:p w:rsidR="00DC5F9D" w:rsidRPr="006B12D2" w:rsidRDefault="00DC5F9D" w:rsidP="001A64B4">
            <w:pPr>
              <w:rPr>
                <w:rFonts w:ascii="Calibri" w:hAnsi="Calibri" w:cs="Calibri"/>
                <w:b/>
                <w:color w:val="000000"/>
                <w:szCs w:val="22"/>
                <w:lang w:val="en-NZ" w:eastAsia="en-NZ"/>
              </w:rPr>
            </w:pPr>
          </w:p>
        </w:tc>
        <w:tc>
          <w:tcPr>
            <w:tcW w:w="622"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940"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1010"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708"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708"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984"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r>
      <w:tr w:rsidR="00DC5F9D" w:rsidRPr="006B12D2" w:rsidTr="001A64B4">
        <w:trPr>
          <w:trHeight w:val="300"/>
        </w:trPr>
        <w:tc>
          <w:tcPr>
            <w:tcW w:w="3843" w:type="dxa"/>
            <w:shd w:val="clear" w:color="auto" w:fill="auto"/>
            <w:noWrap/>
            <w:vAlign w:val="bottom"/>
            <w:hideMark/>
          </w:tcPr>
          <w:p w:rsidR="00DC5F9D" w:rsidRPr="006B12D2" w:rsidRDefault="00DC5F9D" w:rsidP="001A64B4">
            <w:pPr>
              <w:rPr>
                <w:rFonts w:ascii="Calibri" w:hAnsi="Calibri" w:cs="Calibri"/>
                <w:b/>
                <w:color w:val="000000"/>
                <w:szCs w:val="22"/>
                <w:lang w:val="en-NZ" w:eastAsia="en-NZ"/>
              </w:rPr>
            </w:pPr>
            <w:r w:rsidRPr="006B12D2">
              <w:rPr>
                <w:rFonts w:ascii="Calibri" w:hAnsi="Calibri" w:cs="Calibri"/>
                <w:b/>
                <w:color w:val="000000"/>
                <w:szCs w:val="22"/>
                <w:lang w:val="en-NZ" w:eastAsia="en-NZ"/>
              </w:rPr>
              <w:t>Total students</w:t>
            </w:r>
          </w:p>
        </w:tc>
        <w:tc>
          <w:tcPr>
            <w:tcW w:w="622"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164,087</w:t>
            </w:r>
          </w:p>
        </w:tc>
        <w:tc>
          <w:tcPr>
            <w:tcW w:w="940"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163,651</w:t>
            </w:r>
          </w:p>
        </w:tc>
        <w:tc>
          <w:tcPr>
            <w:tcW w:w="1010"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-436</w:t>
            </w:r>
          </w:p>
        </w:tc>
        <w:tc>
          <w:tcPr>
            <w:tcW w:w="708"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708" w:type="dxa"/>
            <w:shd w:val="clear" w:color="auto" w:fill="auto"/>
            <w:noWrap/>
            <w:vAlign w:val="bottom"/>
            <w:hideMark/>
          </w:tcPr>
          <w:p w:rsidR="00DC5F9D" w:rsidRPr="006B12D2" w:rsidRDefault="00DC5F9D" w:rsidP="001A64B4">
            <w:pPr>
              <w:rPr>
                <w:rFonts w:ascii="Calibri" w:hAnsi="Calibri" w:cs="Calibri"/>
                <w:color w:val="000000"/>
                <w:szCs w:val="22"/>
                <w:lang w:val="en-NZ" w:eastAsia="en-NZ"/>
              </w:rPr>
            </w:pPr>
          </w:p>
        </w:tc>
        <w:tc>
          <w:tcPr>
            <w:tcW w:w="984"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p>
        </w:tc>
      </w:tr>
      <w:tr w:rsidR="00DC5F9D" w:rsidRPr="006B12D2" w:rsidTr="001A64B4">
        <w:trPr>
          <w:trHeight w:val="300"/>
        </w:trPr>
        <w:tc>
          <w:tcPr>
            <w:tcW w:w="3843" w:type="dxa"/>
            <w:shd w:val="clear" w:color="auto" w:fill="auto"/>
            <w:noWrap/>
            <w:vAlign w:val="bottom"/>
            <w:hideMark/>
          </w:tcPr>
          <w:p w:rsidR="00DC5F9D" w:rsidRPr="006B12D2" w:rsidRDefault="00DC5F9D" w:rsidP="001A64B4">
            <w:pPr>
              <w:rPr>
                <w:rFonts w:ascii="Calibri" w:hAnsi="Calibri" w:cs="Calibri"/>
                <w:b/>
                <w:color w:val="000000"/>
                <w:szCs w:val="22"/>
                <w:lang w:val="en-NZ" w:eastAsia="en-NZ"/>
              </w:rPr>
            </w:pPr>
            <w:r w:rsidRPr="006B12D2">
              <w:rPr>
                <w:rFonts w:ascii="Calibri" w:hAnsi="Calibri" w:cs="Calibri"/>
                <w:b/>
                <w:color w:val="000000"/>
                <w:szCs w:val="22"/>
                <w:lang w:val="en-NZ" w:eastAsia="en-NZ"/>
              </w:rPr>
              <w:t>Total Students Achieving NCEA Level 2</w:t>
            </w:r>
          </w:p>
        </w:tc>
        <w:tc>
          <w:tcPr>
            <w:tcW w:w="622"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79,801</w:t>
            </w:r>
          </w:p>
        </w:tc>
        <w:tc>
          <w:tcPr>
            <w:tcW w:w="940"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82,618</w:t>
            </w:r>
          </w:p>
        </w:tc>
        <w:tc>
          <w:tcPr>
            <w:tcW w:w="1010"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2,817</w:t>
            </w:r>
          </w:p>
        </w:tc>
        <w:tc>
          <w:tcPr>
            <w:tcW w:w="708"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100%</w:t>
            </w:r>
          </w:p>
        </w:tc>
        <w:tc>
          <w:tcPr>
            <w:tcW w:w="708"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r w:rsidRPr="006B12D2">
              <w:rPr>
                <w:rFonts w:ascii="Calibri" w:hAnsi="Calibri" w:cs="Calibri"/>
                <w:color w:val="000000"/>
                <w:szCs w:val="22"/>
                <w:lang w:val="en-NZ" w:eastAsia="en-NZ"/>
              </w:rPr>
              <w:t>100%</w:t>
            </w:r>
          </w:p>
        </w:tc>
        <w:tc>
          <w:tcPr>
            <w:tcW w:w="984" w:type="dxa"/>
            <w:shd w:val="clear" w:color="auto" w:fill="auto"/>
            <w:noWrap/>
            <w:vAlign w:val="bottom"/>
            <w:hideMark/>
          </w:tcPr>
          <w:p w:rsidR="00DC5F9D" w:rsidRPr="006B12D2" w:rsidRDefault="00DC5F9D" w:rsidP="001A64B4">
            <w:pPr>
              <w:jc w:val="right"/>
              <w:rPr>
                <w:rFonts w:ascii="Calibri" w:hAnsi="Calibri" w:cs="Calibri"/>
                <w:color w:val="000000"/>
                <w:szCs w:val="22"/>
                <w:lang w:val="en-NZ" w:eastAsia="en-NZ"/>
              </w:rPr>
            </w:pPr>
          </w:p>
        </w:tc>
      </w:tr>
    </w:tbl>
    <w:p w:rsidR="00DC5F9D" w:rsidRDefault="00DC5F9D" w:rsidP="00DC5F9D">
      <w:pPr>
        <w:rPr>
          <w:rFonts w:cs="Arial"/>
          <w:szCs w:val="22"/>
        </w:rPr>
      </w:pPr>
    </w:p>
    <w:p w:rsidR="00DC5F9D" w:rsidRDefault="00DC5F9D" w:rsidP="00DC5F9D">
      <w:pPr>
        <w:rPr>
          <w:rFonts w:cs="Arial"/>
          <w:sz w:val="18"/>
          <w:szCs w:val="18"/>
        </w:rPr>
      </w:pPr>
      <w:r>
        <w:rPr>
          <w:rFonts w:cs="Arial"/>
          <w:sz w:val="18"/>
          <w:szCs w:val="18"/>
        </w:rPr>
        <w:t>Source:   New Zealand Qualifications Authority (NZQA), unpublished analysis.</w:t>
      </w:r>
    </w:p>
    <w:p w:rsidR="00DC5F9D" w:rsidRPr="00173648" w:rsidRDefault="00DC5F9D" w:rsidP="00DC5F9D">
      <w:pPr>
        <w:rPr>
          <w:rFonts w:cs="Arial"/>
          <w:sz w:val="18"/>
          <w:szCs w:val="18"/>
        </w:rPr>
      </w:pPr>
      <w:r w:rsidRPr="00173648">
        <w:rPr>
          <w:rFonts w:cs="Arial"/>
          <w:sz w:val="18"/>
          <w:szCs w:val="18"/>
        </w:rPr>
        <w:t>Note</w:t>
      </w:r>
      <w:r>
        <w:rPr>
          <w:rFonts w:cs="Arial"/>
          <w:sz w:val="18"/>
          <w:szCs w:val="18"/>
        </w:rPr>
        <w:t>s</w:t>
      </w:r>
      <w:r w:rsidRPr="00173648">
        <w:rPr>
          <w:rFonts w:cs="Arial"/>
          <w:sz w:val="18"/>
          <w:szCs w:val="18"/>
        </w:rPr>
        <w:t xml:space="preserve">: </w:t>
      </w:r>
      <w:r>
        <w:rPr>
          <w:rFonts w:cs="Arial"/>
          <w:sz w:val="18"/>
          <w:szCs w:val="18"/>
        </w:rPr>
        <w:t xml:space="preserve">    1. </w:t>
      </w:r>
      <w:r w:rsidRPr="00173648">
        <w:rPr>
          <w:rFonts w:cs="Arial"/>
          <w:sz w:val="18"/>
          <w:szCs w:val="18"/>
        </w:rPr>
        <w:t>2013 NCEA data is provisional</w:t>
      </w:r>
    </w:p>
    <w:p w:rsidR="00DC5F9D" w:rsidRDefault="00DC5F9D" w:rsidP="00DC5F9D">
      <w:pPr>
        <w:ind w:left="720"/>
        <w:rPr>
          <w:rFonts w:cs="Arial"/>
          <w:sz w:val="18"/>
          <w:szCs w:val="18"/>
        </w:rPr>
      </w:pPr>
      <w:r>
        <w:rPr>
          <w:rFonts w:cs="Arial"/>
          <w:sz w:val="18"/>
          <w:szCs w:val="18"/>
        </w:rPr>
        <w:t xml:space="preserve"> 2. </w:t>
      </w:r>
      <w:r w:rsidRPr="00173648">
        <w:rPr>
          <w:rFonts w:cs="Arial"/>
          <w:sz w:val="18"/>
          <w:szCs w:val="18"/>
        </w:rPr>
        <w:t>Vocational Pathways awards are not</w:t>
      </w:r>
      <w:r>
        <w:rPr>
          <w:rFonts w:cs="Arial"/>
          <w:sz w:val="18"/>
          <w:szCs w:val="18"/>
        </w:rPr>
        <w:t xml:space="preserve"> awarded by NZQA until after June 2014. NZQA has      undertaken provisional analysis of datasets to provide estimates for Vocational Pathways awards</w:t>
      </w:r>
      <w:r w:rsidRPr="00173648">
        <w:rPr>
          <w:rFonts w:cs="Arial"/>
          <w:sz w:val="18"/>
          <w:szCs w:val="18"/>
        </w:rPr>
        <w:t xml:space="preserve"> </w:t>
      </w:r>
      <w:r>
        <w:rPr>
          <w:rFonts w:cs="Arial"/>
          <w:sz w:val="18"/>
          <w:szCs w:val="18"/>
        </w:rPr>
        <w:t xml:space="preserve">based on the current Pathways and provisional NCEA results.  </w:t>
      </w:r>
    </w:p>
    <w:p w:rsidR="00DC5F9D" w:rsidRPr="00906E12" w:rsidRDefault="00DC5F9D" w:rsidP="00906E12">
      <w:pPr>
        <w:rPr>
          <w:lang w:val="en-US"/>
        </w:rPr>
      </w:pPr>
    </w:p>
    <w:sectPr w:rsidR="00DC5F9D" w:rsidRPr="00906E12" w:rsidSect="00143A94">
      <w:pgSz w:w="11900" w:h="16840"/>
      <w:pgMar w:top="1418" w:right="1270" w:bottom="1418" w:left="1701" w:header="567" w:footer="851"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4B4" w:rsidRDefault="001A64B4" w:rsidP="0074058D">
      <w:pPr>
        <w:spacing w:line="240" w:lineRule="auto"/>
      </w:pPr>
      <w:r>
        <w:separator/>
      </w:r>
    </w:p>
  </w:endnote>
  <w:endnote w:type="continuationSeparator" w:id="0">
    <w:p w:rsidR="001A64B4" w:rsidRDefault="001A64B4" w:rsidP="0074058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4B4" w:rsidRDefault="007C41DD" w:rsidP="00FB239B">
    <w:pPr>
      <w:pStyle w:val="Footer"/>
      <w:framePr w:wrap="around" w:vAnchor="text" w:hAnchor="margin" w:xAlign="right" w:y="1"/>
      <w:rPr>
        <w:rStyle w:val="PageNumber"/>
      </w:rPr>
    </w:pPr>
    <w:r>
      <w:rPr>
        <w:rStyle w:val="PageNumber"/>
      </w:rPr>
      <w:fldChar w:fldCharType="begin"/>
    </w:r>
    <w:r w:rsidR="001A64B4">
      <w:rPr>
        <w:rStyle w:val="PageNumber"/>
      </w:rPr>
      <w:instrText xml:space="preserve">PAGE  </w:instrText>
    </w:r>
    <w:r>
      <w:rPr>
        <w:rStyle w:val="PageNumber"/>
      </w:rPr>
      <w:fldChar w:fldCharType="end"/>
    </w:r>
  </w:p>
  <w:p w:rsidR="001A64B4" w:rsidRDefault="001A64B4" w:rsidP="00FB239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4B4" w:rsidRDefault="007C41DD" w:rsidP="00FB239B">
    <w:pPr>
      <w:pStyle w:val="Footer"/>
      <w:ind w:right="360"/>
    </w:pPr>
    <w:r>
      <w:pict>
        <v:rect id="_x0000_i1025" style="width:424.8pt;height:1.75pt" o:hrpct="0" o:hralign="center" o:hrstd="t" o:hrnoshade="t" o:hr="t" fillcolor="#004b80" stroked="f"/>
      </w:pict>
    </w:r>
  </w:p>
  <w:p w:rsidR="001A64B4" w:rsidRDefault="007C41DD" w:rsidP="00FB239B">
    <w:pPr>
      <w:pStyle w:val="Footer"/>
      <w:framePr w:wrap="around" w:vAnchor="text" w:hAnchor="page" w:x="10162" w:y="9" w:anchorLock="1"/>
      <w:rPr>
        <w:rStyle w:val="PageNumber"/>
      </w:rPr>
    </w:pPr>
    <w:r>
      <w:rPr>
        <w:rStyle w:val="PageNumber"/>
      </w:rPr>
      <w:fldChar w:fldCharType="begin"/>
    </w:r>
    <w:r w:rsidR="001A64B4">
      <w:rPr>
        <w:rStyle w:val="PageNumber"/>
      </w:rPr>
      <w:instrText xml:space="preserve">PAGE  </w:instrText>
    </w:r>
    <w:r>
      <w:rPr>
        <w:rStyle w:val="PageNumber"/>
      </w:rPr>
      <w:fldChar w:fldCharType="separate"/>
    </w:r>
    <w:r w:rsidR="00C50644">
      <w:rPr>
        <w:rStyle w:val="PageNumber"/>
        <w:noProof/>
      </w:rPr>
      <w:t>15</w:t>
    </w:r>
    <w:r>
      <w:rPr>
        <w:rStyle w:val="PageNumber"/>
      </w:rPr>
      <w:fldChar w:fldCharType="end"/>
    </w:r>
  </w:p>
  <w:p w:rsidR="001A64B4" w:rsidRDefault="001A64B4" w:rsidP="00FB239B">
    <w:pPr>
      <w:pStyle w:val="Footer"/>
      <w:ind w:right="360"/>
      <w:rPr>
        <w:rStyle w:val="PageNumber"/>
      </w:rPr>
    </w:pPr>
  </w:p>
  <w:p w:rsidR="001A64B4" w:rsidRDefault="001A64B4" w:rsidP="00FB23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4B4" w:rsidRDefault="007C41DD" w:rsidP="00FB239B">
    <w:pPr>
      <w:pStyle w:val="Footer"/>
      <w:ind w:right="360"/>
      <w:rPr>
        <w:rStyle w:val="PageNumber"/>
      </w:rPr>
    </w:pPr>
    <w:r>
      <w:pict>
        <v:rect id="_x0000_i1026" style="width:424.8pt;height:1.75pt" o:hrpct="0" o:hralign="center" o:hrstd="t" o:hrnoshade="t" o:hr="t" fillcolor="#004b80" stroked="f"/>
      </w:pict>
    </w:r>
  </w:p>
  <w:p w:rsidR="001A64B4" w:rsidRDefault="007C41DD" w:rsidP="00FB239B">
    <w:pPr>
      <w:pStyle w:val="Footer"/>
      <w:framePr w:wrap="around" w:vAnchor="text" w:hAnchor="page" w:x="10162" w:y="1"/>
      <w:rPr>
        <w:rStyle w:val="PageNumber"/>
      </w:rPr>
    </w:pPr>
    <w:r>
      <w:rPr>
        <w:rStyle w:val="PageNumber"/>
      </w:rPr>
      <w:fldChar w:fldCharType="begin"/>
    </w:r>
    <w:r w:rsidR="001A64B4">
      <w:rPr>
        <w:rStyle w:val="PageNumber"/>
      </w:rPr>
      <w:instrText xml:space="preserve">PAGE  </w:instrText>
    </w:r>
    <w:r>
      <w:rPr>
        <w:rStyle w:val="PageNumber"/>
      </w:rPr>
      <w:fldChar w:fldCharType="separate"/>
    </w:r>
    <w:r w:rsidR="00C50644">
      <w:rPr>
        <w:rStyle w:val="PageNumber"/>
        <w:noProof/>
      </w:rPr>
      <w:t>1</w:t>
    </w:r>
    <w:r>
      <w:rPr>
        <w:rStyle w:val="PageNumber"/>
      </w:rPr>
      <w:fldChar w:fldCharType="end"/>
    </w:r>
  </w:p>
  <w:p w:rsidR="001A64B4" w:rsidRDefault="00D27DA3" w:rsidP="00D27DA3">
    <w:pPr>
      <w:pStyle w:val="Footer"/>
      <w:tabs>
        <w:tab w:val="clear" w:pos="8640"/>
        <w:tab w:val="right" w:pos="8505"/>
      </w:tabs>
    </w:pPr>
    <w:r>
      <w:t xml:space="preserve">ISBN </w:t>
    </w:r>
    <w:r>
      <w:t>978-0-478-43932-8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4B4" w:rsidRDefault="001A64B4" w:rsidP="0074058D">
      <w:pPr>
        <w:spacing w:line="240" w:lineRule="auto"/>
      </w:pPr>
      <w:r>
        <w:separator/>
      </w:r>
    </w:p>
  </w:footnote>
  <w:footnote w:type="continuationSeparator" w:id="0">
    <w:p w:rsidR="001A64B4" w:rsidRDefault="001A64B4" w:rsidP="0074058D">
      <w:pPr>
        <w:spacing w:line="240" w:lineRule="auto"/>
      </w:pPr>
      <w:r>
        <w:continuationSeparator/>
      </w:r>
    </w:p>
  </w:footnote>
  <w:footnote w:id="1">
    <w:p w:rsidR="001A64B4" w:rsidRPr="002C2F0F" w:rsidRDefault="001A64B4" w:rsidP="00FC78EC">
      <w:pPr>
        <w:pStyle w:val="FootnoteText"/>
        <w:rPr>
          <w:sz w:val="18"/>
          <w:szCs w:val="18"/>
          <w:lang w:val="en-NZ"/>
        </w:rPr>
      </w:pPr>
      <w:r w:rsidRPr="00E049E6">
        <w:rPr>
          <w:rStyle w:val="FootnoteReference"/>
          <w:sz w:val="18"/>
          <w:szCs w:val="18"/>
        </w:rPr>
        <w:footnoteRef/>
      </w:r>
      <w:r w:rsidRPr="00E049E6">
        <w:rPr>
          <w:sz w:val="18"/>
          <w:szCs w:val="18"/>
        </w:rPr>
        <w:t xml:space="preserve"> </w:t>
      </w:r>
      <w:r w:rsidRPr="00E049E6">
        <w:rPr>
          <w:sz w:val="18"/>
          <w:szCs w:val="18"/>
          <w:lang w:val="en-NZ"/>
        </w:rPr>
        <w:t xml:space="preserve">A student can receive a Vocational Pathway Award </w:t>
      </w:r>
      <w:r>
        <w:rPr>
          <w:sz w:val="18"/>
          <w:szCs w:val="18"/>
          <w:lang w:val="en-NZ"/>
        </w:rPr>
        <w:t xml:space="preserve">for a sector </w:t>
      </w:r>
      <w:r w:rsidRPr="00E049E6">
        <w:rPr>
          <w:sz w:val="18"/>
          <w:szCs w:val="18"/>
          <w:lang w:val="en-NZ"/>
        </w:rPr>
        <w:t>if they have achieved NCEA Level 2</w:t>
      </w:r>
      <w:r>
        <w:rPr>
          <w:sz w:val="18"/>
          <w:szCs w:val="18"/>
          <w:lang w:val="en-NZ"/>
        </w:rPr>
        <w:t>,</w:t>
      </w:r>
      <w:r w:rsidRPr="00E049E6">
        <w:rPr>
          <w:sz w:val="18"/>
          <w:szCs w:val="18"/>
          <w:lang w:val="en-NZ"/>
        </w:rPr>
        <w:t xml:space="preserve"> with literacy and numeracy requirements, </w:t>
      </w:r>
      <w:r>
        <w:rPr>
          <w:sz w:val="18"/>
          <w:szCs w:val="18"/>
          <w:lang w:val="en-NZ"/>
        </w:rPr>
        <w:t>and have</w:t>
      </w:r>
      <w:r w:rsidRPr="00E049E6">
        <w:rPr>
          <w:sz w:val="18"/>
          <w:szCs w:val="18"/>
          <w:lang w:val="en-NZ"/>
        </w:rPr>
        <w:t xml:space="preserve"> 60 credits from standards recommended by the sector, including 20 credits that are </w:t>
      </w:r>
      <w:r>
        <w:rPr>
          <w:sz w:val="18"/>
          <w:szCs w:val="18"/>
          <w:lang w:val="en-NZ"/>
        </w:rPr>
        <w:t>sector-</w:t>
      </w:r>
      <w:r w:rsidRPr="00E049E6">
        <w:rPr>
          <w:sz w:val="18"/>
          <w:szCs w:val="18"/>
          <w:lang w:val="en-NZ"/>
        </w:rPr>
        <w:t xml:space="preserve">related for the industry.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4B4" w:rsidRDefault="007C41DD" w:rsidP="00DF08B3">
    <w:pPr>
      <w:pStyle w:val="Header"/>
    </w:pPr>
    <w:r w:rsidRPr="007C41D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38.8pt;height:146.25pt;rotation:315;z-index:-251659264;mso-wrap-edited:f;mso-position-horizontal:center;mso-position-horizontal-relative:margin;mso-position-vertical:center;mso-position-vertical-relative:margin" wrapcoords="21304 4098 13993 4209 14584 6535 14547 11298 11852 4541 11483 3766 11335 4320 10338 11298 7975 5316 7310 3876 7163 4209 4910 4209 4836 4652 5464 6646 5427 8972 3212 4320 3027 4430 2769 4320 2104 4098 73 4098 73 4430 664 7310 627 14621 406 16615 73 16836 258 17390 2436 17501 3064 17058 3655 16283 4098 15064 4836 17169 5464 18055 5759 17501 6793 17280 6756 16836 6239 13846 8159 17501 10633 17280 10633 17169 10412 13956 10707 14732 12295 17612 12443 17501 13846 17280 13919 16947 13107 14621 14104 17501 15950 17280 15876 16836 15323 13735 15359 11076 16726 12960 17316 14510 18904 17723 19126 17501 20529 17280 20603 16947 19975 15064 20049 5316 20750 6646 21415 7532 21489 7089 21489 4652 21304 4098" fillcolor="black" stroked="f">
          <v:fill opacity="44564f"/>
          <v:textpath style="font-family:&quot;Times New Roman&quot;;font-size:1pt" string="DRAFT"/>
          <w10:wrap anchorx="margin" anchory="margin"/>
        </v:shape>
      </w:pict>
    </w:r>
    <w:r w:rsidRPr="007C41DD">
      <w:rPr>
        <w:noProof/>
      </w:rPr>
      <w:pict>
        <v:shape id="PowerPlusWaterMarkObject2" o:spid="_x0000_s2049" type="#_x0000_t136" style="position:absolute;margin-left:0;margin-top:0;width:438.8pt;height:146.25pt;rotation:315;z-index:-251660288;mso-wrap-edited:f;mso-position-horizontal:center;mso-position-horizontal-relative:margin;mso-position-vertical:center;mso-position-vertical-relative:margin" wrapcoords="21304 4098 13993 4209 14584 6535 14547 11298 11852 4541 11483 3766 11335 4320 10338 11298 7975 5316 7310 3876 7163 4209 4910 4209 4836 4652 5464 6646 5427 8972 3212 4320 3027 4430 2769 4320 2104 4098 73 4098 73 4430 664 7310 627 14621 406 16615 73 16836 258 17390 2436 17501 3064 17058 3655 16283 4098 15064 4836 17169 5464 18055 5759 17501 6793 17280 6756 16836 6239 13846 8159 17501 10633 17280 10633 17169 10412 13956 10707 14732 12295 17612 12443 17501 13846 17280 13919 16947 13107 14621 14104 17501 15950 17280 15876 16836 15323 13735 15359 11076 16726 12960 17316 14510 18904 17723 19126 17501 20529 17280 20603 16947 19975 15064 20049 5316 20750 6646 21415 7532 21489 7089 21489 4652 21304 4098" fillcolor="black" stroked="f">
          <v:fill opacity="46530f"/>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4B4" w:rsidRDefault="001A64B4">
    <w:pPr>
      <w:pStyle w:val="Header"/>
    </w:pPr>
  </w:p>
  <w:p w:rsidR="001A64B4" w:rsidRDefault="001A64B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4B4" w:rsidRDefault="001A64B4" w:rsidP="00DF08B3">
    <w:pPr>
      <w:pStyle w:val="Header"/>
    </w:pPr>
  </w:p>
  <w:p w:rsidR="001A64B4" w:rsidRDefault="001A64B4" w:rsidP="00DF08B3">
    <w:pPr>
      <w:pStyle w:val="Header"/>
    </w:pPr>
    <w:r w:rsidRPr="00DF08B3">
      <w:rPr>
        <w:noProof/>
        <w:lang w:val="en-NZ" w:eastAsia="en-NZ"/>
      </w:rPr>
      <w:drawing>
        <wp:anchor distT="0" distB="0" distL="114300" distR="114300" simplePos="0" relativeHeight="251661312" behindDoc="0" locked="1" layoutInCell="0" allowOverlap="1">
          <wp:simplePos x="0" y="0"/>
          <wp:positionH relativeFrom="page">
            <wp:posOffset>1076325</wp:posOffset>
          </wp:positionH>
          <wp:positionV relativeFrom="page">
            <wp:posOffset>419100</wp:posOffset>
          </wp:positionV>
          <wp:extent cx="2204085" cy="552450"/>
          <wp:effectExtent l="19050" t="0" r="0" b="0"/>
          <wp:wrapTopAndBottom/>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2204085" cy="556895"/>
                  </a:xfrm>
                  <a:prstGeom prst="rect">
                    <a:avLst/>
                  </a:prstGeom>
                  <a:noFill/>
                </pic:spPr>
              </pic:pic>
            </a:graphicData>
          </a:graphic>
        </wp:anchor>
      </w:drawing>
    </w:r>
    <w:r w:rsidRPr="00DF08B3">
      <w:rPr>
        <w:noProof/>
        <w:lang w:val="en-NZ" w:eastAsia="en-NZ"/>
      </w:rPr>
      <w:drawing>
        <wp:anchor distT="0" distB="0" distL="114300" distR="114300" simplePos="0" relativeHeight="251659264" behindDoc="1" locked="1" layoutInCell="1" allowOverlap="1">
          <wp:simplePos x="0" y="0"/>
          <wp:positionH relativeFrom="column">
            <wp:posOffset>4044315</wp:posOffset>
          </wp:positionH>
          <wp:positionV relativeFrom="page">
            <wp:posOffset>228600</wp:posOffset>
          </wp:positionV>
          <wp:extent cx="1482725" cy="762000"/>
          <wp:effectExtent l="19050" t="0" r="3175" b="0"/>
          <wp:wrapTight wrapText="bothSides">
            <wp:wrapPolygon edited="0">
              <wp:start x="-278" y="0"/>
              <wp:lineTo x="-278" y="21130"/>
              <wp:lineTo x="21646" y="21130"/>
              <wp:lineTo x="21646" y="0"/>
              <wp:lineTo x="-278" y="0"/>
            </wp:wrapPolygon>
          </wp:wrapTight>
          <wp:docPr id="3" name="Picture 9" descr="ITF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TF_Logo1"/>
                  <pic:cNvPicPr>
                    <a:picLocks noChangeAspect="1" noChangeArrowheads="1"/>
                  </pic:cNvPicPr>
                </pic:nvPicPr>
                <pic:blipFill>
                  <a:blip r:embed="rId2"/>
                  <a:srcRect/>
                  <a:stretch>
                    <a:fillRect/>
                  </a:stretch>
                </pic:blipFill>
                <pic:spPr bwMode="auto">
                  <a:xfrm>
                    <a:off x="0" y="0"/>
                    <a:ext cx="1482725" cy="75946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9F8520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8B35A8"/>
    <w:multiLevelType w:val="hybridMultilevel"/>
    <w:tmpl w:val="6908E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301B61"/>
    <w:multiLevelType w:val="hybridMultilevel"/>
    <w:tmpl w:val="2EA4D7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D35323A"/>
    <w:multiLevelType w:val="hybridMultilevel"/>
    <w:tmpl w:val="22AA4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1DC1A97"/>
    <w:multiLevelType w:val="hybridMultilevel"/>
    <w:tmpl w:val="9FA40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469035D"/>
    <w:multiLevelType w:val="hybridMultilevel"/>
    <w:tmpl w:val="907ED9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55DD42FA"/>
    <w:multiLevelType w:val="hybridMultilevel"/>
    <w:tmpl w:val="70A28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72F5B82"/>
    <w:multiLevelType w:val="hybridMultilevel"/>
    <w:tmpl w:val="8340AA0A"/>
    <w:lvl w:ilvl="0" w:tplc="14090001">
      <w:start w:val="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60CC2A49"/>
    <w:multiLevelType w:val="hybridMultilevel"/>
    <w:tmpl w:val="CA082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BBB25D5"/>
    <w:multiLevelType w:val="multilevel"/>
    <w:tmpl w:val="679C38F8"/>
    <w:lvl w:ilvl="0">
      <w:start w:val="1"/>
      <w:numFmt w:val="decimal"/>
      <w:pStyle w:val="TGnumberedbodytext"/>
      <w:lvlText w:val="%1."/>
      <w:lvlJc w:val="left"/>
      <w:pPr>
        <w:tabs>
          <w:tab w:val="num" w:pos="360"/>
        </w:tabs>
        <w:ind w:left="360" w:hanging="360"/>
      </w:pPr>
      <w:rPr>
        <w:rFonts w:cs="Times New Roman" w:hint="default"/>
        <w:b w:val="0"/>
        <w:i w:val="0"/>
      </w:rPr>
    </w:lvl>
    <w:lvl w:ilvl="1">
      <w:start w:val="1"/>
      <w:numFmt w:val="lowerLetter"/>
      <w:pStyle w:val="TGabcindent"/>
      <w:lvlText w:val="%2."/>
      <w:lvlJc w:val="left"/>
      <w:pPr>
        <w:tabs>
          <w:tab w:val="num" w:pos="794"/>
        </w:tabs>
        <w:ind w:left="792" w:hanging="435"/>
      </w:pPr>
      <w:rPr>
        <w:rFonts w:cs="Times New Roman" w:hint="default"/>
        <w:b w:val="0"/>
        <w:i w:val="0"/>
      </w:rPr>
    </w:lvl>
    <w:lvl w:ilvl="2">
      <w:start w:val="1"/>
      <w:numFmt w:val="lowerRoman"/>
      <w:pStyle w:val="TGabcdoubleindent"/>
      <w:lvlText w:val="%3."/>
      <w:lvlJc w:val="right"/>
      <w:pPr>
        <w:tabs>
          <w:tab w:val="num" w:pos="1080"/>
        </w:tabs>
        <w:ind w:left="1080" w:hanging="360"/>
      </w:pPr>
      <w:rPr>
        <w:rFonts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0">
    <w:nsid w:val="6D2F78A9"/>
    <w:multiLevelType w:val="hybridMultilevel"/>
    <w:tmpl w:val="6040D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7273073A"/>
    <w:multiLevelType w:val="hybridMultilevel"/>
    <w:tmpl w:val="A1026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E528CE"/>
    <w:multiLevelType w:val="hybridMultilevel"/>
    <w:tmpl w:val="4992B68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num>
  <w:num w:numId="3">
    <w:abstractNumId w:val="8"/>
  </w:num>
  <w:num w:numId="4">
    <w:abstractNumId w:val="4"/>
  </w:num>
  <w:num w:numId="5">
    <w:abstractNumId w:val="6"/>
  </w:num>
  <w:num w:numId="6">
    <w:abstractNumId w:val="3"/>
  </w:num>
  <w:num w:numId="7">
    <w:abstractNumId w:val="1"/>
  </w:num>
  <w:num w:numId="8">
    <w:abstractNumId w:val="11"/>
  </w:num>
  <w:num w:numId="9">
    <w:abstractNumId w:val="7"/>
  </w:num>
  <w:num w:numId="10">
    <w:abstractNumId w:val="5"/>
  </w:num>
  <w:num w:numId="11">
    <w:abstractNumId w:val="9"/>
  </w:num>
  <w:num w:numId="12">
    <w:abstractNumId w:val="2"/>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isplayBackgroundShape/>
  <w:embedSystemFonts/>
  <w:proofState w:spelling="clean" w:grammar="clean"/>
  <w:stylePaneFormatFilter w:val="3F01"/>
  <w:stylePaneSortMethod w:val="0000"/>
  <w:defaultTabStop w:val="720"/>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rsids>
    <w:rsidRoot w:val="00D46A8A"/>
    <w:rsid w:val="000013E2"/>
    <w:rsid w:val="0003098D"/>
    <w:rsid w:val="00033F64"/>
    <w:rsid w:val="00034B31"/>
    <w:rsid w:val="000568EC"/>
    <w:rsid w:val="00063E04"/>
    <w:rsid w:val="00067F5D"/>
    <w:rsid w:val="000724E5"/>
    <w:rsid w:val="001308F9"/>
    <w:rsid w:val="00143A94"/>
    <w:rsid w:val="00165726"/>
    <w:rsid w:val="00166286"/>
    <w:rsid w:val="00183931"/>
    <w:rsid w:val="001A64B4"/>
    <w:rsid w:val="001B49C5"/>
    <w:rsid w:val="001E398C"/>
    <w:rsid w:val="001F18A8"/>
    <w:rsid w:val="00201ABC"/>
    <w:rsid w:val="002334A2"/>
    <w:rsid w:val="00234F68"/>
    <w:rsid w:val="00236A94"/>
    <w:rsid w:val="00245243"/>
    <w:rsid w:val="0025132D"/>
    <w:rsid w:val="002601E5"/>
    <w:rsid w:val="00295760"/>
    <w:rsid w:val="002974A1"/>
    <w:rsid w:val="002A2999"/>
    <w:rsid w:val="002A72F3"/>
    <w:rsid w:val="002E16C7"/>
    <w:rsid w:val="002F2983"/>
    <w:rsid w:val="00312126"/>
    <w:rsid w:val="00313D9B"/>
    <w:rsid w:val="003217CC"/>
    <w:rsid w:val="0033209B"/>
    <w:rsid w:val="00344501"/>
    <w:rsid w:val="00344E9D"/>
    <w:rsid w:val="003476E5"/>
    <w:rsid w:val="00356D29"/>
    <w:rsid w:val="00365866"/>
    <w:rsid w:val="003B6888"/>
    <w:rsid w:val="003F34BF"/>
    <w:rsid w:val="004007EA"/>
    <w:rsid w:val="00401078"/>
    <w:rsid w:val="00414D7A"/>
    <w:rsid w:val="0043257D"/>
    <w:rsid w:val="00435D29"/>
    <w:rsid w:val="004426B8"/>
    <w:rsid w:val="004538AD"/>
    <w:rsid w:val="0047123D"/>
    <w:rsid w:val="004716C2"/>
    <w:rsid w:val="0047200B"/>
    <w:rsid w:val="00477F56"/>
    <w:rsid w:val="0048410C"/>
    <w:rsid w:val="00491B63"/>
    <w:rsid w:val="00507760"/>
    <w:rsid w:val="00530E0C"/>
    <w:rsid w:val="00556045"/>
    <w:rsid w:val="00577859"/>
    <w:rsid w:val="005804B9"/>
    <w:rsid w:val="005A0622"/>
    <w:rsid w:val="005D7032"/>
    <w:rsid w:val="005E2584"/>
    <w:rsid w:val="005F38DB"/>
    <w:rsid w:val="005F4157"/>
    <w:rsid w:val="006041C1"/>
    <w:rsid w:val="00626320"/>
    <w:rsid w:val="00627934"/>
    <w:rsid w:val="00635BAB"/>
    <w:rsid w:val="006744DF"/>
    <w:rsid w:val="00675619"/>
    <w:rsid w:val="00691821"/>
    <w:rsid w:val="006B07A7"/>
    <w:rsid w:val="006C5C50"/>
    <w:rsid w:val="006E0CB7"/>
    <w:rsid w:val="006F4AF4"/>
    <w:rsid w:val="00701133"/>
    <w:rsid w:val="00731D82"/>
    <w:rsid w:val="0074058D"/>
    <w:rsid w:val="00755D4C"/>
    <w:rsid w:val="007621FA"/>
    <w:rsid w:val="007840A7"/>
    <w:rsid w:val="00786830"/>
    <w:rsid w:val="007979B2"/>
    <w:rsid w:val="007A4948"/>
    <w:rsid w:val="007C1205"/>
    <w:rsid w:val="007C41DD"/>
    <w:rsid w:val="007D03E8"/>
    <w:rsid w:val="007D03F6"/>
    <w:rsid w:val="00833E01"/>
    <w:rsid w:val="008543CA"/>
    <w:rsid w:val="008550FD"/>
    <w:rsid w:val="00866313"/>
    <w:rsid w:val="00877C85"/>
    <w:rsid w:val="0088290C"/>
    <w:rsid w:val="00886BDE"/>
    <w:rsid w:val="008D0481"/>
    <w:rsid w:val="008D1C78"/>
    <w:rsid w:val="008F6123"/>
    <w:rsid w:val="008F7D83"/>
    <w:rsid w:val="00906E12"/>
    <w:rsid w:val="00921B6E"/>
    <w:rsid w:val="009326CA"/>
    <w:rsid w:val="00982339"/>
    <w:rsid w:val="009A337C"/>
    <w:rsid w:val="009E7E36"/>
    <w:rsid w:val="009F3C52"/>
    <w:rsid w:val="00A00161"/>
    <w:rsid w:val="00A22C63"/>
    <w:rsid w:val="00A40A64"/>
    <w:rsid w:val="00A53AEC"/>
    <w:rsid w:val="00A607E0"/>
    <w:rsid w:val="00A93BAD"/>
    <w:rsid w:val="00A94F9B"/>
    <w:rsid w:val="00AB3156"/>
    <w:rsid w:val="00AB54AC"/>
    <w:rsid w:val="00AE51A1"/>
    <w:rsid w:val="00C101F1"/>
    <w:rsid w:val="00C15D7E"/>
    <w:rsid w:val="00C23072"/>
    <w:rsid w:val="00C23FEE"/>
    <w:rsid w:val="00C4182D"/>
    <w:rsid w:val="00C50644"/>
    <w:rsid w:val="00C7347E"/>
    <w:rsid w:val="00C7376C"/>
    <w:rsid w:val="00CA7226"/>
    <w:rsid w:val="00CB0868"/>
    <w:rsid w:val="00CC1036"/>
    <w:rsid w:val="00CC3A8B"/>
    <w:rsid w:val="00CC5F70"/>
    <w:rsid w:val="00CD7254"/>
    <w:rsid w:val="00CF0C79"/>
    <w:rsid w:val="00CF290A"/>
    <w:rsid w:val="00D12E8F"/>
    <w:rsid w:val="00D12EA2"/>
    <w:rsid w:val="00D27DA3"/>
    <w:rsid w:val="00D4325C"/>
    <w:rsid w:val="00D43287"/>
    <w:rsid w:val="00D44264"/>
    <w:rsid w:val="00D46A8A"/>
    <w:rsid w:val="00D500E9"/>
    <w:rsid w:val="00D5677B"/>
    <w:rsid w:val="00D62D6B"/>
    <w:rsid w:val="00DB043C"/>
    <w:rsid w:val="00DC5F9D"/>
    <w:rsid w:val="00DC6798"/>
    <w:rsid w:val="00DD4EE3"/>
    <w:rsid w:val="00DE0D16"/>
    <w:rsid w:val="00DF08B3"/>
    <w:rsid w:val="00E26CB6"/>
    <w:rsid w:val="00E3553B"/>
    <w:rsid w:val="00E3745A"/>
    <w:rsid w:val="00E4416F"/>
    <w:rsid w:val="00E513BE"/>
    <w:rsid w:val="00E650E5"/>
    <w:rsid w:val="00E82B8A"/>
    <w:rsid w:val="00EC2E67"/>
    <w:rsid w:val="00ED2E1C"/>
    <w:rsid w:val="00EE31EF"/>
    <w:rsid w:val="00F52A5B"/>
    <w:rsid w:val="00FB04CD"/>
    <w:rsid w:val="00FB239B"/>
    <w:rsid w:val="00FB303C"/>
    <w:rsid w:val="00FB7B32"/>
    <w:rsid w:val="00FC0E03"/>
    <w:rsid w:val="00FC78EC"/>
  </w:rsids>
  <m:mathPr>
    <m:mathFont m:val="Cambria Math"/>
    <m:brkBin m:val="before"/>
    <m:brkBinSub m:val="--"/>
    <m:smallFrac m:val="off"/>
    <m:dispDef m:val="off"/>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No Spacing" w:qFormat="1"/>
    <w:lsdException w:name="List Paragraph" w:uiPriority="34"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97A2A"/>
    <w:pPr>
      <w:spacing w:line="300" w:lineRule="auto"/>
    </w:pPr>
    <w:rPr>
      <w:rFonts w:ascii="Arial" w:hAnsi="Arial"/>
      <w:color w:val="595959"/>
      <w:sz w:val="22"/>
      <w:szCs w:val="24"/>
      <w:lang w:val="en-AU" w:eastAsia="en-US"/>
    </w:rPr>
  </w:style>
  <w:style w:type="paragraph" w:styleId="Heading1">
    <w:name w:val="heading 1"/>
    <w:basedOn w:val="Normal"/>
    <w:next w:val="Normal"/>
    <w:link w:val="Heading1Char"/>
    <w:uiPriority w:val="9"/>
    <w:qFormat/>
    <w:rsid w:val="00310EFB"/>
    <w:pPr>
      <w:keepNext/>
      <w:spacing w:before="240" w:after="60"/>
      <w:outlineLvl w:val="0"/>
    </w:pPr>
    <w:rPr>
      <w:b/>
      <w:bCs/>
      <w:color w:val="1F497D"/>
      <w:kern w:val="32"/>
      <w:sz w:val="24"/>
      <w:szCs w:val="32"/>
    </w:rPr>
  </w:style>
  <w:style w:type="paragraph" w:styleId="Heading2">
    <w:name w:val="heading 2"/>
    <w:basedOn w:val="Normal"/>
    <w:next w:val="Normal"/>
    <w:link w:val="Heading2Char"/>
    <w:qFormat/>
    <w:rsid w:val="00310EFB"/>
    <w:pPr>
      <w:keepNext/>
      <w:spacing w:before="240" w:after="60"/>
      <w:outlineLvl w:val="1"/>
    </w:pPr>
    <w:rPr>
      <w:b/>
      <w:bCs/>
      <w:i/>
      <w:iCs/>
      <w:color w:val="1F497D"/>
      <w:sz w:val="24"/>
      <w:szCs w:val="28"/>
    </w:rPr>
  </w:style>
  <w:style w:type="paragraph" w:styleId="Heading3">
    <w:name w:val="heading 3"/>
    <w:basedOn w:val="Normal"/>
    <w:next w:val="Normal"/>
    <w:link w:val="Heading3Char"/>
    <w:qFormat/>
    <w:rsid w:val="00310EFB"/>
    <w:pPr>
      <w:keepNext/>
      <w:spacing w:before="120" w:after="60"/>
      <w:outlineLvl w:val="2"/>
    </w:pPr>
    <w:rPr>
      <w:bCs/>
      <w:i/>
      <w:color w:val="1F497D"/>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2A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10EFB"/>
    <w:rPr>
      <w:rFonts w:ascii="Arial" w:hAnsi="Arial"/>
      <w:b/>
      <w:bCs/>
      <w:color w:val="1F497D"/>
      <w:kern w:val="32"/>
      <w:sz w:val="24"/>
      <w:szCs w:val="32"/>
    </w:rPr>
  </w:style>
  <w:style w:type="paragraph" w:styleId="Header">
    <w:name w:val="header"/>
    <w:basedOn w:val="Normal"/>
    <w:link w:val="HeaderChar"/>
    <w:uiPriority w:val="99"/>
    <w:rsid w:val="00DF08B3"/>
    <w:pPr>
      <w:tabs>
        <w:tab w:val="center" w:pos="4320"/>
        <w:tab w:val="right" w:pos="8640"/>
      </w:tabs>
    </w:pPr>
  </w:style>
  <w:style w:type="character" w:customStyle="1" w:styleId="HeaderChar">
    <w:name w:val="Header Char"/>
    <w:basedOn w:val="DefaultParagraphFont"/>
    <w:link w:val="Header"/>
    <w:uiPriority w:val="99"/>
    <w:rsid w:val="00DF08B3"/>
    <w:rPr>
      <w:rFonts w:ascii="Arial" w:hAnsi="Arial"/>
      <w:color w:val="595959"/>
      <w:sz w:val="22"/>
      <w:szCs w:val="24"/>
      <w:lang w:val="en-AU" w:eastAsia="en-US"/>
    </w:rPr>
  </w:style>
  <w:style w:type="paragraph" w:styleId="Footer">
    <w:name w:val="footer"/>
    <w:basedOn w:val="Normal"/>
    <w:link w:val="FooterChar"/>
    <w:rsid w:val="003E5899"/>
    <w:pPr>
      <w:tabs>
        <w:tab w:val="center" w:pos="4320"/>
        <w:tab w:val="right" w:pos="8640"/>
      </w:tabs>
    </w:pPr>
    <w:rPr>
      <w:sz w:val="18"/>
    </w:rPr>
  </w:style>
  <w:style w:type="character" w:customStyle="1" w:styleId="FooterChar">
    <w:name w:val="Footer Char"/>
    <w:basedOn w:val="DefaultParagraphFont"/>
    <w:link w:val="Footer"/>
    <w:rsid w:val="003E5899"/>
    <w:rPr>
      <w:rFonts w:ascii="Arial" w:hAnsi="Arial"/>
      <w:color w:val="595959"/>
      <w:sz w:val="18"/>
      <w:szCs w:val="24"/>
    </w:rPr>
  </w:style>
  <w:style w:type="paragraph" w:styleId="FootnoteText">
    <w:name w:val="footnote text"/>
    <w:basedOn w:val="Normal"/>
    <w:link w:val="FootnoteTextChar"/>
    <w:rsid w:val="00C05A05"/>
  </w:style>
  <w:style w:type="character" w:customStyle="1" w:styleId="FootnoteTextChar">
    <w:name w:val="Footnote Text Char"/>
    <w:basedOn w:val="DefaultParagraphFont"/>
    <w:link w:val="FootnoteText"/>
    <w:rsid w:val="00C05A05"/>
    <w:rPr>
      <w:sz w:val="24"/>
      <w:szCs w:val="24"/>
    </w:rPr>
  </w:style>
  <w:style w:type="character" w:styleId="FootnoteReference">
    <w:name w:val="footnote reference"/>
    <w:basedOn w:val="DefaultParagraphFont"/>
    <w:rsid w:val="00FF2646"/>
    <w:rPr>
      <w:color w:val="595959"/>
      <w:vertAlign w:val="superscript"/>
    </w:rPr>
  </w:style>
  <w:style w:type="paragraph" w:customStyle="1" w:styleId="ITFHeading1">
    <w:name w:val="ITF Heading 1"/>
    <w:basedOn w:val="Normal"/>
    <w:autoRedefine/>
    <w:qFormat/>
    <w:rsid w:val="00310EFB"/>
    <w:pPr>
      <w:tabs>
        <w:tab w:val="left" w:pos="5529"/>
      </w:tabs>
      <w:spacing w:before="240" w:after="240"/>
    </w:pPr>
    <w:rPr>
      <w:b/>
      <w:color w:val="1F497D"/>
      <w:sz w:val="24"/>
    </w:rPr>
  </w:style>
  <w:style w:type="paragraph" w:customStyle="1" w:styleId="ITFHeading2">
    <w:name w:val="ITF Heading 2"/>
    <w:basedOn w:val="Normal"/>
    <w:next w:val="Normal"/>
    <w:qFormat/>
    <w:rsid w:val="00310EFB"/>
    <w:pPr>
      <w:spacing w:before="240" w:after="60"/>
    </w:pPr>
    <w:rPr>
      <w:b/>
      <w:i/>
      <w:color w:val="1F497D"/>
      <w:sz w:val="24"/>
    </w:rPr>
  </w:style>
  <w:style w:type="character" w:styleId="PageNumber">
    <w:name w:val="page number"/>
    <w:basedOn w:val="DefaultParagraphFont"/>
    <w:rsid w:val="005775A6"/>
  </w:style>
  <w:style w:type="paragraph" w:customStyle="1" w:styleId="ITFHeading3">
    <w:name w:val="ITF Heading 3"/>
    <w:basedOn w:val="ITFHeading2"/>
    <w:next w:val="Normal"/>
    <w:qFormat/>
    <w:rsid w:val="00310EFB"/>
    <w:pPr>
      <w:spacing w:before="120"/>
    </w:pPr>
    <w:rPr>
      <w:b w:val="0"/>
      <w:sz w:val="22"/>
    </w:rPr>
  </w:style>
  <w:style w:type="character" w:customStyle="1" w:styleId="Heading2Char">
    <w:name w:val="Heading 2 Char"/>
    <w:basedOn w:val="DefaultParagraphFont"/>
    <w:link w:val="Heading2"/>
    <w:rsid w:val="00310EFB"/>
    <w:rPr>
      <w:rFonts w:ascii="Arial" w:eastAsia="Times New Roman" w:hAnsi="Arial" w:cs="Times New Roman"/>
      <w:b/>
      <w:bCs/>
      <w:i/>
      <w:iCs/>
      <w:color w:val="1F497D"/>
      <w:sz w:val="24"/>
      <w:szCs w:val="28"/>
    </w:rPr>
  </w:style>
  <w:style w:type="paragraph" w:customStyle="1" w:styleId="NoSpacing1">
    <w:name w:val="No Spacing1"/>
    <w:rsid w:val="00CC166B"/>
    <w:rPr>
      <w:sz w:val="24"/>
      <w:szCs w:val="24"/>
      <w:lang w:val="en-AU" w:eastAsia="en-US"/>
    </w:rPr>
  </w:style>
  <w:style w:type="paragraph" w:customStyle="1" w:styleId="ITFNotes">
    <w:name w:val="ITF Notes"/>
    <w:basedOn w:val="Normal"/>
    <w:qFormat/>
    <w:rsid w:val="00CC166B"/>
    <w:pPr>
      <w:spacing w:before="240" w:after="60"/>
    </w:pPr>
    <w:rPr>
      <w:i/>
      <w:color w:val="1F497D"/>
      <w:sz w:val="20"/>
    </w:rPr>
  </w:style>
  <w:style w:type="paragraph" w:customStyle="1" w:styleId="ITFNormal">
    <w:name w:val="ITF Normal"/>
    <w:basedOn w:val="Normal"/>
    <w:link w:val="ITFNormalChar"/>
    <w:qFormat/>
    <w:rsid w:val="00797A2A"/>
  </w:style>
  <w:style w:type="paragraph" w:styleId="ListBullet">
    <w:name w:val="List Bullet"/>
    <w:basedOn w:val="Normal"/>
    <w:rsid w:val="00FF2646"/>
    <w:pPr>
      <w:numPr>
        <w:numId w:val="2"/>
      </w:numPr>
      <w:contextualSpacing/>
    </w:pPr>
  </w:style>
  <w:style w:type="character" w:customStyle="1" w:styleId="Heading3Char">
    <w:name w:val="Heading 3 Char"/>
    <w:basedOn w:val="DefaultParagraphFont"/>
    <w:link w:val="Heading3"/>
    <w:rsid w:val="00310EFB"/>
    <w:rPr>
      <w:rFonts w:ascii="Arial" w:eastAsia="Times New Roman" w:hAnsi="Arial" w:cs="Times New Roman"/>
      <w:bCs/>
      <w:i/>
      <w:color w:val="1F497D"/>
      <w:sz w:val="22"/>
      <w:szCs w:val="26"/>
    </w:rPr>
  </w:style>
  <w:style w:type="character" w:styleId="Hyperlink">
    <w:name w:val="Hyperlink"/>
    <w:basedOn w:val="DefaultParagraphFont"/>
    <w:rsid w:val="00615B10"/>
    <w:rPr>
      <w:color w:val="0000FF"/>
      <w:u w:val="single"/>
    </w:rPr>
  </w:style>
  <w:style w:type="paragraph" w:customStyle="1" w:styleId="ITFQuote">
    <w:name w:val="ITF Quote"/>
    <w:basedOn w:val="Normal"/>
    <w:next w:val="Normal"/>
    <w:qFormat/>
    <w:rsid w:val="00711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Pr>
      <w:i/>
    </w:rPr>
  </w:style>
  <w:style w:type="paragraph" w:customStyle="1" w:styleId="ITFReportTitle">
    <w:name w:val="ITF Report Title"/>
    <w:basedOn w:val="ITFNormal"/>
    <w:link w:val="ITFReportTitleChar"/>
    <w:qFormat/>
    <w:rsid w:val="00A1569B"/>
    <w:pPr>
      <w:spacing w:line="264" w:lineRule="auto"/>
      <w:jc w:val="right"/>
    </w:pPr>
    <w:rPr>
      <w:b/>
      <w:noProof/>
      <w:color w:val="1F497D"/>
      <w:sz w:val="48"/>
      <w:lang w:val="en-US"/>
    </w:rPr>
  </w:style>
  <w:style w:type="character" w:customStyle="1" w:styleId="ITFNormalChar">
    <w:name w:val="ITF Normal Char"/>
    <w:basedOn w:val="DefaultParagraphFont"/>
    <w:link w:val="ITFNormal"/>
    <w:rsid w:val="00F00CCB"/>
    <w:rPr>
      <w:rFonts w:ascii="Arial" w:hAnsi="Arial"/>
      <w:color w:val="595959"/>
      <w:sz w:val="22"/>
      <w:szCs w:val="24"/>
    </w:rPr>
  </w:style>
  <w:style w:type="character" w:customStyle="1" w:styleId="ITFReportTitleChar">
    <w:name w:val="ITF Report Title Char"/>
    <w:basedOn w:val="ITFNormalChar"/>
    <w:link w:val="ITFReportTitle"/>
    <w:rsid w:val="00A1569B"/>
    <w:rPr>
      <w:b/>
      <w:noProof/>
      <w:color w:val="1F497D"/>
      <w:sz w:val="48"/>
      <w:lang w:val="en-US"/>
    </w:rPr>
  </w:style>
  <w:style w:type="paragraph" w:customStyle="1" w:styleId="ColorfulList-Accent11">
    <w:name w:val="Colorful List - Accent 11"/>
    <w:basedOn w:val="Normal"/>
    <w:uiPriority w:val="34"/>
    <w:qFormat/>
    <w:rsid w:val="0013767F"/>
    <w:pPr>
      <w:spacing w:line="240" w:lineRule="auto"/>
      <w:ind w:left="720"/>
      <w:contextualSpacing/>
    </w:pPr>
    <w:rPr>
      <w:rFonts w:ascii="Cambria" w:eastAsia="Cambria" w:hAnsi="Cambria"/>
      <w:color w:val="auto"/>
      <w:sz w:val="24"/>
      <w:lang w:val="en-GB"/>
    </w:rPr>
  </w:style>
  <w:style w:type="paragraph" w:styleId="NormalWeb">
    <w:name w:val="Normal (Web)"/>
    <w:basedOn w:val="Normal"/>
    <w:uiPriority w:val="99"/>
    <w:rsid w:val="0013767F"/>
    <w:pPr>
      <w:spacing w:beforeLines="1" w:afterLines="1" w:line="240" w:lineRule="auto"/>
    </w:pPr>
    <w:rPr>
      <w:rFonts w:ascii="Times" w:eastAsia="Cambria" w:hAnsi="Times"/>
      <w:color w:val="auto"/>
      <w:sz w:val="20"/>
      <w:szCs w:val="20"/>
      <w:lang w:val="en-US"/>
    </w:rPr>
  </w:style>
  <w:style w:type="paragraph" w:styleId="BalloonText">
    <w:name w:val="Balloon Text"/>
    <w:basedOn w:val="Normal"/>
    <w:link w:val="BalloonTextChar"/>
    <w:rsid w:val="000013E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0013E2"/>
    <w:rPr>
      <w:rFonts w:ascii="Tahoma" w:hAnsi="Tahoma" w:cs="Tahoma"/>
      <w:color w:val="595959"/>
      <w:sz w:val="16"/>
      <w:szCs w:val="16"/>
      <w:lang w:val="en-AU" w:eastAsia="en-US"/>
    </w:rPr>
  </w:style>
  <w:style w:type="paragraph" w:customStyle="1" w:styleId="TGnumberedbodytext">
    <w:name w:val="*TG numbered body text"/>
    <w:basedOn w:val="Normal"/>
    <w:rsid w:val="008543CA"/>
    <w:pPr>
      <w:numPr>
        <w:numId w:val="11"/>
      </w:numPr>
      <w:spacing w:before="240" w:after="240" w:line="240" w:lineRule="auto"/>
      <w:jc w:val="both"/>
    </w:pPr>
    <w:rPr>
      <w:color w:val="auto"/>
      <w:szCs w:val="20"/>
      <w:lang w:val="en-NZ"/>
    </w:rPr>
  </w:style>
  <w:style w:type="paragraph" w:customStyle="1" w:styleId="TGabcindent">
    <w:name w:val="*TG abc indent"/>
    <w:basedOn w:val="TGnumberedbodytext"/>
    <w:rsid w:val="008543CA"/>
    <w:pPr>
      <w:numPr>
        <w:ilvl w:val="1"/>
      </w:numPr>
      <w:spacing w:before="0"/>
    </w:pPr>
  </w:style>
  <w:style w:type="paragraph" w:customStyle="1" w:styleId="TGabcdoubleindent">
    <w:name w:val="*TG abc double indent"/>
    <w:basedOn w:val="TGabcindent"/>
    <w:rsid w:val="008543CA"/>
    <w:pPr>
      <w:numPr>
        <w:ilvl w:val="2"/>
      </w:numPr>
      <w:tabs>
        <w:tab w:val="clear" w:pos="1080"/>
        <w:tab w:val="num" w:pos="1800"/>
      </w:tabs>
      <w:ind w:left="1800"/>
    </w:pPr>
  </w:style>
  <w:style w:type="paragraph" w:styleId="ListParagraph">
    <w:name w:val="List Paragraph"/>
    <w:basedOn w:val="Normal"/>
    <w:uiPriority w:val="34"/>
    <w:qFormat/>
    <w:rsid w:val="00731D82"/>
    <w:pPr>
      <w:ind w:left="720"/>
      <w:contextualSpacing/>
    </w:pPr>
  </w:style>
  <w:style w:type="paragraph" w:customStyle="1" w:styleId="TGHeading1">
    <w:name w:val="*TG Heading 1"/>
    <w:basedOn w:val="Normal"/>
    <w:next w:val="TGnumberedbodytext"/>
    <w:rsid w:val="00C7376C"/>
    <w:pPr>
      <w:keepNext/>
      <w:widowControl w:val="0"/>
      <w:pBdr>
        <w:bottom w:val="single" w:sz="4" w:space="1" w:color="auto"/>
      </w:pBdr>
      <w:spacing w:before="360" w:after="360" w:line="240" w:lineRule="auto"/>
      <w:jc w:val="both"/>
    </w:pPr>
    <w:rPr>
      <w:rFonts w:cs="Arial"/>
      <w:bCs/>
      <w:color w:val="auto"/>
      <w:sz w:val="26"/>
      <w:szCs w:val="20"/>
      <w:lang w:val="en-NZ"/>
    </w:rPr>
  </w:style>
  <w:style w:type="character" w:customStyle="1" w:styleId="apple-converted-space">
    <w:name w:val="apple-converted-space"/>
    <w:basedOn w:val="DefaultParagraphFont"/>
    <w:rsid w:val="00CC3A8B"/>
  </w:style>
  <w:style w:type="character" w:styleId="CommentReference">
    <w:name w:val="annotation reference"/>
    <w:basedOn w:val="DefaultParagraphFont"/>
    <w:rsid w:val="00691821"/>
    <w:rPr>
      <w:sz w:val="16"/>
      <w:szCs w:val="16"/>
    </w:rPr>
  </w:style>
  <w:style w:type="paragraph" w:styleId="CommentText">
    <w:name w:val="annotation text"/>
    <w:basedOn w:val="Normal"/>
    <w:link w:val="CommentTextChar"/>
    <w:rsid w:val="00691821"/>
    <w:pPr>
      <w:spacing w:line="240" w:lineRule="auto"/>
    </w:pPr>
    <w:rPr>
      <w:sz w:val="20"/>
      <w:szCs w:val="20"/>
    </w:rPr>
  </w:style>
  <w:style w:type="character" w:customStyle="1" w:styleId="CommentTextChar">
    <w:name w:val="Comment Text Char"/>
    <w:basedOn w:val="DefaultParagraphFont"/>
    <w:link w:val="CommentText"/>
    <w:rsid w:val="00691821"/>
    <w:rPr>
      <w:rFonts w:ascii="Arial" w:hAnsi="Arial"/>
      <w:color w:val="595959"/>
      <w:lang w:val="en-AU" w:eastAsia="en-US"/>
    </w:rPr>
  </w:style>
  <w:style w:type="paragraph" w:styleId="CommentSubject">
    <w:name w:val="annotation subject"/>
    <w:basedOn w:val="CommentText"/>
    <w:next w:val="CommentText"/>
    <w:link w:val="CommentSubjectChar"/>
    <w:rsid w:val="00691821"/>
    <w:rPr>
      <w:b/>
      <w:bCs/>
    </w:rPr>
  </w:style>
  <w:style w:type="character" w:customStyle="1" w:styleId="CommentSubjectChar">
    <w:name w:val="Comment Subject Char"/>
    <w:basedOn w:val="CommentTextChar"/>
    <w:link w:val="CommentSubject"/>
    <w:rsid w:val="00691821"/>
    <w:rPr>
      <w:b/>
      <w:bCs/>
    </w:rPr>
  </w:style>
</w:styles>
</file>

<file path=word/webSettings.xml><?xml version="1.0" encoding="utf-8"?>
<w:webSettings xmlns:r="http://schemas.openxmlformats.org/officeDocument/2006/relationships" xmlns:w="http://schemas.openxmlformats.org/wordprocessingml/2006/main">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zqa.govt.nz"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10" Type="http://schemas.openxmlformats.org/officeDocument/2006/relationships/hyperlink" Target="http://www.youthguarantee.net.nz"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E2CFA0-A4E6-4D2E-A07C-CA72FF9E5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2543</Words>
  <Characters>14879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ITF Report</vt:lpstr>
    </vt:vector>
  </TitlesOfParts>
  <Company>Ministry of Education</Company>
  <LinksUpToDate>false</LinksUpToDate>
  <CharactersWithSpaces>17388</CharactersWithSpaces>
  <SharedDoc>false</SharedDoc>
  <HyperlinkBase/>
  <HLinks>
    <vt:vector size="18" baseType="variant">
      <vt:variant>
        <vt:i4>6946876</vt:i4>
      </vt:variant>
      <vt:variant>
        <vt:i4>15839</vt:i4>
      </vt:variant>
      <vt:variant>
        <vt:i4>1025</vt:i4>
      </vt:variant>
      <vt:variant>
        <vt:i4>1</vt:i4>
      </vt:variant>
      <vt:variant>
        <vt:lpwstr>SP diagram</vt:lpwstr>
      </vt:variant>
      <vt:variant>
        <vt:lpwstr/>
      </vt:variant>
      <vt:variant>
        <vt:i4>2818101</vt:i4>
      </vt:variant>
      <vt:variant>
        <vt:i4>-1</vt:i4>
      </vt:variant>
      <vt:variant>
        <vt:i4>2057</vt:i4>
      </vt:variant>
      <vt:variant>
        <vt:i4>1</vt:i4>
      </vt:variant>
      <vt:variant>
        <vt:lpwstr>ITF_Logo1</vt:lpwstr>
      </vt:variant>
      <vt:variant>
        <vt:lpwstr/>
      </vt:variant>
      <vt:variant>
        <vt:i4>6946876</vt:i4>
      </vt:variant>
      <vt:variant>
        <vt:i4>-1</vt:i4>
      </vt:variant>
      <vt:variant>
        <vt:i4>2065</vt:i4>
      </vt:variant>
      <vt:variant>
        <vt:i4>1</vt:i4>
      </vt:variant>
      <vt:variant>
        <vt:lpwstr>SP diagram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ITF Report</dc:title>
  <dc:creator>Andrea Frost</dc:creator>
  <cp:lastModifiedBy>Louise Howie</cp:lastModifiedBy>
  <cp:revision>3</cp:revision>
  <cp:lastPrinted>2014-06-03T04:49:00Z</cp:lastPrinted>
  <dcterms:created xsi:type="dcterms:W3CDTF">2014-07-15T00:16:00Z</dcterms:created>
  <dcterms:modified xsi:type="dcterms:W3CDTF">2014-07-15T00:16:00Z</dcterms:modified>
</cp:coreProperties>
</file>