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67D" w:rsidRDefault="00491212" w:rsidP="00CB467D">
      <w:pPr>
        <w:pStyle w:val="Title"/>
      </w:pPr>
      <w:bookmarkStart w:id="0" w:name="ReportTitle"/>
      <w:r>
        <w:t xml:space="preserve">What </w:t>
      </w:r>
      <w:r w:rsidR="0054501C">
        <w:t>young</w:t>
      </w:r>
      <w:r>
        <w:t xml:space="preserve"> graduates do </w:t>
      </w:r>
      <w:r w:rsidR="0054501C">
        <w:t>when they leave study</w:t>
      </w:r>
      <w:bookmarkEnd w:id="0"/>
    </w:p>
    <w:p w:rsidR="00CB467D" w:rsidRPr="000045D2" w:rsidRDefault="00491212" w:rsidP="00CB467D">
      <w:pPr>
        <w:pStyle w:val="Titlesub"/>
      </w:pPr>
      <w:r>
        <w:t>New data on the destinations of young graduates</w:t>
      </w:r>
    </w:p>
    <w:p w:rsidR="002F7F68" w:rsidRDefault="002F7F68" w:rsidP="00B675AF">
      <w:pPr>
        <w:sectPr w:rsidR="002F7F68" w:rsidSect="00832F8A">
          <w:headerReference w:type="default" r:id="rId8"/>
          <w:footerReference w:type="even" r:id="rId9"/>
          <w:footerReference w:type="default" r:id="rId10"/>
          <w:type w:val="continuous"/>
          <w:pgSz w:w="11906" w:h="16838" w:code="9"/>
          <w:pgMar w:top="1418" w:right="624" w:bottom="4536" w:left="1701" w:header="709" w:footer="709" w:gutter="0"/>
          <w:pgNumType w:start="1"/>
          <w:cols w:space="708"/>
          <w:vAlign w:val="bottom"/>
          <w:docGrid w:linePitch="360"/>
        </w:sectPr>
      </w:pPr>
    </w:p>
    <w:p w:rsidR="00782818" w:rsidRDefault="00782818" w:rsidP="00782818">
      <w:pPr>
        <w:pStyle w:val="Insidecover"/>
      </w:pPr>
      <w:r w:rsidRPr="00782818">
        <w:lastRenderedPageBreak/>
        <w:t>This report forms part of a serie</w:t>
      </w:r>
      <w:r>
        <w:t>s called</w:t>
      </w:r>
      <w:r w:rsidR="00D52E3B">
        <w:t xml:space="preserve"> </w:t>
      </w:r>
      <w:r>
        <w:t>Beyond tertiary study.</w:t>
      </w:r>
    </w:p>
    <w:p w:rsidR="00ED68DB" w:rsidRPr="006511DE" w:rsidRDefault="00782818" w:rsidP="004D1E17">
      <w:pPr>
        <w:pStyle w:val="Insidecover"/>
      </w:pPr>
      <w:r w:rsidRPr="00782818">
        <w:t>Other topics covered by the series include how graduates’ earnings change over time, labour market outcomes, education and economic growth, and qualifications and income.</w:t>
      </w:r>
    </w:p>
    <w:p w:rsidR="004D1E17" w:rsidRDefault="00ED68DB" w:rsidP="00B675AF">
      <w:pPr>
        <w:pStyle w:val="Insidecover"/>
        <w:spacing w:before="200"/>
      </w:pPr>
      <w:r w:rsidRPr="006511DE">
        <w:rPr>
          <w:b/>
        </w:rPr>
        <w:t>Author</w:t>
      </w:r>
      <w:r w:rsidR="00E41567">
        <w:rPr>
          <w:b/>
        </w:rPr>
        <w:t>s</w:t>
      </w:r>
    </w:p>
    <w:p w:rsidR="00F4634B" w:rsidRDefault="00741F3E" w:rsidP="00BF4C9C">
      <w:pPr>
        <w:pStyle w:val="Insidecover"/>
      </w:pPr>
      <w:r>
        <w:t>Zaneta Park</w:t>
      </w:r>
      <w:r w:rsidR="00BF4C9C">
        <w:t xml:space="preserve"> </w:t>
      </w:r>
    </w:p>
    <w:p w:rsidR="00741F3E" w:rsidRDefault="00741F3E" w:rsidP="00BF4C9C">
      <w:pPr>
        <w:pStyle w:val="Insidecover"/>
        <w:rPr>
          <w:lang w:val="en-GB"/>
        </w:rPr>
      </w:pPr>
      <w:r>
        <w:t>Senior Research Analyst</w:t>
      </w:r>
    </w:p>
    <w:p w:rsidR="00741F3E" w:rsidRPr="008C48F6" w:rsidRDefault="00ED68DB" w:rsidP="004D1E17">
      <w:pPr>
        <w:pStyle w:val="Insidecover"/>
        <w:rPr>
          <w:lang w:val="en-GB"/>
        </w:rPr>
      </w:pPr>
      <w:r w:rsidRPr="008C48F6">
        <w:rPr>
          <w:lang w:val="en-GB"/>
        </w:rPr>
        <w:t xml:space="preserve">Email: </w:t>
      </w:r>
      <w:r w:rsidR="00741F3E">
        <w:rPr>
          <w:lang w:val="en-GB"/>
        </w:rPr>
        <w:t>zaneta.park</w:t>
      </w:r>
      <w:r w:rsidRPr="008C48F6">
        <w:rPr>
          <w:lang w:val="en-GB"/>
        </w:rPr>
        <w:t>@minedu.govt.nz</w:t>
      </w:r>
      <w:r w:rsidR="004D1E17" w:rsidRPr="008C48F6">
        <w:rPr>
          <w:lang w:val="en-GB"/>
        </w:rPr>
        <w:t xml:space="preserve">   </w:t>
      </w:r>
    </w:p>
    <w:p w:rsidR="004D1E17" w:rsidRPr="008C48F6" w:rsidRDefault="00741F3E" w:rsidP="004D1E17">
      <w:pPr>
        <w:pStyle w:val="Insidecover"/>
        <w:rPr>
          <w:lang w:val="en-GB"/>
        </w:rPr>
      </w:pPr>
      <w:r>
        <w:rPr>
          <w:lang w:val="en-GB"/>
        </w:rPr>
        <w:t xml:space="preserve">Telephone:  </w:t>
      </w:r>
      <w:r w:rsidRPr="008C48F6">
        <w:rPr>
          <w:lang w:val="en-GB"/>
        </w:rPr>
        <w:t>04-</w:t>
      </w:r>
      <w:r>
        <w:rPr>
          <w:lang w:val="en-GB"/>
        </w:rPr>
        <w:t>463-8198</w:t>
      </w:r>
    </w:p>
    <w:p w:rsidR="004D1E17" w:rsidRDefault="00ED68DB" w:rsidP="00B675AF">
      <w:pPr>
        <w:pStyle w:val="Insidecover"/>
        <w:spacing w:before="200"/>
      </w:pPr>
      <w:r w:rsidRPr="006511DE">
        <w:rPr>
          <w:b/>
        </w:rPr>
        <w:t>Acknowledgements</w:t>
      </w:r>
    </w:p>
    <w:p w:rsidR="00ED68DB" w:rsidRPr="006511DE" w:rsidRDefault="00ED68DB" w:rsidP="004D1E17">
      <w:pPr>
        <w:pStyle w:val="Insidecover"/>
      </w:pPr>
      <w:r w:rsidRPr="006511DE">
        <w:t>The author gratefully acknowledges comments provided by</w:t>
      </w:r>
      <w:r w:rsidR="0040002F">
        <w:t xml:space="preserve"> </w:t>
      </w:r>
      <w:r w:rsidR="001A3ADC">
        <w:t xml:space="preserve">Roger Smyth, </w:t>
      </w:r>
      <w:r w:rsidR="0040002F">
        <w:t>Warren Smart</w:t>
      </w:r>
      <w:r w:rsidR="00423EC0">
        <w:t>, Alasdair Saunders</w:t>
      </w:r>
      <w:r w:rsidR="0040002F">
        <w:t xml:space="preserve"> </w:t>
      </w:r>
      <w:r w:rsidR="00733A0F">
        <w:t xml:space="preserve">and </w:t>
      </w:r>
      <w:r w:rsidR="0040002F">
        <w:t>Paul Mahoney</w:t>
      </w:r>
      <w:r w:rsidR="00733A0F">
        <w:t xml:space="preserve"> from the Ministry of Education, Paul Merwood </w:t>
      </w:r>
      <w:r w:rsidR="0022055E">
        <w:t xml:space="preserve">and Michelle Schulz </w:t>
      </w:r>
      <w:r w:rsidR="00733A0F">
        <w:t>from the Ministry of Business, Innovation and Employment, David Eng from the Tertiary Education Commission</w:t>
      </w:r>
      <w:r w:rsidR="00127715">
        <w:t xml:space="preserve">, </w:t>
      </w:r>
      <w:r w:rsidR="00A5759C">
        <w:t xml:space="preserve">and </w:t>
      </w:r>
      <w:r w:rsidR="00127715">
        <w:t>Bryn Thorne-George</w:t>
      </w:r>
      <w:r w:rsidR="00A5759C">
        <w:t xml:space="preserve"> from Careers New Zealand</w:t>
      </w:r>
      <w:r w:rsidRPr="006511DE">
        <w:t xml:space="preserve">.  The author also gratefully acknowledges the assistance provided by </w:t>
      </w:r>
      <w:r w:rsidR="0040002F">
        <w:t>Asheel</w:t>
      </w:r>
      <w:r w:rsidR="002C52ED">
        <w:t xml:space="preserve"> Ramanlal</w:t>
      </w:r>
      <w:r w:rsidR="00D56BCF">
        <w:t xml:space="preserve"> from Statistics New Zealand</w:t>
      </w:r>
      <w:r w:rsidR="00831E08">
        <w:t>.</w:t>
      </w:r>
    </w:p>
    <w:p w:rsidR="00ED68DB" w:rsidRDefault="00ED68DB" w:rsidP="00B675AF">
      <w:pPr>
        <w:pStyle w:val="Insidecover"/>
        <w:spacing w:before="200"/>
      </w:pPr>
      <w:r w:rsidRPr="006511DE">
        <w:t>All views expressed in this report, and any remaining errors or omissions, remain the responsibility of the author.</w:t>
      </w:r>
    </w:p>
    <w:p w:rsidR="00892333" w:rsidRDefault="00892333" w:rsidP="00892333">
      <w:pPr>
        <w:pStyle w:val="Insidecover"/>
        <w:spacing w:before="200"/>
      </w:pPr>
      <w:r w:rsidRPr="006511DE">
        <w:rPr>
          <w:b/>
        </w:rPr>
        <w:t>Published by</w:t>
      </w:r>
    </w:p>
    <w:p w:rsidR="00892333" w:rsidRDefault="00892333" w:rsidP="00892333">
      <w:pPr>
        <w:pStyle w:val="Insidecover"/>
      </w:pPr>
      <w:r w:rsidRPr="006511DE">
        <w:t>Terti</w:t>
      </w:r>
      <w:r>
        <w:t>ary Sector Performance Analysis</w:t>
      </w:r>
    </w:p>
    <w:p w:rsidR="00892333" w:rsidRDefault="00892333" w:rsidP="00892333">
      <w:pPr>
        <w:pStyle w:val="Insidecover"/>
      </w:pPr>
      <w:r w:rsidRPr="006511DE">
        <w:t>Strategy and System Performance</w:t>
      </w:r>
    </w:p>
    <w:p w:rsidR="00892333" w:rsidRPr="006511DE" w:rsidRDefault="00892333" w:rsidP="00892333">
      <w:pPr>
        <w:pStyle w:val="Insidecover"/>
      </w:pPr>
      <w:r w:rsidRPr="006511DE">
        <w:t>MINISTRY OF EDUCATION</w:t>
      </w:r>
    </w:p>
    <w:p w:rsidR="00892333" w:rsidRDefault="00892333" w:rsidP="00892333">
      <w:pPr>
        <w:pStyle w:val="Insidecover"/>
        <w:spacing w:before="200"/>
      </w:pPr>
      <w:r>
        <w:t>© Crown Copyright</w:t>
      </w:r>
    </w:p>
    <w:p w:rsidR="00892333" w:rsidRDefault="00892333" w:rsidP="00892333">
      <w:pPr>
        <w:autoSpaceDE w:val="0"/>
        <w:autoSpaceDN w:val="0"/>
        <w:adjustRightInd w:val="0"/>
        <w:ind w:left="-284"/>
        <w:rPr>
          <w:rFonts w:ascii="Arial" w:hAnsi="Arial" w:cs="Arial"/>
          <w:color w:val="000000"/>
          <w:sz w:val="18"/>
          <w:szCs w:val="18"/>
          <w:lang w:eastAsia="en-NZ"/>
        </w:rPr>
      </w:pPr>
      <w:r>
        <w:rPr>
          <w:rFonts w:ascii="Arial" w:hAnsi="Arial" w:cs="Arial"/>
          <w:color w:val="000000"/>
          <w:sz w:val="18"/>
          <w:szCs w:val="18"/>
          <w:lang w:eastAsia="en-NZ"/>
        </w:rPr>
        <w:t>This work is licensed under the Creative Commons Attribution 3.0 New Zealand licence.</w:t>
      </w:r>
    </w:p>
    <w:p w:rsidR="00892333" w:rsidRDefault="00892333" w:rsidP="00892333">
      <w:pPr>
        <w:autoSpaceDE w:val="0"/>
        <w:autoSpaceDN w:val="0"/>
        <w:adjustRightInd w:val="0"/>
        <w:ind w:left="-284"/>
        <w:rPr>
          <w:rFonts w:ascii="Arial" w:hAnsi="Arial"/>
          <w:sz w:val="18"/>
        </w:rPr>
      </w:pPr>
      <w:r>
        <w:rPr>
          <w:rFonts w:ascii="Arial" w:hAnsi="Arial" w:cs="Arial"/>
          <w:color w:val="000000"/>
          <w:sz w:val="18"/>
          <w:szCs w:val="18"/>
          <w:lang w:eastAsia="en-NZ"/>
        </w:rPr>
        <w:t xml:space="preserve">You are free to copy, distribute and adapt the work, as long as you attribute the work to the copyright holder and abide by the other licence terms. To view a copy of this licence, visit </w:t>
      </w:r>
      <w:r>
        <w:rPr>
          <w:rFonts w:ascii="Arial" w:hAnsi="Arial" w:cs="Arial"/>
          <w:sz w:val="18"/>
          <w:szCs w:val="18"/>
          <w:lang w:eastAsia="en-NZ"/>
        </w:rPr>
        <w:t>www.creativecommons.org/licenses/</w:t>
      </w:r>
      <w:r>
        <w:rPr>
          <w:rFonts w:ascii="Arial" w:hAnsi="Arial" w:cs="Arial"/>
          <w:sz w:val="18"/>
          <w:szCs w:val="18"/>
          <w:lang w:eastAsia="en-NZ"/>
        </w:rPr>
        <w:br/>
        <w:t>by/3.0/nz/.</w:t>
      </w:r>
    </w:p>
    <w:p w:rsidR="00892333" w:rsidRDefault="00892333" w:rsidP="00892333">
      <w:pPr>
        <w:autoSpaceDE w:val="0"/>
        <w:autoSpaceDN w:val="0"/>
        <w:adjustRightInd w:val="0"/>
        <w:spacing w:before="200"/>
        <w:ind w:left="-284"/>
        <w:rPr>
          <w:rFonts w:ascii="Arial" w:hAnsi="Arial" w:cs="Arial"/>
          <w:sz w:val="18"/>
          <w:szCs w:val="18"/>
        </w:rPr>
      </w:pPr>
      <w:r>
        <w:rPr>
          <w:rFonts w:ascii="Arial" w:hAnsi="Arial"/>
          <w:sz w:val="18"/>
        </w:rPr>
        <w:t xml:space="preserve">This report is available from the Ministry of Education’s Education Counts website:  </w:t>
      </w:r>
      <w:hyperlink r:id="rId11" w:history="1">
        <w:r w:rsidRPr="00B01B45">
          <w:rPr>
            <w:rFonts w:ascii="Arial" w:hAnsi="Arial"/>
            <w:sz w:val="18"/>
          </w:rPr>
          <w:t>www.educationcounts.govt.nz</w:t>
        </w:r>
      </w:hyperlink>
      <w:r w:rsidRPr="00B01B45">
        <w:rPr>
          <w:rFonts w:ascii="Arial" w:hAnsi="Arial"/>
          <w:sz w:val="18"/>
        </w:rPr>
        <w:t>.</w:t>
      </w:r>
    </w:p>
    <w:p w:rsidR="00ED68DB" w:rsidRPr="006511DE" w:rsidRDefault="005A56A1" w:rsidP="00B675AF">
      <w:pPr>
        <w:pStyle w:val="Insidecover"/>
        <w:spacing w:before="200" w:after="200"/>
      </w:pPr>
      <w:r>
        <w:t>June</w:t>
      </w:r>
      <w:r w:rsidR="0040002F">
        <w:t xml:space="preserve"> 2014</w:t>
      </w:r>
    </w:p>
    <w:p w:rsidR="00AF0321" w:rsidRDefault="00ED68DB" w:rsidP="002F1DA5">
      <w:pPr>
        <w:pStyle w:val="Insidecover"/>
        <w:sectPr w:rsidR="00AF0321" w:rsidSect="00832F8A">
          <w:headerReference w:type="default" r:id="rId12"/>
          <w:footerReference w:type="even" r:id="rId13"/>
          <w:type w:val="evenPage"/>
          <w:pgSz w:w="11906" w:h="16838" w:code="9"/>
          <w:pgMar w:top="1418" w:right="1701" w:bottom="1418" w:left="1701" w:header="709" w:footer="709" w:gutter="0"/>
          <w:pgNumType w:start="1"/>
          <w:cols w:space="708"/>
          <w:vAlign w:val="bottom"/>
          <w:docGrid w:linePitch="360"/>
        </w:sectPr>
      </w:pPr>
      <w:r w:rsidRPr="00BA2059">
        <w:t>ISBN (web)</w:t>
      </w:r>
      <w:r w:rsidRPr="00BA2059">
        <w:tab/>
      </w:r>
      <w:r w:rsidR="002F1DA5" w:rsidRPr="002F1DA5">
        <w:t>978-0-478-43944-1</w:t>
      </w:r>
    </w:p>
    <w:p w:rsidR="00177D52" w:rsidRDefault="00291118" w:rsidP="00072166">
      <w:pPr>
        <w:pStyle w:val="Headingspaceafter"/>
        <w:rPr>
          <w:noProof/>
        </w:rPr>
      </w:pPr>
      <w:fldSimple w:instr=" REF ReportTitle  \* MERGEFORMAT ">
        <w:r w:rsidR="00D468C5">
          <w:t>What young graduates do when they leave study</w:t>
        </w:r>
      </w:fldSimple>
    </w:p>
    <w:p w:rsidR="0088059A" w:rsidRDefault="00291118">
      <w:pPr>
        <w:pStyle w:val="TOC1"/>
        <w:rPr>
          <w:rFonts w:asciiTheme="minorHAnsi" w:eastAsiaTheme="minorEastAsia" w:hAnsiTheme="minorHAnsi" w:cstheme="minorBidi"/>
          <w:sz w:val="22"/>
          <w:szCs w:val="22"/>
          <w:lang w:eastAsia="en-NZ"/>
        </w:rPr>
      </w:pPr>
      <w:r>
        <w:fldChar w:fldCharType="begin"/>
      </w:r>
      <w:r w:rsidR="00A835C5">
        <w:instrText xml:space="preserve"> TOC \h \z \t "Heading 1,1,Heading 2,2,Appendix,1,Heading 1A,2,Heading 2a,2,Appendix Sub,2" </w:instrText>
      </w:r>
      <w:r>
        <w:fldChar w:fldCharType="separate"/>
      </w:r>
      <w:hyperlink w:anchor="_Toc387305274" w:history="1">
        <w:r w:rsidR="0088059A" w:rsidRPr="00443A98">
          <w:rPr>
            <w:rStyle w:val="Hyperlink"/>
          </w:rPr>
          <w:t>1</w:t>
        </w:r>
        <w:r w:rsidR="0088059A">
          <w:rPr>
            <w:rFonts w:asciiTheme="minorHAnsi" w:eastAsiaTheme="minorEastAsia" w:hAnsiTheme="minorHAnsi" w:cstheme="minorBidi"/>
            <w:sz w:val="22"/>
            <w:szCs w:val="22"/>
            <w:lang w:eastAsia="en-NZ"/>
          </w:rPr>
          <w:tab/>
        </w:r>
        <w:r w:rsidR="0088059A" w:rsidRPr="00443A98">
          <w:rPr>
            <w:rStyle w:val="Hyperlink"/>
          </w:rPr>
          <w:t>Introduction</w:t>
        </w:r>
        <w:r w:rsidR="0088059A">
          <w:rPr>
            <w:webHidden/>
          </w:rPr>
          <w:tab/>
        </w:r>
        <w:r>
          <w:rPr>
            <w:webHidden/>
          </w:rPr>
          <w:fldChar w:fldCharType="begin"/>
        </w:r>
        <w:r w:rsidR="0088059A">
          <w:rPr>
            <w:webHidden/>
          </w:rPr>
          <w:instrText xml:space="preserve"> PAGEREF _Toc387305274 \h </w:instrText>
        </w:r>
        <w:r>
          <w:rPr>
            <w:webHidden/>
          </w:rPr>
        </w:r>
        <w:r>
          <w:rPr>
            <w:webHidden/>
          </w:rPr>
          <w:fldChar w:fldCharType="separate"/>
        </w:r>
        <w:r w:rsidR="007A6592">
          <w:rPr>
            <w:webHidden/>
          </w:rPr>
          <w:t>3</w:t>
        </w:r>
        <w:r>
          <w:rPr>
            <w:webHidden/>
          </w:rPr>
          <w:fldChar w:fldCharType="end"/>
        </w:r>
      </w:hyperlink>
    </w:p>
    <w:p w:rsidR="0088059A" w:rsidRDefault="00291118">
      <w:pPr>
        <w:pStyle w:val="TOC2"/>
        <w:tabs>
          <w:tab w:val="left" w:pos="1134"/>
        </w:tabs>
        <w:rPr>
          <w:rFonts w:asciiTheme="minorHAnsi" w:eastAsiaTheme="minorEastAsia" w:hAnsiTheme="minorHAnsi" w:cstheme="minorBidi"/>
          <w:sz w:val="22"/>
          <w:szCs w:val="22"/>
          <w:lang w:eastAsia="en-NZ"/>
        </w:rPr>
      </w:pPr>
      <w:hyperlink w:anchor="_Toc387305275" w:history="1">
        <w:r w:rsidR="0088059A" w:rsidRPr="00443A98">
          <w:rPr>
            <w:rStyle w:val="Hyperlink"/>
          </w:rPr>
          <w:t>1.1</w:t>
        </w:r>
        <w:r w:rsidR="0088059A">
          <w:rPr>
            <w:rFonts w:asciiTheme="minorHAnsi" w:eastAsiaTheme="minorEastAsia" w:hAnsiTheme="minorHAnsi" w:cstheme="minorBidi"/>
            <w:sz w:val="22"/>
            <w:szCs w:val="22"/>
            <w:lang w:eastAsia="en-NZ"/>
          </w:rPr>
          <w:tab/>
        </w:r>
        <w:r w:rsidR="0088059A" w:rsidRPr="00443A98">
          <w:rPr>
            <w:rStyle w:val="Hyperlink"/>
          </w:rPr>
          <w:t>Background</w:t>
        </w:r>
        <w:r w:rsidR="0088059A">
          <w:rPr>
            <w:webHidden/>
          </w:rPr>
          <w:tab/>
        </w:r>
        <w:r>
          <w:rPr>
            <w:webHidden/>
          </w:rPr>
          <w:fldChar w:fldCharType="begin"/>
        </w:r>
        <w:r w:rsidR="0088059A">
          <w:rPr>
            <w:webHidden/>
          </w:rPr>
          <w:instrText xml:space="preserve"> PAGEREF _Toc387305275 \h </w:instrText>
        </w:r>
        <w:r>
          <w:rPr>
            <w:webHidden/>
          </w:rPr>
        </w:r>
        <w:r>
          <w:rPr>
            <w:webHidden/>
          </w:rPr>
          <w:fldChar w:fldCharType="separate"/>
        </w:r>
        <w:r w:rsidR="007A6592">
          <w:rPr>
            <w:webHidden/>
          </w:rPr>
          <w:t>3</w:t>
        </w:r>
        <w:r>
          <w:rPr>
            <w:webHidden/>
          </w:rPr>
          <w:fldChar w:fldCharType="end"/>
        </w:r>
      </w:hyperlink>
    </w:p>
    <w:p w:rsidR="0088059A" w:rsidRDefault="00291118">
      <w:pPr>
        <w:pStyle w:val="TOC2"/>
        <w:tabs>
          <w:tab w:val="left" w:pos="1134"/>
        </w:tabs>
        <w:rPr>
          <w:rFonts w:asciiTheme="minorHAnsi" w:eastAsiaTheme="minorEastAsia" w:hAnsiTheme="minorHAnsi" w:cstheme="minorBidi"/>
          <w:sz w:val="22"/>
          <w:szCs w:val="22"/>
          <w:lang w:eastAsia="en-NZ"/>
        </w:rPr>
      </w:pPr>
      <w:hyperlink w:anchor="_Toc387305276" w:history="1">
        <w:r w:rsidR="0088059A" w:rsidRPr="00443A98">
          <w:rPr>
            <w:rStyle w:val="Hyperlink"/>
          </w:rPr>
          <w:t>1.2</w:t>
        </w:r>
        <w:r w:rsidR="0088059A">
          <w:rPr>
            <w:rFonts w:asciiTheme="minorHAnsi" w:eastAsiaTheme="minorEastAsia" w:hAnsiTheme="minorHAnsi" w:cstheme="minorBidi"/>
            <w:sz w:val="22"/>
            <w:szCs w:val="22"/>
            <w:lang w:eastAsia="en-NZ"/>
          </w:rPr>
          <w:tab/>
        </w:r>
        <w:r w:rsidR="0088059A" w:rsidRPr="00443A98">
          <w:rPr>
            <w:rStyle w:val="Hyperlink"/>
          </w:rPr>
          <w:t>Categorising the destinations of graduates</w:t>
        </w:r>
        <w:r w:rsidR="0088059A">
          <w:rPr>
            <w:webHidden/>
          </w:rPr>
          <w:tab/>
        </w:r>
        <w:r>
          <w:rPr>
            <w:webHidden/>
          </w:rPr>
          <w:fldChar w:fldCharType="begin"/>
        </w:r>
        <w:r w:rsidR="0088059A">
          <w:rPr>
            <w:webHidden/>
          </w:rPr>
          <w:instrText xml:space="preserve"> PAGEREF _Toc387305276 \h </w:instrText>
        </w:r>
        <w:r>
          <w:rPr>
            <w:webHidden/>
          </w:rPr>
        </w:r>
        <w:r>
          <w:rPr>
            <w:webHidden/>
          </w:rPr>
          <w:fldChar w:fldCharType="separate"/>
        </w:r>
        <w:r w:rsidR="007A6592">
          <w:rPr>
            <w:webHidden/>
          </w:rPr>
          <w:t>4</w:t>
        </w:r>
        <w:r>
          <w:rPr>
            <w:webHidden/>
          </w:rPr>
          <w:fldChar w:fldCharType="end"/>
        </w:r>
      </w:hyperlink>
    </w:p>
    <w:p w:rsidR="0088059A" w:rsidRDefault="00291118">
      <w:pPr>
        <w:pStyle w:val="TOC1"/>
        <w:rPr>
          <w:rFonts w:asciiTheme="minorHAnsi" w:eastAsiaTheme="minorEastAsia" w:hAnsiTheme="minorHAnsi" w:cstheme="minorBidi"/>
          <w:sz w:val="22"/>
          <w:szCs w:val="22"/>
          <w:lang w:eastAsia="en-NZ"/>
        </w:rPr>
      </w:pPr>
      <w:hyperlink w:anchor="_Toc387305277" w:history="1">
        <w:r w:rsidR="0088059A" w:rsidRPr="00443A98">
          <w:rPr>
            <w:rStyle w:val="Hyperlink"/>
            <w:lang w:eastAsia="en-NZ"/>
          </w:rPr>
          <w:t>2</w:t>
        </w:r>
        <w:r w:rsidR="0088059A">
          <w:rPr>
            <w:rFonts w:asciiTheme="minorHAnsi" w:eastAsiaTheme="minorEastAsia" w:hAnsiTheme="minorHAnsi" w:cstheme="minorBidi"/>
            <w:sz w:val="22"/>
            <w:szCs w:val="22"/>
            <w:lang w:eastAsia="en-NZ"/>
          </w:rPr>
          <w:tab/>
        </w:r>
        <w:r w:rsidR="0088059A" w:rsidRPr="00443A98">
          <w:rPr>
            <w:rStyle w:val="Hyperlink"/>
          </w:rPr>
          <w:t>Does your level of study affect what you do?</w:t>
        </w:r>
        <w:r w:rsidR="0088059A">
          <w:rPr>
            <w:webHidden/>
          </w:rPr>
          <w:tab/>
        </w:r>
        <w:r>
          <w:rPr>
            <w:webHidden/>
          </w:rPr>
          <w:fldChar w:fldCharType="begin"/>
        </w:r>
        <w:r w:rsidR="0088059A">
          <w:rPr>
            <w:webHidden/>
          </w:rPr>
          <w:instrText xml:space="preserve"> PAGEREF _Toc387305277 \h </w:instrText>
        </w:r>
        <w:r>
          <w:rPr>
            <w:webHidden/>
          </w:rPr>
        </w:r>
        <w:r>
          <w:rPr>
            <w:webHidden/>
          </w:rPr>
          <w:fldChar w:fldCharType="separate"/>
        </w:r>
        <w:r w:rsidR="007A6592">
          <w:rPr>
            <w:webHidden/>
          </w:rPr>
          <w:t>7</w:t>
        </w:r>
        <w:r>
          <w:rPr>
            <w:webHidden/>
          </w:rPr>
          <w:fldChar w:fldCharType="end"/>
        </w:r>
      </w:hyperlink>
    </w:p>
    <w:p w:rsidR="0088059A" w:rsidRDefault="00291118">
      <w:pPr>
        <w:pStyle w:val="TOC2"/>
        <w:tabs>
          <w:tab w:val="left" w:pos="1134"/>
        </w:tabs>
        <w:rPr>
          <w:rFonts w:asciiTheme="minorHAnsi" w:eastAsiaTheme="minorEastAsia" w:hAnsiTheme="minorHAnsi" w:cstheme="minorBidi"/>
          <w:sz w:val="22"/>
          <w:szCs w:val="22"/>
          <w:lang w:eastAsia="en-NZ"/>
        </w:rPr>
      </w:pPr>
      <w:hyperlink w:anchor="_Toc387305278" w:history="1">
        <w:r w:rsidR="0088059A" w:rsidRPr="00443A98">
          <w:rPr>
            <w:rStyle w:val="Hyperlink"/>
          </w:rPr>
          <w:t>2.1</w:t>
        </w:r>
        <w:r w:rsidR="0088059A">
          <w:rPr>
            <w:rFonts w:asciiTheme="minorHAnsi" w:eastAsiaTheme="minorEastAsia" w:hAnsiTheme="minorHAnsi" w:cstheme="minorBidi"/>
            <w:sz w:val="22"/>
            <w:szCs w:val="22"/>
            <w:lang w:eastAsia="en-NZ"/>
          </w:rPr>
          <w:tab/>
        </w:r>
        <w:r w:rsidR="0088059A" w:rsidRPr="00443A98">
          <w:rPr>
            <w:rStyle w:val="Hyperlink"/>
          </w:rPr>
          <w:t>General patterns</w:t>
        </w:r>
        <w:r w:rsidR="0088059A">
          <w:rPr>
            <w:webHidden/>
          </w:rPr>
          <w:tab/>
        </w:r>
        <w:r>
          <w:rPr>
            <w:webHidden/>
          </w:rPr>
          <w:fldChar w:fldCharType="begin"/>
        </w:r>
        <w:r w:rsidR="0088059A">
          <w:rPr>
            <w:webHidden/>
          </w:rPr>
          <w:instrText xml:space="preserve"> PAGEREF _Toc387305278 \h </w:instrText>
        </w:r>
        <w:r>
          <w:rPr>
            <w:webHidden/>
          </w:rPr>
        </w:r>
        <w:r>
          <w:rPr>
            <w:webHidden/>
          </w:rPr>
          <w:fldChar w:fldCharType="separate"/>
        </w:r>
        <w:r w:rsidR="007A6592">
          <w:rPr>
            <w:webHidden/>
          </w:rPr>
          <w:t>7</w:t>
        </w:r>
        <w:r>
          <w:rPr>
            <w:webHidden/>
          </w:rPr>
          <w:fldChar w:fldCharType="end"/>
        </w:r>
      </w:hyperlink>
    </w:p>
    <w:p w:rsidR="0088059A" w:rsidRDefault="00291118">
      <w:pPr>
        <w:pStyle w:val="TOC2"/>
        <w:tabs>
          <w:tab w:val="left" w:pos="1134"/>
        </w:tabs>
        <w:rPr>
          <w:rFonts w:asciiTheme="minorHAnsi" w:eastAsiaTheme="minorEastAsia" w:hAnsiTheme="minorHAnsi" w:cstheme="minorBidi"/>
          <w:sz w:val="22"/>
          <w:szCs w:val="22"/>
          <w:lang w:eastAsia="en-NZ"/>
        </w:rPr>
      </w:pPr>
      <w:hyperlink w:anchor="_Toc387305279" w:history="1">
        <w:r w:rsidR="0088059A" w:rsidRPr="00443A98">
          <w:rPr>
            <w:rStyle w:val="Hyperlink"/>
            <w:lang w:eastAsia="en-NZ"/>
          </w:rPr>
          <w:t>2.2</w:t>
        </w:r>
        <w:r w:rsidR="0088059A">
          <w:rPr>
            <w:rFonts w:asciiTheme="minorHAnsi" w:eastAsiaTheme="minorEastAsia" w:hAnsiTheme="minorHAnsi" w:cstheme="minorBidi"/>
            <w:sz w:val="22"/>
            <w:szCs w:val="22"/>
            <w:lang w:eastAsia="en-NZ"/>
          </w:rPr>
          <w:tab/>
        </w:r>
        <w:r w:rsidR="0088059A" w:rsidRPr="00443A98">
          <w:rPr>
            <w:rStyle w:val="Hyperlink"/>
            <w:lang w:eastAsia="en-NZ"/>
          </w:rPr>
          <w:t>Going overseas</w:t>
        </w:r>
        <w:r w:rsidR="0088059A">
          <w:rPr>
            <w:webHidden/>
          </w:rPr>
          <w:tab/>
        </w:r>
        <w:r>
          <w:rPr>
            <w:webHidden/>
          </w:rPr>
          <w:fldChar w:fldCharType="begin"/>
        </w:r>
        <w:r w:rsidR="0088059A">
          <w:rPr>
            <w:webHidden/>
          </w:rPr>
          <w:instrText xml:space="preserve"> PAGEREF _Toc387305279 \h </w:instrText>
        </w:r>
        <w:r>
          <w:rPr>
            <w:webHidden/>
          </w:rPr>
        </w:r>
        <w:r>
          <w:rPr>
            <w:webHidden/>
          </w:rPr>
          <w:fldChar w:fldCharType="separate"/>
        </w:r>
        <w:r w:rsidR="007A6592">
          <w:rPr>
            <w:webHidden/>
          </w:rPr>
          <w:t>11</w:t>
        </w:r>
        <w:r>
          <w:rPr>
            <w:webHidden/>
          </w:rPr>
          <w:fldChar w:fldCharType="end"/>
        </w:r>
      </w:hyperlink>
    </w:p>
    <w:p w:rsidR="0088059A" w:rsidRDefault="00291118">
      <w:pPr>
        <w:pStyle w:val="TOC2"/>
        <w:tabs>
          <w:tab w:val="left" w:pos="1134"/>
        </w:tabs>
        <w:rPr>
          <w:rFonts w:asciiTheme="minorHAnsi" w:eastAsiaTheme="minorEastAsia" w:hAnsiTheme="minorHAnsi" w:cstheme="minorBidi"/>
          <w:sz w:val="22"/>
          <w:szCs w:val="22"/>
          <w:lang w:eastAsia="en-NZ"/>
        </w:rPr>
      </w:pPr>
      <w:hyperlink w:anchor="_Toc387305280" w:history="1">
        <w:r w:rsidR="0088059A" w:rsidRPr="00443A98">
          <w:rPr>
            <w:rStyle w:val="Hyperlink"/>
          </w:rPr>
          <w:t>2.3</w:t>
        </w:r>
        <w:r w:rsidR="0088059A">
          <w:rPr>
            <w:rFonts w:asciiTheme="minorHAnsi" w:eastAsiaTheme="minorEastAsia" w:hAnsiTheme="minorHAnsi" w:cstheme="minorBidi"/>
            <w:sz w:val="22"/>
            <w:szCs w:val="22"/>
            <w:lang w:eastAsia="en-NZ"/>
          </w:rPr>
          <w:tab/>
        </w:r>
        <w:r w:rsidR="0088059A" w:rsidRPr="00443A98">
          <w:rPr>
            <w:rStyle w:val="Hyperlink"/>
          </w:rPr>
          <w:t>Have overseas rates changed over time?</w:t>
        </w:r>
        <w:r w:rsidR="0088059A">
          <w:rPr>
            <w:webHidden/>
          </w:rPr>
          <w:tab/>
        </w:r>
        <w:r>
          <w:rPr>
            <w:webHidden/>
          </w:rPr>
          <w:fldChar w:fldCharType="begin"/>
        </w:r>
        <w:r w:rsidR="0088059A">
          <w:rPr>
            <w:webHidden/>
          </w:rPr>
          <w:instrText xml:space="preserve"> PAGEREF _Toc387305280 \h </w:instrText>
        </w:r>
        <w:r>
          <w:rPr>
            <w:webHidden/>
          </w:rPr>
        </w:r>
        <w:r>
          <w:rPr>
            <w:webHidden/>
          </w:rPr>
          <w:fldChar w:fldCharType="separate"/>
        </w:r>
        <w:r w:rsidR="007A6592">
          <w:rPr>
            <w:webHidden/>
          </w:rPr>
          <w:t>13</w:t>
        </w:r>
        <w:r>
          <w:rPr>
            <w:webHidden/>
          </w:rPr>
          <w:fldChar w:fldCharType="end"/>
        </w:r>
      </w:hyperlink>
    </w:p>
    <w:p w:rsidR="0088059A" w:rsidRDefault="00291118">
      <w:pPr>
        <w:pStyle w:val="TOC2"/>
        <w:tabs>
          <w:tab w:val="left" w:pos="1134"/>
        </w:tabs>
        <w:rPr>
          <w:rFonts w:asciiTheme="minorHAnsi" w:eastAsiaTheme="minorEastAsia" w:hAnsiTheme="minorHAnsi" w:cstheme="minorBidi"/>
          <w:sz w:val="22"/>
          <w:szCs w:val="22"/>
          <w:lang w:eastAsia="en-NZ"/>
        </w:rPr>
      </w:pPr>
      <w:hyperlink w:anchor="_Toc387305281" w:history="1">
        <w:r w:rsidR="0088059A" w:rsidRPr="00443A98">
          <w:rPr>
            <w:rStyle w:val="Hyperlink"/>
            <w:lang w:eastAsia="en-NZ"/>
          </w:rPr>
          <w:t>2.4</w:t>
        </w:r>
        <w:r w:rsidR="0088059A">
          <w:rPr>
            <w:rFonts w:asciiTheme="minorHAnsi" w:eastAsiaTheme="minorEastAsia" w:hAnsiTheme="minorHAnsi" w:cstheme="minorBidi"/>
            <w:sz w:val="22"/>
            <w:szCs w:val="22"/>
            <w:lang w:eastAsia="en-NZ"/>
          </w:rPr>
          <w:tab/>
        </w:r>
        <w:r w:rsidR="0088059A" w:rsidRPr="00443A98">
          <w:rPr>
            <w:rStyle w:val="Hyperlink"/>
            <w:lang w:eastAsia="en-NZ"/>
          </w:rPr>
          <w:t>Have graduate destinations changed over time?</w:t>
        </w:r>
        <w:r w:rsidR="0088059A">
          <w:rPr>
            <w:webHidden/>
          </w:rPr>
          <w:tab/>
        </w:r>
        <w:r>
          <w:rPr>
            <w:webHidden/>
          </w:rPr>
          <w:fldChar w:fldCharType="begin"/>
        </w:r>
        <w:r w:rsidR="0088059A">
          <w:rPr>
            <w:webHidden/>
          </w:rPr>
          <w:instrText xml:space="preserve"> PAGEREF _Toc387305281 \h </w:instrText>
        </w:r>
        <w:r>
          <w:rPr>
            <w:webHidden/>
          </w:rPr>
        </w:r>
        <w:r>
          <w:rPr>
            <w:webHidden/>
          </w:rPr>
          <w:fldChar w:fldCharType="separate"/>
        </w:r>
        <w:r w:rsidR="007A6592">
          <w:rPr>
            <w:webHidden/>
          </w:rPr>
          <w:t>16</w:t>
        </w:r>
        <w:r>
          <w:rPr>
            <w:webHidden/>
          </w:rPr>
          <w:fldChar w:fldCharType="end"/>
        </w:r>
      </w:hyperlink>
    </w:p>
    <w:p w:rsidR="0088059A" w:rsidRDefault="00291118">
      <w:pPr>
        <w:pStyle w:val="TOC1"/>
        <w:rPr>
          <w:rFonts w:asciiTheme="minorHAnsi" w:eastAsiaTheme="minorEastAsia" w:hAnsiTheme="minorHAnsi" w:cstheme="minorBidi"/>
          <w:sz w:val="22"/>
          <w:szCs w:val="22"/>
          <w:lang w:eastAsia="en-NZ"/>
        </w:rPr>
      </w:pPr>
      <w:hyperlink w:anchor="_Toc387305282" w:history="1">
        <w:r w:rsidR="0088059A" w:rsidRPr="00443A98">
          <w:rPr>
            <w:rStyle w:val="Hyperlink"/>
          </w:rPr>
          <w:t>3</w:t>
        </w:r>
        <w:r w:rsidR="0088059A">
          <w:rPr>
            <w:rFonts w:asciiTheme="minorHAnsi" w:eastAsiaTheme="minorEastAsia" w:hAnsiTheme="minorHAnsi" w:cstheme="minorBidi"/>
            <w:sz w:val="22"/>
            <w:szCs w:val="22"/>
            <w:lang w:eastAsia="en-NZ"/>
          </w:rPr>
          <w:tab/>
        </w:r>
        <w:r w:rsidR="0088059A" w:rsidRPr="00443A98">
          <w:rPr>
            <w:rStyle w:val="Hyperlink"/>
          </w:rPr>
          <w:t>What graduates who complete a bachelors degree do after study.</w:t>
        </w:r>
        <w:r w:rsidR="0088059A">
          <w:rPr>
            <w:webHidden/>
          </w:rPr>
          <w:tab/>
        </w:r>
        <w:r>
          <w:rPr>
            <w:webHidden/>
          </w:rPr>
          <w:fldChar w:fldCharType="begin"/>
        </w:r>
        <w:r w:rsidR="0088059A">
          <w:rPr>
            <w:webHidden/>
          </w:rPr>
          <w:instrText xml:space="preserve"> PAGEREF _Toc387305282 \h </w:instrText>
        </w:r>
        <w:r>
          <w:rPr>
            <w:webHidden/>
          </w:rPr>
        </w:r>
        <w:r>
          <w:rPr>
            <w:webHidden/>
          </w:rPr>
          <w:fldChar w:fldCharType="separate"/>
        </w:r>
        <w:r w:rsidR="007A6592">
          <w:rPr>
            <w:webHidden/>
          </w:rPr>
          <w:t>22</w:t>
        </w:r>
        <w:r>
          <w:rPr>
            <w:webHidden/>
          </w:rPr>
          <w:fldChar w:fldCharType="end"/>
        </w:r>
      </w:hyperlink>
    </w:p>
    <w:p w:rsidR="0088059A" w:rsidRDefault="00291118">
      <w:pPr>
        <w:pStyle w:val="TOC2"/>
        <w:tabs>
          <w:tab w:val="left" w:pos="1134"/>
        </w:tabs>
        <w:rPr>
          <w:rFonts w:asciiTheme="minorHAnsi" w:eastAsiaTheme="minorEastAsia" w:hAnsiTheme="minorHAnsi" w:cstheme="minorBidi"/>
          <w:sz w:val="22"/>
          <w:szCs w:val="22"/>
          <w:lang w:eastAsia="en-NZ"/>
        </w:rPr>
      </w:pPr>
      <w:hyperlink w:anchor="_Toc387305283" w:history="1">
        <w:r w:rsidR="0088059A" w:rsidRPr="00443A98">
          <w:rPr>
            <w:rStyle w:val="Hyperlink"/>
          </w:rPr>
          <w:t>3.1</w:t>
        </w:r>
        <w:r w:rsidR="0088059A">
          <w:rPr>
            <w:rFonts w:asciiTheme="minorHAnsi" w:eastAsiaTheme="minorEastAsia" w:hAnsiTheme="minorHAnsi" w:cstheme="minorBidi"/>
            <w:sz w:val="22"/>
            <w:szCs w:val="22"/>
            <w:lang w:eastAsia="en-NZ"/>
          </w:rPr>
          <w:tab/>
        </w:r>
        <w:r w:rsidR="0088059A" w:rsidRPr="00443A98">
          <w:rPr>
            <w:rStyle w:val="Hyperlink"/>
          </w:rPr>
          <w:t>Outcomes for bachelors graduates by broad field of study</w:t>
        </w:r>
        <w:r w:rsidR="0088059A">
          <w:rPr>
            <w:webHidden/>
          </w:rPr>
          <w:tab/>
        </w:r>
        <w:r>
          <w:rPr>
            <w:webHidden/>
          </w:rPr>
          <w:fldChar w:fldCharType="begin"/>
        </w:r>
        <w:r w:rsidR="0088059A">
          <w:rPr>
            <w:webHidden/>
          </w:rPr>
          <w:instrText xml:space="preserve"> PAGEREF _Toc387305283 \h </w:instrText>
        </w:r>
        <w:r>
          <w:rPr>
            <w:webHidden/>
          </w:rPr>
        </w:r>
        <w:r>
          <w:rPr>
            <w:webHidden/>
          </w:rPr>
          <w:fldChar w:fldCharType="separate"/>
        </w:r>
        <w:r w:rsidR="007A6592">
          <w:rPr>
            <w:webHidden/>
          </w:rPr>
          <w:t>22</w:t>
        </w:r>
        <w:r>
          <w:rPr>
            <w:webHidden/>
          </w:rPr>
          <w:fldChar w:fldCharType="end"/>
        </w:r>
      </w:hyperlink>
    </w:p>
    <w:p w:rsidR="0088059A" w:rsidRDefault="00291118">
      <w:pPr>
        <w:pStyle w:val="TOC2"/>
        <w:tabs>
          <w:tab w:val="left" w:pos="1134"/>
        </w:tabs>
        <w:rPr>
          <w:rFonts w:asciiTheme="minorHAnsi" w:eastAsiaTheme="minorEastAsia" w:hAnsiTheme="minorHAnsi" w:cstheme="minorBidi"/>
          <w:sz w:val="22"/>
          <w:szCs w:val="22"/>
          <w:lang w:eastAsia="en-NZ"/>
        </w:rPr>
      </w:pPr>
      <w:hyperlink w:anchor="_Toc387305284" w:history="1">
        <w:r w:rsidR="0088059A" w:rsidRPr="00443A98">
          <w:rPr>
            <w:rStyle w:val="Hyperlink"/>
          </w:rPr>
          <w:t>3.2</w:t>
        </w:r>
        <w:r w:rsidR="0088059A">
          <w:rPr>
            <w:rFonts w:asciiTheme="minorHAnsi" w:eastAsiaTheme="minorEastAsia" w:hAnsiTheme="minorHAnsi" w:cstheme="minorBidi"/>
            <w:sz w:val="22"/>
            <w:szCs w:val="22"/>
            <w:lang w:eastAsia="en-NZ"/>
          </w:rPr>
          <w:tab/>
        </w:r>
        <w:r w:rsidR="0088059A" w:rsidRPr="00443A98">
          <w:rPr>
            <w:rStyle w:val="Hyperlink"/>
          </w:rPr>
          <w:t>Outcomes for bachelors graduates by narrow field of study</w:t>
        </w:r>
        <w:r w:rsidR="0088059A">
          <w:rPr>
            <w:webHidden/>
          </w:rPr>
          <w:tab/>
        </w:r>
        <w:r>
          <w:rPr>
            <w:webHidden/>
          </w:rPr>
          <w:fldChar w:fldCharType="begin"/>
        </w:r>
        <w:r w:rsidR="0088059A">
          <w:rPr>
            <w:webHidden/>
          </w:rPr>
          <w:instrText xml:space="preserve"> PAGEREF _Toc387305284 \h </w:instrText>
        </w:r>
        <w:r>
          <w:rPr>
            <w:webHidden/>
          </w:rPr>
        </w:r>
        <w:r>
          <w:rPr>
            <w:webHidden/>
          </w:rPr>
          <w:fldChar w:fldCharType="separate"/>
        </w:r>
        <w:r w:rsidR="007A6592">
          <w:rPr>
            <w:webHidden/>
          </w:rPr>
          <w:t>24</w:t>
        </w:r>
        <w:r>
          <w:rPr>
            <w:webHidden/>
          </w:rPr>
          <w:fldChar w:fldCharType="end"/>
        </w:r>
      </w:hyperlink>
    </w:p>
    <w:p w:rsidR="0088059A" w:rsidRDefault="00291118">
      <w:pPr>
        <w:pStyle w:val="TOC1"/>
        <w:rPr>
          <w:rFonts w:asciiTheme="minorHAnsi" w:eastAsiaTheme="minorEastAsia" w:hAnsiTheme="minorHAnsi" w:cstheme="minorBidi"/>
          <w:sz w:val="22"/>
          <w:szCs w:val="22"/>
          <w:lang w:eastAsia="en-NZ"/>
        </w:rPr>
      </w:pPr>
      <w:hyperlink w:anchor="_Toc387305285" w:history="1">
        <w:r w:rsidR="0088059A" w:rsidRPr="00443A98">
          <w:rPr>
            <w:rStyle w:val="Hyperlink"/>
          </w:rPr>
          <w:t>4</w:t>
        </w:r>
        <w:r w:rsidR="0088059A">
          <w:rPr>
            <w:rFonts w:asciiTheme="minorHAnsi" w:eastAsiaTheme="minorEastAsia" w:hAnsiTheme="minorHAnsi" w:cstheme="minorBidi"/>
            <w:sz w:val="22"/>
            <w:szCs w:val="22"/>
            <w:lang w:eastAsia="en-NZ"/>
          </w:rPr>
          <w:tab/>
        </w:r>
        <w:r w:rsidR="0088059A" w:rsidRPr="00443A98">
          <w:rPr>
            <w:rStyle w:val="Hyperlink"/>
          </w:rPr>
          <w:t>Focus</w:t>
        </w:r>
        <w:r w:rsidR="0088059A">
          <w:rPr>
            <w:rStyle w:val="Hyperlink"/>
          </w:rPr>
          <w:t>ing on graduates who remain in New Z</w:t>
        </w:r>
        <w:r w:rsidR="0088059A" w:rsidRPr="00443A98">
          <w:rPr>
            <w:rStyle w:val="Hyperlink"/>
          </w:rPr>
          <w:t>ealand</w:t>
        </w:r>
        <w:r w:rsidR="0088059A">
          <w:rPr>
            <w:webHidden/>
          </w:rPr>
          <w:tab/>
        </w:r>
        <w:r>
          <w:rPr>
            <w:webHidden/>
          </w:rPr>
          <w:fldChar w:fldCharType="begin"/>
        </w:r>
        <w:r w:rsidR="0088059A">
          <w:rPr>
            <w:webHidden/>
          </w:rPr>
          <w:instrText xml:space="preserve"> PAGEREF _Toc387305285 \h </w:instrText>
        </w:r>
        <w:r>
          <w:rPr>
            <w:webHidden/>
          </w:rPr>
        </w:r>
        <w:r>
          <w:rPr>
            <w:webHidden/>
          </w:rPr>
          <w:fldChar w:fldCharType="separate"/>
        </w:r>
        <w:r w:rsidR="007A6592">
          <w:rPr>
            <w:webHidden/>
          </w:rPr>
          <w:t>29</w:t>
        </w:r>
        <w:r>
          <w:rPr>
            <w:webHidden/>
          </w:rPr>
          <w:fldChar w:fldCharType="end"/>
        </w:r>
      </w:hyperlink>
    </w:p>
    <w:p w:rsidR="0088059A" w:rsidRDefault="00291118">
      <w:pPr>
        <w:pStyle w:val="TOC1"/>
        <w:rPr>
          <w:rFonts w:asciiTheme="minorHAnsi" w:eastAsiaTheme="minorEastAsia" w:hAnsiTheme="minorHAnsi" w:cstheme="minorBidi"/>
          <w:sz w:val="22"/>
          <w:szCs w:val="22"/>
          <w:lang w:eastAsia="en-NZ"/>
        </w:rPr>
      </w:pPr>
      <w:hyperlink w:anchor="_Toc387305286" w:history="1">
        <w:r w:rsidR="0088059A" w:rsidRPr="00443A98">
          <w:rPr>
            <w:rStyle w:val="Hyperlink"/>
          </w:rPr>
          <w:t>5</w:t>
        </w:r>
        <w:r w:rsidR="0088059A">
          <w:rPr>
            <w:rFonts w:asciiTheme="minorHAnsi" w:eastAsiaTheme="minorEastAsia" w:hAnsiTheme="minorHAnsi" w:cstheme="minorBidi"/>
            <w:sz w:val="22"/>
            <w:szCs w:val="22"/>
            <w:lang w:eastAsia="en-NZ"/>
          </w:rPr>
          <w:tab/>
        </w:r>
        <w:r w:rsidR="0088059A" w:rsidRPr="00443A98">
          <w:rPr>
            <w:rStyle w:val="Hyperlink"/>
          </w:rPr>
          <w:t>Conclusion</w:t>
        </w:r>
        <w:r w:rsidR="0088059A">
          <w:rPr>
            <w:webHidden/>
          </w:rPr>
          <w:tab/>
        </w:r>
        <w:r>
          <w:rPr>
            <w:webHidden/>
          </w:rPr>
          <w:fldChar w:fldCharType="begin"/>
        </w:r>
        <w:r w:rsidR="0088059A">
          <w:rPr>
            <w:webHidden/>
          </w:rPr>
          <w:instrText xml:space="preserve"> PAGEREF _Toc387305286 \h </w:instrText>
        </w:r>
        <w:r>
          <w:rPr>
            <w:webHidden/>
          </w:rPr>
        </w:r>
        <w:r>
          <w:rPr>
            <w:webHidden/>
          </w:rPr>
          <w:fldChar w:fldCharType="separate"/>
        </w:r>
        <w:r w:rsidR="007A6592">
          <w:rPr>
            <w:webHidden/>
          </w:rPr>
          <w:t>31</w:t>
        </w:r>
        <w:r>
          <w:rPr>
            <w:webHidden/>
          </w:rPr>
          <w:fldChar w:fldCharType="end"/>
        </w:r>
      </w:hyperlink>
    </w:p>
    <w:p w:rsidR="0088059A" w:rsidRDefault="00291118">
      <w:pPr>
        <w:pStyle w:val="TOC1"/>
        <w:rPr>
          <w:rFonts w:asciiTheme="minorHAnsi" w:eastAsiaTheme="minorEastAsia" w:hAnsiTheme="minorHAnsi" w:cstheme="minorBidi"/>
          <w:sz w:val="22"/>
          <w:szCs w:val="22"/>
          <w:lang w:eastAsia="en-NZ"/>
        </w:rPr>
      </w:pPr>
      <w:hyperlink w:anchor="_Toc387305287" w:history="1">
        <w:r w:rsidR="0088059A" w:rsidRPr="00443A98">
          <w:rPr>
            <w:rStyle w:val="Hyperlink"/>
          </w:rPr>
          <w:t>6</w:t>
        </w:r>
        <w:r w:rsidR="0088059A">
          <w:rPr>
            <w:rFonts w:asciiTheme="minorHAnsi" w:eastAsiaTheme="minorEastAsia" w:hAnsiTheme="minorHAnsi" w:cstheme="minorBidi"/>
            <w:sz w:val="22"/>
            <w:szCs w:val="22"/>
            <w:lang w:eastAsia="en-NZ"/>
          </w:rPr>
          <w:tab/>
        </w:r>
        <w:r w:rsidR="0088059A" w:rsidRPr="00443A98">
          <w:rPr>
            <w:rStyle w:val="Hyperlink"/>
          </w:rPr>
          <w:t>Data and Definitions</w:t>
        </w:r>
        <w:r w:rsidR="0088059A">
          <w:rPr>
            <w:webHidden/>
          </w:rPr>
          <w:tab/>
        </w:r>
        <w:r>
          <w:rPr>
            <w:webHidden/>
          </w:rPr>
          <w:fldChar w:fldCharType="begin"/>
        </w:r>
        <w:r w:rsidR="0088059A">
          <w:rPr>
            <w:webHidden/>
          </w:rPr>
          <w:instrText xml:space="preserve"> PAGEREF _Toc387305287 \h </w:instrText>
        </w:r>
        <w:r>
          <w:rPr>
            <w:webHidden/>
          </w:rPr>
        </w:r>
        <w:r>
          <w:rPr>
            <w:webHidden/>
          </w:rPr>
          <w:fldChar w:fldCharType="separate"/>
        </w:r>
        <w:r w:rsidR="007A6592">
          <w:rPr>
            <w:webHidden/>
          </w:rPr>
          <w:t>32</w:t>
        </w:r>
        <w:r>
          <w:rPr>
            <w:webHidden/>
          </w:rPr>
          <w:fldChar w:fldCharType="end"/>
        </w:r>
      </w:hyperlink>
    </w:p>
    <w:p w:rsidR="0088059A" w:rsidRDefault="00291118" w:rsidP="0088059A">
      <w:pPr>
        <w:pStyle w:val="TOC1"/>
        <w:tabs>
          <w:tab w:val="left" w:pos="1320"/>
        </w:tabs>
        <w:ind w:left="1134" w:hanging="1134"/>
        <w:rPr>
          <w:rFonts w:asciiTheme="minorHAnsi" w:eastAsiaTheme="minorEastAsia" w:hAnsiTheme="minorHAnsi" w:cstheme="minorBidi"/>
          <w:sz w:val="22"/>
          <w:szCs w:val="22"/>
          <w:lang w:eastAsia="en-NZ"/>
        </w:rPr>
      </w:pPr>
      <w:hyperlink w:anchor="_Toc387305288" w:history="1">
        <w:r w:rsidR="0088059A" w:rsidRPr="00443A98">
          <w:rPr>
            <w:rStyle w:val="Hyperlink"/>
          </w:rPr>
          <w:t>Appendix A</w:t>
        </w:r>
        <w:r w:rsidR="0088059A">
          <w:rPr>
            <w:rFonts w:asciiTheme="minorHAnsi" w:eastAsiaTheme="minorEastAsia" w:hAnsiTheme="minorHAnsi" w:cstheme="minorBidi"/>
            <w:sz w:val="22"/>
            <w:szCs w:val="22"/>
            <w:lang w:eastAsia="en-NZ"/>
          </w:rPr>
          <w:tab/>
        </w:r>
        <w:r w:rsidR="0088059A" w:rsidRPr="00443A98">
          <w:rPr>
            <w:rStyle w:val="Hyperlink"/>
          </w:rPr>
          <w:t xml:space="preserve">Destinations for young domestic bachelors graduates </w:t>
        </w:r>
        <w:r w:rsidR="0088059A">
          <w:rPr>
            <w:rStyle w:val="Hyperlink"/>
          </w:rPr>
          <w:t xml:space="preserve">by narrow field of study </w:t>
        </w:r>
        <w:r w:rsidR="0088059A">
          <w:rPr>
            <w:webHidden/>
          </w:rPr>
          <w:tab/>
        </w:r>
        <w:r>
          <w:rPr>
            <w:webHidden/>
          </w:rPr>
          <w:fldChar w:fldCharType="begin"/>
        </w:r>
        <w:r w:rsidR="0088059A">
          <w:rPr>
            <w:webHidden/>
          </w:rPr>
          <w:instrText xml:space="preserve"> PAGEREF _Toc387305288 \h </w:instrText>
        </w:r>
        <w:r>
          <w:rPr>
            <w:webHidden/>
          </w:rPr>
        </w:r>
        <w:r>
          <w:rPr>
            <w:webHidden/>
          </w:rPr>
          <w:fldChar w:fldCharType="separate"/>
        </w:r>
        <w:r w:rsidR="007A6592">
          <w:rPr>
            <w:webHidden/>
          </w:rPr>
          <w:t>37</w:t>
        </w:r>
        <w:r>
          <w:rPr>
            <w:webHidden/>
          </w:rPr>
          <w:fldChar w:fldCharType="end"/>
        </w:r>
      </w:hyperlink>
    </w:p>
    <w:p w:rsidR="0088059A" w:rsidRDefault="00291118">
      <w:pPr>
        <w:pStyle w:val="TOC1"/>
        <w:rPr>
          <w:rFonts w:asciiTheme="minorHAnsi" w:eastAsiaTheme="minorEastAsia" w:hAnsiTheme="minorHAnsi" w:cstheme="minorBidi"/>
          <w:sz w:val="22"/>
          <w:szCs w:val="22"/>
          <w:lang w:eastAsia="en-NZ"/>
        </w:rPr>
      </w:pPr>
      <w:hyperlink w:anchor="_Toc387305289" w:history="1">
        <w:r w:rsidR="0088059A" w:rsidRPr="00443A98">
          <w:rPr>
            <w:rStyle w:val="Hyperlink"/>
          </w:rPr>
          <w:t>REFERENCES</w:t>
        </w:r>
        <w:r w:rsidR="0088059A">
          <w:rPr>
            <w:webHidden/>
          </w:rPr>
          <w:tab/>
        </w:r>
        <w:r>
          <w:rPr>
            <w:webHidden/>
          </w:rPr>
          <w:fldChar w:fldCharType="begin"/>
        </w:r>
        <w:r w:rsidR="0088059A">
          <w:rPr>
            <w:webHidden/>
          </w:rPr>
          <w:instrText xml:space="preserve"> PAGEREF _Toc387305289 \h </w:instrText>
        </w:r>
        <w:r>
          <w:rPr>
            <w:webHidden/>
          </w:rPr>
        </w:r>
        <w:r>
          <w:rPr>
            <w:webHidden/>
          </w:rPr>
          <w:fldChar w:fldCharType="separate"/>
        </w:r>
        <w:r w:rsidR="007A6592">
          <w:rPr>
            <w:webHidden/>
          </w:rPr>
          <w:t>42</w:t>
        </w:r>
        <w:r>
          <w:rPr>
            <w:webHidden/>
          </w:rPr>
          <w:fldChar w:fldCharType="end"/>
        </w:r>
      </w:hyperlink>
    </w:p>
    <w:p w:rsidR="00177D52" w:rsidRDefault="00291118" w:rsidP="009A78FC">
      <w:pPr>
        <w:rPr>
          <w:noProof/>
        </w:rPr>
      </w:pPr>
      <w:r>
        <w:rPr>
          <w:rFonts w:ascii="Arial" w:hAnsi="Arial" w:cs="Arial"/>
          <w:noProof/>
          <w:sz w:val="20"/>
          <w:szCs w:val="20"/>
        </w:rPr>
        <w:fldChar w:fldCharType="end"/>
      </w:r>
    </w:p>
    <w:p w:rsidR="00326930" w:rsidRDefault="00ED68DB" w:rsidP="00326930">
      <w:pPr>
        <w:pStyle w:val="Heading"/>
      </w:pPr>
      <w:r>
        <w:br w:type="page"/>
      </w:r>
      <w:r w:rsidR="004F525C" w:rsidRPr="00FA7235">
        <w:lastRenderedPageBreak/>
        <w:t>Figures</w:t>
      </w:r>
      <w:r w:rsidR="00942A6C">
        <w:t xml:space="preserve"> </w:t>
      </w:r>
    </w:p>
    <w:tbl>
      <w:tblPr>
        <w:tblW w:w="8052" w:type="dxa"/>
        <w:tblLayout w:type="fixed"/>
        <w:tblLook w:val="01E0"/>
      </w:tblPr>
      <w:tblGrid>
        <w:gridCol w:w="8052"/>
      </w:tblGrid>
      <w:tr w:rsidR="00FD6909" w:rsidTr="00FD6909">
        <w:tc>
          <w:tcPr>
            <w:tcW w:w="8052" w:type="dxa"/>
          </w:tcPr>
          <w:p w:rsidR="0088059A" w:rsidRDefault="00291118" w:rsidP="0088059A">
            <w:pPr>
              <w:pStyle w:val="TableofFigures"/>
              <w:numPr>
                <w:ilvl w:val="0"/>
                <w:numId w:val="69"/>
              </w:numPr>
              <w:ind w:left="567" w:hanging="567"/>
              <w:rPr>
                <w:rFonts w:asciiTheme="minorHAnsi" w:eastAsiaTheme="minorEastAsia" w:hAnsiTheme="minorHAnsi" w:cstheme="minorBidi"/>
                <w:noProof/>
                <w:sz w:val="22"/>
                <w:szCs w:val="22"/>
                <w:lang w:eastAsia="en-NZ"/>
              </w:rPr>
            </w:pPr>
            <w:r w:rsidRPr="00291118">
              <w:fldChar w:fldCharType="begin"/>
            </w:r>
            <w:r w:rsidR="00FD6909">
              <w:instrText xml:space="preserve"> TOC \h \z \t "Figure label" \c </w:instrText>
            </w:r>
            <w:r w:rsidRPr="00291118">
              <w:fldChar w:fldCharType="separate"/>
            </w:r>
            <w:hyperlink w:anchor="_Toc387305350" w:history="1">
              <w:r w:rsidR="0088059A" w:rsidRPr="00A74473">
                <w:rPr>
                  <w:rStyle w:val="Hyperlink"/>
                  <w:noProof/>
                </w:rPr>
                <w:t>Flowchart showing the rules used to assign graduates to a destination.  Graduates are assigned to a single destination in each year after they complete a qualification</w:t>
              </w:r>
              <w:r w:rsidR="0088059A">
                <w:rPr>
                  <w:noProof/>
                  <w:webHidden/>
                </w:rPr>
                <w:tab/>
              </w:r>
              <w:r>
                <w:rPr>
                  <w:noProof/>
                  <w:webHidden/>
                </w:rPr>
                <w:fldChar w:fldCharType="begin"/>
              </w:r>
              <w:r w:rsidR="0088059A">
                <w:rPr>
                  <w:noProof/>
                  <w:webHidden/>
                </w:rPr>
                <w:instrText xml:space="preserve"> PAGEREF _Toc387305350 \h </w:instrText>
              </w:r>
              <w:r>
                <w:rPr>
                  <w:noProof/>
                  <w:webHidden/>
                </w:rPr>
              </w:r>
              <w:r>
                <w:rPr>
                  <w:noProof/>
                  <w:webHidden/>
                </w:rPr>
                <w:fldChar w:fldCharType="separate"/>
              </w:r>
              <w:r w:rsidR="007A6592">
                <w:rPr>
                  <w:noProof/>
                  <w:webHidden/>
                </w:rPr>
                <w:t>6</w:t>
              </w:r>
              <w:r>
                <w:rPr>
                  <w:noProof/>
                  <w:webHidden/>
                </w:rPr>
                <w:fldChar w:fldCharType="end"/>
              </w:r>
            </w:hyperlink>
          </w:p>
          <w:p w:rsidR="0088059A" w:rsidRDefault="007A6592" w:rsidP="0088059A">
            <w:pPr>
              <w:pStyle w:val="TableofFigures"/>
              <w:numPr>
                <w:ilvl w:val="0"/>
                <w:numId w:val="69"/>
              </w:numPr>
              <w:ind w:left="567" w:hanging="567"/>
              <w:rPr>
                <w:rFonts w:asciiTheme="minorHAnsi" w:eastAsiaTheme="minorEastAsia" w:hAnsiTheme="minorHAnsi" w:cstheme="minorBidi"/>
                <w:noProof/>
                <w:sz w:val="22"/>
                <w:szCs w:val="22"/>
                <w:lang w:eastAsia="en-NZ"/>
              </w:rPr>
            </w:pPr>
            <w:r>
              <w:rPr>
                <w:noProof/>
              </w:rPr>
              <w:t xml:space="preserve">A. </w:t>
            </w:r>
            <w:hyperlink w:anchor="_Toc387305351" w:history="1">
              <w:r w:rsidR="0088059A" w:rsidRPr="00A74473">
                <w:rPr>
                  <w:rStyle w:val="Hyperlink"/>
                  <w:noProof/>
                </w:rPr>
                <w:t>Destinations for young domestic graduates in the first seven years after qualification completion by qualification level</w:t>
              </w:r>
              <w:r w:rsidR="0088059A">
                <w:rPr>
                  <w:noProof/>
                  <w:webHidden/>
                </w:rPr>
                <w:tab/>
              </w:r>
              <w:r w:rsidR="00291118">
                <w:rPr>
                  <w:noProof/>
                  <w:webHidden/>
                </w:rPr>
                <w:fldChar w:fldCharType="begin"/>
              </w:r>
              <w:r w:rsidR="0088059A">
                <w:rPr>
                  <w:noProof/>
                  <w:webHidden/>
                </w:rPr>
                <w:instrText xml:space="preserve"> PAGEREF _Toc387305351 \h </w:instrText>
              </w:r>
              <w:r w:rsidR="00291118">
                <w:rPr>
                  <w:noProof/>
                  <w:webHidden/>
                </w:rPr>
              </w:r>
              <w:r w:rsidR="00291118">
                <w:rPr>
                  <w:noProof/>
                  <w:webHidden/>
                </w:rPr>
                <w:fldChar w:fldCharType="separate"/>
              </w:r>
              <w:r>
                <w:rPr>
                  <w:noProof/>
                  <w:webHidden/>
                </w:rPr>
                <w:t>8</w:t>
              </w:r>
              <w:r w:rsidR="00291118">
                <w:rPr>
                  <w:noProof/>
                  <w:webHidden/>
                </w:rPr>
                <w:fldChar w:fldCharType="end"/>
              </w:r>
            </w:hyperlink>
          </w:p>
          <w:p w:rsidR="0088059A" w:rsidRDefault="007A6592" w:rsidP="007A6592">
            <w:pPr>
              <w:pStyle w:val="TableofFigures"/>
              <w:ind w:left="567"/>
              <w:rPr>
                <w:rFonts w:asciiTheme="minorHAnsi" w:eastAsiaTheme="minorEastAsia" w:hAnsiTheme="minorHAnsi" w:cstheme="minorBidi"/>
                <w:noProof/>
                <w:sz w:val="22"/>
                <w:szCs w:val="22"/>
                <w:lang w:eastAsia="en-NZ"/>
              </w:rPr>
            </w:pPr>
            <w:r>
              <w:rPr>
                <w:noProof/>
              </w:rPr>
              <w:t xml:space="preserve">B. </w:t>
            </w:r>
            <w:hyperlink w:anchor="_Toc387305352" w:history="1">
              <w:r w:rsidR="0088059A" w:rsidRPr="00A74473">
                <w:rPr>
                  <w:rStyle w:val="Hyperlink"/>
                  <w:noProof/>
                </w:rPr>
                <w:t>Destinations for young domestic graduates in the first seven years after qualification completion by qualification level</w:t>
              </w:r>
              <w:r w:rsidR="0088059A">
                <w:rPr>
                  <w:noProof/>
                  <w:webHidden/>
                </w:rPr>
                <w:tab/>
              </w:r>
              <w:r w:rsidR="00291118">
                <w:rPr>
                  <w:noProof/>
                  <w:webHidden/>
                </w:rPr>
                <w:fldChar w:fldCharType="begin"/>
              </w:r>
              <w:r w:rsidR="0088059A">
                <w:rPr>
                  <w:noProof/>
                  <w:webHidden/>
                </w:rPr>
                <w:instrText xml:space="preserve"> PAGEREF _Toc387305352 \h </w:instrText>
              </w:r>
              <w:r w:rsidR="00291118">
                <w:rPr>
                  <w:noProof/>
                  <w:webHidden/>
                </w:rPr>
              </w:r>
              <w:r w:rsidR="00291118">
                <w:rPr>
                  <w:noProof/>
                  <w:webHidden/>
                </w:rPr>
                <w:fldChar w:fldCharType="separate"/>
              </w:r>
              <w:r>
                <w:rPr>
                  <w:noProof/>
                  <w:webHidden/>
                </w:rPr>
                <w:t>9</w:t>
              </w:r>
              <w:r w:rsidR="00291118">
                <w:rPr>
                  <w:noProof/>
                  <w:webHidden/>
                </w:rPr>
                <w:fldChar w:fldCharType="end"/>
              </w:r>
            </w:hyperlink>
          </w:p>
          <w:p w:rsidR="0088059A" w:rsidRDefault="00291118" w:rsidP="0088059A">
            <w:pPr>
              <w:pStyle w:val="TableofFigures"/>
              <w:numPr>
                <w:ilvl w:val="0"/>
                <w:numId w:val="69"/>
              </w:numPr>
              <w:ind w:left="567" w:hanging="567"/>
              <w:rPr>
                <w:rFonts w:asciiTheme="minorHAnsi" w:eastAsiaTheme="minorEastAsia" w:hAnsiTheme="minorHAnsi" w:cstheme="minorBidi"/>
                <w:noProof/>
                <w:sz w:val="22"/>
                <w:szCs w:val="22"/>
                <w:lang w:eastAsia="en-NZ"/>
              </w:rPr>
            </w:pPr>
            <w:hyperlink w:anchor="_Toc387305353" w:history="1">
              <w:r w:rsidR="0088059A" w:rsidRPr="00A74473">
                <w:rPr>
                  <w:rStyle w:val="Hyperlink"/>
                  <w:noProof/>
                </w:rPr>
                <w:t>Young, domestic graduate earnings by qualification level in the 2011 and 2012 tax years</w:t>
              </w:r>
              <w:r w:rsidR="0088059A">
                <w:rPr>
                  <w:noProof/>
                  <w:webHidden/>
                </w:rPr>
                <w:tab/>
              </w:r>
              <w:r>
                <w:rPr>
                  <w:noProof/>
                  <w:webHidden/>
                </w:rPr>
                <w:fldChar w:fldCharType="begin"/>
              </w:r>
              <w:r w:rsidR="0088059A">
                <w:rPr>
                  <w:noProof/>
                  <w:webHidden/>
                </w:rPr>
                <w:instrText xml:space="preserve"> PAGEREF _Toc387305353 \h </w:instrText>
              </w:r>
              <w:r>
                <w:rPr>
                  <w:noProof/>
                  <w:webHidden/>
                </w:rPr>
              </w:r>
              <w:r>
                <w:rPr>
                  <w:noProof/>
                  <w:webHidden/>
                </w:rPr>
                <w:fldChar w:fldCharType="separate"/>
              </w:r>
              <w:r w:rsidR="007A6592">
                <w:rPr>
                  <w:noProof/>
                  <w:webHidden/>
                </w:rPr>
                <w:t>10</w:t>
              </w:r>
              <w:r>
                <w:rPr>
                  <w:noProof/>
                  <w:webHidden/>
                </w:rPr>
                <w:fldChar w:fldCharType="end"/>
              </w:r>
            </w:hyperlink>
          </w:p>
          <w:p w:rsidR="0088059A" w:rsidRDefault="007A6592" w:rsidP="0088059A">
            <w:pPr>
              <w:pStyle w:val="TableofFigures"/>
              <w:numPr>
                <w:ilvl w:val="0"/>
                <w:numId w:val="69"/>
              </w:numPr>
              <w:ind w:left="567" w:hanging="567"/>
              <w:rPr>
                <w:rFonts w:asciiTheme="minorHAnsi" w:eastAsiaTheme="minorEastAsia" w:hAnsiTheme="minorHAnsi" w:cstheme="minorBidi"/>
                <w:noProof/>
                <w:sz w:val="22"/>
                <w:szCs w:val="22"/>
                <w:lang w:eastAsia="en-NZ"/>
              </w:rPr>
            </w:pPr>
            <w:r>
              <w:rPr>
                <w:noProof/>
              </w:rPr>
              <w:t xml:space="preserve">A. </w:t>
            </w:r>
            <w:hyperlink w:anchor="_Toc387305354" w:history="1">
              <w:r w:rsidR="0088059A" w:rsidRPr="00A74473">
                <w:rPr>
                  <w:rStyle w:val="Hyperlink"/>
                  <w:noProof/>
                </w:rPr>
                <w:t>Percentage of young domestic graduates who were overseas for 9 months or more in each year after study, for each individual cohort of graduates from 2003 to 2010, by qualification level</w:t>
              </w:r>
              <w:r w:rsidR="0088059A">
                <w:rPr>
                  <w:noProof/>
                  <w:webHidden/>
                </w:rPr>
                <w:tab/>
              </w:r>
              <w:r w:rsidR="00291118">
                <w:rPr>
                  <w:noProof/>
                  <w:webHidden/>
                </w:rPr>
                <w:fldChar w:fldCharType="begin"/>
              </w:r>
              <w:r w:rsidR="0088059A">
                <w:rPr>
                  <w:noProof/>
                  <w:webHidden/>
                </w:rPr>
                <w:instrText xml:space="preserve"> PAGEREF _Toc387305354 \h </w:instrText>
              </w:r>
              <w:r w:rsidR="00291118">
                <w:rPr>
                  <w:noProof/>
                  <w:webHidden/>
                </w:rPr>
              </w:r>
              <w:r w:rsidR="00291118">
                <w:rPr>
                  <w:noProof/>
                  <w:webHidden/>
                </w:rPr>
                <w:fldChar w:fldCharType="separate"/>
              </w:r>
              <w:r>
                <w:rPr>
                  <w:noProof/>
                  <w:webHidden/>
                </w:rPr>
                <w:t>14</w:t>
              </w:r>
              <w:r w:rsidR="00291118">
                <w:rPr>
                  <w:noProof/>
                  <w:webHidden/>
                </w:rPr>
                <w:fldChar w:fldCharType="end"/>
              </w:r>
            </w:hyperlink>
          </w:p>
          <w:p w:rsidR="0088059A" w:rsidRDefault="007A6592" w:rsidP="007A6592">
            <w:pPr>
              <w:pStyle w:val="TableofFigures"/>
              <w:ind w:left="567"/>
              <w:rPr>
                <w:rFonts w:asciiTheme="minorHAnsi" w:eastAsiaTheme="minorEastAsia" w:hAnsiTheme="minorHAnsi" w:cstheme="minorBidi"/>
                <w:noProof/>
                <w:sz w:val="22"/>
                <w:szCs w:val="22"/>
                <w:lang w:eastAsia="en-NZ"/>
              </w:rPr>
            </w:pPr>
            <w:r>
              <w:rPr>
                <w:noProof/>
              </w:rPr>
              <w:t xml:space="preserve">B. </w:t>
            </w:r>
            <w:hyperlink w:anchor="_Toc387305355" w:history="1">
              <w:r w:rsidR="0088059A" w:rsidRPr="00A74473">
                <w:rPr>
                  <w:rStyle w:val="Hyperlink"/>
                  <w:noProof/>
                </w:rPr>
                <w:t>Percentage of young domestic graduates who were overseas for 9 months or more for each cohort, for each year after study, by qualification level.</w:t>
              </w:r>
              <w:r w:rsidR="0088059A">
                <w:rPr>
                  <w:noProof/>
                  <w:webHidden/>
                </w:rPr>
                <w:tab/>
              </w:r>
              <w:r w:rsidR="00291118">
                <w:rPr>
                  <w:noProof/>
                  <w:webHidden/>
                </w:rPr>
                <w:fldChar w:fldCharType="begin"/>
              </w:r>
              <w:r w:rsidR="0088059A">
                <w:rPr>
                  <w:noProof/>
                  <w:webHidden/>
                </w:rPr>
                <w:instrText xml:space="preserve"> PAGEREF _Toc387305355 \h </w:instrText>
              </w:r>
              <w:r w:rsidR="00291118">
                <w:rPr>
                  <w:noProof/>
                  <w:webHidden/>
                </w:rPr>
              </w:r>
              <w:r w:rsidR="00291118">
                <w:rPr>
                  <w:noProof/>
                  <w:webHidden/>
                </w:rPr>
                <w:fldChar w:fldCharType="separate"/>
              </w:r>
              <w:r>
                <w:rPr>
                  <w:noProof/>
                  <w:webHidden/>
                </w:rPr>
                <w:t>15</w:t>
              </w:r>
              <w:r w:rsidR="00291118">
                <w:rPr>
                  <w:noProof/>
                  <w:webHidden/>
                </w:rPr>
                <w:fldChar w:fldCharType="end"/>
              </w:r>
            </w:hyperlink>
          </w:p>
          <w:p w:rsidR="0088059A" w:rsidRDefault="007A6592" w:rsidP="0088059A">
            <w:pPr>
              <w:pStyle w:val="TableofFigures"/>
              <w:numPr>
                <w:ilvl w:val="0"/>
                <w:numId w:val="69"/>
              </w:numPr>
              <w:ind w:left="567" w:hanging="567"/>
              <w:rPr>
                <w:rFonts w:asciiTheme="minorHAnsi" w:eastAsiaTheme="minorEastAsia" w:hAnsiTheme="minorHAnsi" w:cstheme="minorBidi"/>
                <w:noProof/>
                <w:sz w:val="22"/>
                <w:szCs w:val="22"/>
                <w:lang w:eastAsia="en-NZ"/>
              </w:rPr>
            </w:pPr>
            <w:r>
              <w:rPr>
                <w:noProof/>
              </w:rPr>
              <w:t xml:space="preserve">A. </w:t>
            </w:r>
            <w:hyperlink w:anchor="_Toc387305356" w:history="1">
              <w:r w:rsidR="0088059A" w:rsidRPr="00A74473">
                <w:rPr>
                  <w:rStyle w:val="Hyperlink"/>
                  <w:noProof/>
                </w:rPr>
                <w:t>Percentage of young domestic graduates who were classified as employed in each tax year, for each year after study, by qualification level.</w:t>
              </w:r>
              <w:r w:rsidR="0088059A">
                <w:rPr>
                  <w:noProof/>
                  <w:webHidden/>
                </w:rPr>
                <w:tab/>
              </w:r>
              <w:r w:rsidR="00291118">
                <w:rPr>
                  <w:noProof/>
                  <w:webHidden/>
                </w:rPr>
                <w:fldChar w:fldCharType="begin"/>
              </w:r>
              <w:r w:rsidR="0088059A">
                <w:rPr>
                  <w:noProof/>
                  <w:webHidden/>
                </w:rPr>
                <w:instrText xml:space="preserve"> PAGEREF _Toc387305356 \h </w:instrText>
              </w:r>
              <w:r w:rsidR="00291118">
                <w:rPr>
                  <w:noProof/>
                  <w:webHidden/>
                </w:rPr>
              </w:r>
              <w:r w:rsidR="00291118">
                <w:rPr>
                  <w:noProof/>
                  <w:webHidden/>
                </w:rPr>
                <w:fldChar w:fldCharType="separate"/>
              </w:r>
              <w:r>
                <w:rPr>
                  <w:noProof/>
                  <w:webHidden/>
                </w:rPr>
                <w:t>18</w:t>
              </w:r>
              <w:r w:rsidR="00291118">
                <w:rPr>
                  <w:noProof/>
                  <w:webHidden/>
                </w:rPr>
                <w:fldChar w:fldCharType="end"/>
              </w:r>
            </w:hyperlink>
          </w:p>
          <w:p w:rsidR="0088059A" w:rsidRDefault="007A6592" w:rsidP="007A6592">
            <w:pPr>
              <w:pStyle w:val="TableofFigures"/>
              <w:ind w:left="567"/>
              <w:rPr>
                <w:rFonts w:asciiTheme="minorHAnsi" w:eastAsiaTheme="minorEastAsia" w:hAnsiTheme="minorHAnsi" w:cstheme="minorBidi"/>
                <w:noProof/>
                <w:sz w:val="22"/>
                <w:szCs w:val="22"/>
                <w:lang w:eastAsia="en-NZ"/>
              </w:rPr>
            </w:pPr>
            <w:r>
              <w:rPr>
                <w:noProof/>
              </w:rPr>
              <w:t xml:space="preserve">B. </w:t>
            </w:r>
            <w:hyperlink w:anchor="_Toc387305357" w:history="1">
              <w:r w:rsidR="0088059A" w:rsidRPr="00A74473">
                <w:rPr>
                  <w:rStyle w:val="Hyperlink"/>
                  <w:noProof/>
                </w:rPr>
                <w:t>Percentage of young domestic graduates who were classified as doing further study in each tax year, for each year after study, by qualification level.</w:t>
              </w:r>
              <w:r w:rsidR="0088059A">
                <w:rPr>
                  <w:noProof/>
                  <w:webHidden/>
                </w:rPr>
                <w:tab/>
              </w:r>
              <w:r w:rsidR="00291118">
                <w:rPr>
                  <w:noProof/>
                  <w:webHidden/>
                </w:rPr>
                <w:fldChar w:fldCharType="begin"/>
              </w:r>
              <w:r w:rsidR="0088059A">
                <w:rPr>
                  <w:noProof/>
                  <w:webHidden/>
                </w:rPr>
                <w:instrText xml:space="preserve"> PAGEREF _Toc387305357 \h </w:instrText>
              </w:r>
              <w:r w:rsidR="00291118">
                <w:rPr>
                  <w:noProof/>
                  <w:webHidden/>
                </w:rPr>
              </w:r>
              <w:r w:rsidR="00291118">
                <w:rPr>
                  <w:noProof/>
                  <w:webHidden/>
                </w:rPr>
                <w:fldChar w:fldCharType="separate"/>
              </w:r>
              <w:r>
                <w:rPr>
                  <w:noProof/>
                  <w:webHidden/>
                </w:rPr>
                <w:t>19</w:t>
              </w:r>
              <w:r w:rsidR="00291118">
                <w:rPr>
                  <w:noProof/>
                  <w:webHidden/>
                </w:rPr>
                <w:fldChar w:fldCharType="end"/>
              </w:r>
            </w:hyperlink>
          </w:p>
          <w:p w:rsidR="0088059A" w:rsidRDefault="007A6592" w:rsidP="007A6592">
            <w:pPr>
              <w:pStyle w:val="TableofFigures"/>
              <w:ind w:left="567"/>
              <w:rPr>
                <w:rFonts w:asciiTheme="minorHAnsi" w:eastAsiaTheme="minorEastAsia" w:hAnsiTheme="minorHAnsi" w:cstheme="minorBidi"/>
                <w:noProof/>
                <w:sz w:val="22"/>
                <w:szCs w:val="22"/>
                <w:lang w:eastAsia="en-NZ"/>
              </w:rPr>
            </w:pPr>
            <w:r>
              <w:rPr>
                <w:noProof/>
              </w:rPr>
              <w:t xml:space="preserve">C. </w:t>
            </w:r>
            <w:hyperlink w:anchor="_Toc387305358" w:history="1">
              <w:r w:rsidR="0088059A" w:rsidRPr="00A74473">
                <w:rPr>
                  <w:rStyle w:val="Hyperlink"/>
                  <w:noProof/>
                </w:rPr>
                <w:t>Percentage of young domestic graduates who were classified as receiving a benefit in each tax year, for each year after study, by qualification level.</w:t>
              </w:r>
              <w:r w:rsidR="0088059A">
                <w:rPr>
                  <w:noProof/>
                  <w:webHidden/>
                </w:rPr>
                <w:tab/>
              </w:r>
              <w:r w:rsidR="00291118">
                <w:rPr>
                  <w:noProof/>
                  <w:webHidden/>
                </w:rPr>
                <w:fldChar w:fldCharType="begin"/>
              </w:r>
              <w:r w:rsidR="0088059A">
                <w:rPr>
                  <w:noProof/>
                  <w:webHidden/>
                </w:rPr>
                <w:instrText xml:space="preserve"> PAGEREF _Toc387305358 \h </w:instrText>
              </w:r>
              <w:r w:rsidR="00291118">
                <w:rPr>
                  <w:noProof/>
                  <w:webHidden/>
                </w:rPr>
              </w:r>
              <w:r w:rsidR="00291118">
                <w:rPr>
                  <w:noProof/>
                  <w:webHidden/>
                </w:rPr>
                <w:fldChar w:fldCharType="separate"/>
              </w:r>
              <w:r>
                <w:rPr>
                  <w:noProof/>
                  <w:webHidden/>
                </w:rPr>
                <w:t>20</w:t>
              </w:r>
              <w:r w:rsidR="00291118">
                <w:rPr>
                  <w:noProof/>
                  <w:webHidden/>
                </w:rPr>
                <w:fldChar w:fldCharType="end"/>
              </w:r>
            </w:hyperlink>
          </w:p>
          <w:p w:rsidR="0088059A" w:rsidRDefault="007A6592" w:rsidP="007A6592">
            <w:pPr>
              <w:pStyle w:val="TableofFigures"/>
              <w:ind w:left="567"/>
              <w:rPr>
                <w:rFonts w:asciiTheme="minorHAnsi" w:eastAsiaTheme="minorEastAsia" w:hAnsiTheme="minorHAnsi" w:cstheme="minorBidi"/>
                <w:noProof/>
                <w:sz w:val="22"/>
                <w:szCs w:val="22"/>
                <w:lang w:eastAsia="en-NZ"/>
              </w:rPr>
            </w:pPr>
            <w:r>
              <w:rPr>
                <w:noProof/>
              </w:rPr>
              <w:t xml:space="preserve">D. </w:t>
            </w:r>
            <w:hyperlink w:anchor="_Toc387305359" w:history="1">
              <w:r w:rsidR="0088059A" w:rsidRPr="00A74473">
                <w:rPr>
                  <w:rStyle w:val="Hyperlink"/>
                  <w:noProof/>
                </w:rPr>
                <w:t>Percentage of young domestic graduates who were classified in each destination in the first year post study, by qualification level.</w:t>
              </w:r>
              <w:r w:rsidR="0088059A">
                <w:rPr>
                  <w:noProof/>
                  <w:webHidden/>
                </w:rPr>
                <w:tab/>
              </w:r>
              <w:r w:rsidR="00291118">
                <w:rPr>
                  <w:noProof/>
                  <w:webHidden/>
                </w:rPr>
                <w:fldChar w:fldCharType="begin"/>
              </w:r>
              <w:r w:rsidR="0088059A">
                <w:rPr>
                  <w:noProof/>
                  <w:webHidden/>
                </w:rPr>
                <w:instrText xml:space="preserve"> PAGEREF _Toc387305359 \h </w:instrText>
              </w:r>
              <w:r w:rsidR="00291118">
                <w:rPr>
                  <w:noProof/>
                  <w:webHidden/>
                </w:rPr>
              </w:r>
              <w:r w:rsidR="00291118">
                <w:rPr>
                  <w:noProof/>
                  <w:webHidden/>
                </w:rPr>
                <w:fldChar w:fldCharType="separate"/>
              </w:r>
              <w:r>
                <w:rPr>
                  <w:noProof/>
                  <w:webHidden/>
                </w:rPr>
                <w:t>21</w:t>
              </w:r>
              <w:r w:rsidR="00291118">
                <w:rPr>
                  <w:noProof/>
                  <w:webHidden/>
                </w:rPr>
                <w:fldChar w:fldCharType="end"/>
              </w:r>
            </w:hyperlink>
          </w:p>
          <w:p w:rsidR="0088059A" w:rsidRDefault="00291118" w:rsidP="0088059A">
            <w:pPr>
              <w:pStyle w:val="TableofFigures"/>
              <w:numPr>
                <w:ilvl w:val="0"/>
                <w:numId w:val="69"/>
              </w:numPr>
              <w:ind w:left="567" w:hanging="567"/>
              <w:rPr>
                <w:rFonts w:asciiTheme="minorHAnsi" w:eastAsiaTheme="minorEastAsia" w:hAnsiTheme="minorHAnsi" w:cstheme="minorBidi"/>
                <w:noProof/>
                <w:sz w:val="22"/>
                <w:szCs w:val="22"/>
                <w:lang w:eastAsia="en-NZ"/>
              </w:rPr>
            </w:pPr>
            <w:hyperlink w:anchor="_Toc387305360" w:history="1">
              <w:r w:rsidR="0088059A" w:rsidRPr="00A74473">
                <w:rPr>
                  <w:rStyle w:val="Hyperlink"/>
                  <w:noProof/>
                </w:rPr>
                <w:t>Destinations for young domestic bachelors graduates in the first seven years after qualification completion by broad field of study</w:t>
              </w:r>
              <w:r w:rsidR="0088059A">
                <w:rPr>
                  <w:noProof/>
                  <w:webHidden/>
                </w:rPr>
                <w:tab/>
              </w:r>
              <w:r>
                <w:rPr>
                  <w:noProof/>
                  <w:webHidden/>
                </w:rPr>
                <w:fldChar w:fldCharType="begin"/>
              </w:r>
              <w:r w:rsidR="0088059A">
                <w:rPr>
                  <w:noProof/>
                  <w:webHidden/>
                </w:rPr>
                <w:instrText xml:space="preserve"> PAGEREF _Toc387305360 \h </w:instrText>
              </w:r>
              <w:r>
                <w:rPr>
                  <w:noProof/>
                  <w:webHidden/>
                </w:rPr>
              </w:r>
              <w:r>
                <w:rPr>
                  <w:noProof/>
                  <w:webHidden/>
                </w:rPr>
                <w:fldChar w:fldCharType="separate"/>
              </w:r>
              <w:r w:rsidR="007A6592">
                <w:rPr>
                  <w:noProof/>
                  <w:webHidden/>
                </w:rPr>
                <w:t>23</w:t>
              </w:r>
              <w:r>
                <w:rPr>
                  <w:noProof/>
                  <w:webHidden/>
                </w:rPr>
                <w:fldChar w:fldCharType="end"/>
              </w:r>
            </w:hyperlink>
          </w:p>
          <w:p w:rsidR="0088059A" w:rsidRDefault="00291118" w:rsidP="0088059A">
            <w:pPr>
              <w:pStyle w:val="TableofFigures"/>
              <w:numPr>
                <w:ilvl w:val="0"/>
                <w:numId w:val="69"/>
              </w:numPr>
              <w:ind w:left="567" w:hanging="567"/>
              <w:rPr>
                <w:rFonts w:asciiTheme="minorHAnsi" w:eastAsiaTheme="minorEastAsia" w:hAnsiTheme="minorHAnsi" w:cstheme="minorBidi"/>
                <w:noProof/>
                <w:sz w:val="22"/>
                <w:szCs w:val="22"/>
                <w:lang w:eastAsia="en-NZ"/>
              </w:rPr>
            </w:pPr>
            <w:hyperlink w:anchor="_Toc387305361" w:history="1">
              <w:r w:rsidR="0088059A" w:rsidRPr="00A74473">
                <w:rPr>
                  <w:rStyle w:val="Hyperlink"/>
                  <w:noProof/>
                </w:rPr>
                <w:t>Destinations for young domestic bachelors graduates who study the broad field of health, for the first seven years after qualification completion by narrow field of study</w:t>
              </w:r>
              <w:r w:rsidR="0088059A">
                <w:rPr>
                  <w:noProof/>
                  <w:webHidden/>
                </w:rPr>
                <w:tab/>
              </w:r>
              <w:r>
                <w:rPr>
                  <w:noProof/>
                  <w:webHidden/>
                </w:rPr>
                <w:fldChar w:fldCharType="begin"/>
              </w:r>
              <w:r w:rsidR="0088059A">
                <w:rPr>
                  <w:noProof/>
                  <w:webHidden/>
                </w:rPr>
                <w:instrText xml:space="preserve"> PAGEREF _Toc387305361 \h </w:instrText>
              </w:r>
              <w:r>
                <w:rPr>
                  <w:noProof/>
                  <w:webHidden/>
                </w:rPr>
              </w:r>
              <w:r>
                <w:rPr>
                  <w:noProof/>
                  <w:webHidden/>
                </w:rPr>
                <w:fldChar w:fldCharType="separate"/>
              </w:r>
              <w:r w:rsidR="007A6592">
                <w:rPr>
                  <w:noProof/>
                  <w:webHidden/>
                </w:rPr>
                <w:t>27</w:t>
              </w:r>
              <w:r>
                <w:rPr>
                  <w:noProof/>
                  <w:webHidden/>
                </w:rPr>
                <w:fldChar w:fldCharType="end"/>
              </w:r>
            </w:hyperlink>
          </w:p>
          <w:p w:rsidR="0088059A" w:rsidRDefault="00291118" w:rsidP="0088059A">
            <w:pPr>
              <w:pStyle w:val="TableofFigures"/>
              <w:numPr>
                <w:ilvl w:val="0"/>
                <w:numId w:val="69"/>
              </w:numPr>
              <w:ind w:left="567" w:hanging="567"/>
              <w:rPr>
                <w:rFonts w:asciiTheme="minorHAnsi" w:eastAsiaTheme="minorEastAsia" w:hAnsiTheme="minorHAnsi" w:cstheme="minorBidi"/>
                <w:noProof/>
                <w:sz w:val="22"/>
                <w:szCs w:val="22"/>
                <w:lang w:eastAsia="en-NZ"/>
              </w:rPr>
            </w:pPr>
            <w:hyperlink w:anchor="_Toc387305362" w:history="1">
              <w:r w:rsidR="0088059A" w:rsidRPr="00A74473">
                <w:rPr>
                  <w:rStyle w:val="Hyperlink"/>
                  <w:noProof/>
                </w:rPr>
                <w:t>Destinations for young domestic bachelors graduates who study the broad field of society and culture, for the first seven years after qualification completion by narrow field of study</w:t>
              </w:r>
              <w:r w:rsidR="0088059A">
                <w:rPr>
                  <w:noProof/>
                  <w:webHidden/>
                </w:rPr>
                <w:tab/>
              </w:r>
              <w:r>
                <w:rPr>
                  <w:noProof/>
                  <w:webHidden/>
                </w:rPr>
                <w:fldChar w:fldCharType="begin"/>
              </w:r>
              <w:r w:rsidR="0088059A">
                <w:rPr>
                  <w:noProof/>
                  <w:webHidden/>
                </w:rPr>
                <w:instrText xml:space="preserve"> PAGEREF _Toc387305362 \h </w:instrText>
              </w:r>
              <w:r>
                <w:rPr>
                  <w:noProof/>
                  <w:webHidden/>
                </w:rPr>
              </w:r>
              <w:r>
                <w:rPr>
                  <w:noProof/>
                  <w:webHidden/>
                </w:rPr>
                <w:fldChar w:fldCharType="separate"/>
              </w:r>
              <w:r w:rsidR="007A6592">
                <w:rPr>
                  <w:noProof/>
                  <w:webHidden/>
                </w:rPr>
                <w:t>28</w:t>
              </w:r>
              <w:r>
                <w:rPr>
                  <w:noProof/>
                  <w:webHidden/>
                </w:rPr>
                <w:fldChar w:fldCharType="end"/>
              </w:r>
            </w:hyperlink>
          </w:p>
          <w:p w:rsidR="0088059A" w:rsidRDefault="00291118" w:rsidP="0088059A">
            <w:pPr>
              <w:pStyle w:val="TableofFigures"/>
              <w:numPr>
                <w:ilvl w:val="0"/>
                <w:numId w:val="69"/>
              </w:numPr>
              <w:ind w:left="567" w:hanging="567"/>
              <w:rPr>
                <w:rFonts w:asciiTheme="minorHAnsi" w:eastAsiaTheme="minorEastAsia" w:hAnsiTheme="minorHAnsi" w:cstheme="minorBidi"/>
                <w:noProof/>
                <w:sz w:val="22"/>
                <w:szCs w:val="22"/>
                <w:lang w:eastAsia="en-NZ"/>
              </w:rPr>
            </w:pPr>
            <w:hyperlink w:anchor="_Toc387305363" w:history="1">
              <w:r w:rsidR="0088059A" w:rsidRPr="00A74473">
                <w:rPr>
                  <w:rStyle w:val="Hyperlink"/>
                  <w:noProof/>
                </w:rPr>
                <w:t>Destinations for young domestic graduates who remain in New Zealand in the first seven years after qualification completion</w:t>
              </w:r>
              <w:r w:rsidR="0088059A">
                <w:rPr>
                  <w:noProof/>
                  <w:webHidden/>
                </w:rPr>
                <w:tab/>
              </w:r>
              <w:r>
                <w:rPr>
                  <w:noProof/>
                  <w:webHidden/>
                </w:rPr>
                <w:fldChar w:fldCharType="begin"/>
              </w:r>
              <w:r w:rsidR="0088059A">
                <w:rPr>
                  <w:noProof/>
                  <w:webHidden/>
                </w:rPr>
                <w:instrText xml:space="preserve"> PAGEREF _Toc387305363 \h </w:instrText>
              </w:r>
              <w:r>
                <w:rPr>
                  <w:noProof/>
                  <w:webHidden/>
                </w:rPr>
              </w:r>
              <w:r>
                <w:rPr>
                  <w:noProof/>
                  <w:webHidden/>
                </w:rPr>
                <w:fldChar w:fldCharType="separate"/>
              </w:r>
              <w:r w:rsidR="007A6592">
                <w:rPr>
                  <w:noProof/>
                  <w:webHidden/>
                </w:rPr>
                <w:t>30</w:t>
              </w:r>
              <w:r>
                <w:rPr>
                  <w:noProof/>
                  <w:webHidden/>
                </w:rPr>
                <w:fldChar w:fldCharType="end"/>
              </w:r>
            </w:hyperlink>
          </w:p>
          <w:p w:rsidR="0088059A" w:rsidRDefault="00291118" w:rsidP="0088059A">
            <w:pPr>
              <w:pStyle w:val="TableofFigures"/>
              <w:numPr>
                <w:ilvl w:val="0"/>
                <w:numId w:val="69"/>
              </w:numPr>
              <w:ind w:left="567" w:hanging="567"/>
              <w:rPr>
                <w:rFonts w:asciiTheme="minorHAnsi" w:eastAsiaTheme="minorEastAsia" w:hAnsiTheme="minorHAnsi" w:cstheme="minorBidi"/>
                <w:noProof/>
                <w:sz w:val="22"/>
                <w:szCs w:val="22"/>
                <w:lang w:eastAsia="en-NZ"/>
              </w:rPr>
            </w:pPr>
            <w:hyperlink w:anchor="_Toc387305364" w:history="1">
              <w:r w:rsidR="0088059A" w:rsidRPr="00A74473">
                <w:rPr>
                  <w:rStyle w:val="Hyperlink"/>
                  <w:noProof/>
                </w:rPr>
                <w:t>Destinations for young domestic bachelors graduates who study the broad fields of natural and physical sciences, and agriculture, environmental and related studies, for the first seven years after qualification completion by narrow field of study</w:t>
              </w:r>
              <w:r w:rsidR="0088059A">
                <w:rPr>
                  <w:noProof/>
                  <w:webHidden/>
                </w:rPr>
                <w:tab/>
              </w:r>
              <w:r>
                <w:rPr>
                  <w:noProof/>
                  <w:webHidden/>
                </w:rPr>
                <w:fldChar w:fldCharType="begin"/>
              </w:r>
              <w:r w:rsidR="0088059A">
                <w:rPr>
                  <w:noProof/>
                  <w:webHidden/>
                </w:rPr>
                <w:instrText xml:space="preserve"> PAGEREF _Toc387305364 \h </w:instrText>
              </w:r>
              <w:r>
                <w:rPr>
                  <w:noProof/>
                  <w:webHidden/>
                </w:rPr>
              </w:r>
              <w:r>
                <w:rPr>
                  <w:noProof/>
                  <w:webHidden/>
                </w:rPr>
                <w:fldChar w:fldCharType="separate"/>
              </w:r>
              <w:r w:rsidR="007A6592">
                <w:rPr>
                  <w:noProof/>
                  <w:webHidden/>
                </w:rPr>
                <w:t>38</w:t>
              </w:r>
              <w:r>
                <w:rPr>
                  <w:noProof/>
                  <w:webHidden/>
                </w:rPr>
                <w:fldChar w:fldCharType="end"/>
              </w:r>
            </w:hyperlink>
          </w:p>
          <w:p w:rsidR="0088059A" w:rsidRDefault="00291118" w:rsidP="0088059A">
            <w:pPr>
              <w:pStyle w:val="TableofFigures"/>
              <w:numPr>
                <w:ilvl w:val="0"/>
                <w:numId w:val="69"/>
              </w:numPr>
              <w:ind w:left="567" w:hanging="567"/>
              <w:rPr>
                <w:rFonts w:asciiTheme="minorHAnsi" w:eastAsiaTheme="minorEastAsia" w:hAnsiTheme="minorHAnsi" w:cstheme="minorBidi"/>
                <w:noProof/>
                <w:sz w:val="22"/>
                <w:szCs w:val="22"/>
                <w:lang w:eastAsia="en-NZ"/>
              </w:rPr>
            </w:pPr>
            <w:hyperlink w:anchor="_Toc387305365" w:history="1">
              <w:r w:rsidR="0088059A" w:rsidRPr="00A74473">
                <w:rPr>
                  <w:rStyle w:val="Hyperlink"/>
                  <w:noProof/>
                </w:rPr>
                <w:t>Destinations for young domestic bachelors graduates who study the broad fields of Information technology, and management and commerce, for the first seven years after qualification completion by narrow field of study</w:t>
              </w:r>
              <w:r w:rsidR="0088059A">
                <w:rPr>
                  <w:noProof/>
                  <w:webHidden/>
                </w:rPr>
                <w:tab/>
              </w:r>
              <w:r>
                <w:rPr>
                  <w:noProof/>
                  <w:webHidden/>
                </w:rPr>
                <w:fldChar w:fldCharType="begin"/>
              </w:r>
              <w:r w:rsidR="0088059A">
                <w:rPr>
                  <w:noProof/>
                  <w:webHidden/>
                </w:rPr>
                <w:instrText xml:space="preserve"> PAGEREF _Toc387305365 \h </w:instrText>
              </w:r>
              <w:r>
                <w:rPr>
                  <w:noProof/>
                  <w:webHidden/>
                </w:rPr>
              </w:r>
              <w:r>
                <w:rPr>
                  <w:noProof/>
                  <w:webHidden/>
                </w:rPr>
                <w:fldChar w:fldCharType="separate"/>
              </w:r>
              <w:r w:rsidR="007A6592">
                <w:rPr>
                  <w:noProof/>
                  <w:webHidden/>
                </w:rPr>
                <w:t>39</w:t>
              </w:r>
              <w:r>
                <w:rPr>
                  <w:noProof/>
                  <w:webHidden/>
                </w:rPr>
                <w:fldChar w:fldCharType="end"/>
              </w:r>
            </w:hyperlink>
          </w:p>
          <w:p w:rsidR="0088059A" w:rsidRDefault="00291118" w:rsidP="0088059A">
            <w:pPr>
              <w:pStyle w:val="TableofFigures"/>
              <w:numPr>
                <w:ilvl w:val="0"/>
                <w:numId w:val="69"/>
              </w:numPr>
              <w:ind w:left="567" w:hanging="567"/>
              <w:rPr>
                <w:rFonts w:asciiTheme="minorHAnsi" w:eastAsiaTheme="minorEastAsia" w:hAnsiTheme="minorHAnsi" w:cstheme="minorBidi"/>
                <w:noProof/>
                <w:sz w:val="22"/>
                <w:szCs w:val="22"/>
                <w:lang w:eastAsia="en-NZ"/>
              </w:rPr>
            </w:pPr>
            <w:hyperlink w:anchor="_Toc387305366" w:history="1">
              <w:r w:rsidR="0088059A" w:rsidRPr="00A74473">
                <w:rPr>
                  <w:rStyle w:val="Hyperlink"/>
                  <w:noProof/>
                </w:rPr>
                <w:t>Destinations for young domestic bachelors graduates who study the broad fields of engineering and related technologies, and architecture and building, for the first seven years after qualification completion by narrow field of study</w:t>
              </w:r>
              <w:r w:rsidR="0088059A">
                <w:rPr>
                  <w:noProof/>
                  <w:webHidden/>
                </w:rPr>
                <w:tab/>
              </w:r>
              <w:r>
                <w:rPr>
                  <w:noProof/>
                  <w:webHidden/>
                </w:rPr>
                <w:fldChar w:fldCharType="begin"/>
              </w:r>
              <w:r w:rsidR="0088059A">
                <w:rPr>
                  <w:noProof/>
                  <w:webHidden/>
                </w:rPr>
                <w:instrText xml:space="preserve"> PAGEREF _Toc387305366 \h </w:instrText>
              </w:r>
              <w:r>
                <w:rPr>
                  <w:noProof/>
                  <w:webHidden/>
                </w:rPr>
              </w:r>
              <w:r>
                <w:rPr>
                  <w:noProof/>
                  <w:webHidden/>
                </w:rPr>
                <w:fldChar w:fldCharType="separate"/>
              </w:r>
              <w:r w:rsidR="007A6592">
                <w:rPr>
                  <w:noProof/>
                  <w:webHidden/>
                </w:rPr>
                <w:t>40</w:t>
              </w:r>
              <w:r>
                <w:rPr>
                  <w:noProof/>
                  <w:webHidden/>
                </w:rPr>
                <w:fldChar w:fldCharType="end"/>
              </w:r>
            </w:hyperlink>
          </w:p>
          <w:p w:rsidR="0088059A" w:rsidRDefault="00291118" w:rsidP="0088059A">
            <w:pPr>
              <w:pStyle w:val="TableofFigures"/>
              <w:numPr>
                <w:ilvl w:val="0"/>
                <w:numId w:val="69"/>
              </w:numPr>
              <w:ind w:left="567" w:hanging="567"/>
              <w:rPr>
                <w:rFonts w:asciiTheme="minorHAnsi" w:eastAsiaTheme="minorEastAsia" w:hAnsiTheme="minorHAnsi" w:cstheme="minorBidi"/>
                <w:noProof/>
                <w:sz w:val="22"/>
                <w:szCs w:val="22"/>
                <w:lang w:eastAsia="en-NZ"/>
              </w:rPr>
            </w:pPr>
            <w:hyperlink w:anchor="_Toc387305367" w:history="1">
              <w:r w:rsidR="0088059A" w:rsidRPr="00A74473">
                <w:rPr>
                  <w:rStyle w:val="Hyperlink"/>
                  <w:noProof/>
                </w:rPr>
                <w:t>Destinations for young domestic bachelors graduates who study the broad fields of education, and creative arts, for the first seven years after qualification completion by narrow field of study</w:t>
              </w:r>
              <w:r w:rsidR="0088059A">
                <w:rPr>
                  <w:noProof/>
                  <w:webHidden/>
                </w:rPr>
                <w:tab/>
              </w:r>
              <w:r>
                <w:rPr>
                  <w:noProof/>
                  <w:webHidden/>
                </w:rPr>
                <w:fldChar w:fldCharType="begin"/>
              </w:r>
              <w:r w:rsidR="0088059A">
                <w:rPr>
                  <w:noProof/>
                  <w:webHidden/>
                </w:rPr>
                <w:instrText xml:space="preserve"> PAGEREF _Toc387305367 \h </w:instrText>
              </w:r>
              <w:r>
                <w:rPr>
                  <w:noProof/>
                  <w:webHidden/>
                </w:rPr>
              </w:r>
              <w:r>
                <w:rPr>
                  <w:noProof/>
                  <w:webHidden/>
                </w:rPr>
                <w:fldChar w:fldCharType="separate"/>
              </w:r>
              <w:r w:rsidR="007A6592">
                <w:rPr>
                  <w:noProof/>
                  <w:webHidden/>
                </w:rPr>
                <w:t>41</w:t>
              </w:r>
              <w:r>
                <w:rPr>
                  <w:noProof/>
                  <w:webHidden/>
                </w:rPr>
                <w:fldChar w:fldCharType="end"/>
              </w:r>
            </w:hyperlink>
          </w:p>
          <w:p w:rsidR="00FD6909" w:rsidRDefault="00291118" w:rsidP="005211FD">
            <w:pPr>
              <w:ind w:left="567" w:hanging="567"/>
            </w:pPr>
            <w:r>
              <w:fldChar w:fldCharType="end"/>
            </w:r>
          </w:p>
        </w:tc>
      </w:tr>
    </w:tbl>
    <w:p w:rsidR="009A33C6" w:rsidRDefault="009A33C6" w:rsidP="00065B09"/>
    <w:p w:rsidR="00152E32" w:rsidRDefault="00721E8C" w:rsidP="00FD6909">
      <w:pPr>
        <w:pStyle w:val="Heading"/>
      </w:pPr>
      <w:r>
        <w:br w:type="page"/>
      </w:r>
    </w:p>
    <w:p w:rsidR="00152E32" w:rsidRDefault="00152E32" w:rsidP="00152E32">
      <w:pPr>
        <w:pStyle w:val="Heading"/>
      </w:pPr>
      <w:r>
        <w:lastRenderedPageBreak/>
        <w:t xml:space="preserve">Tables </w:t>
      </w:r>
    </w:p>
    <w:tbl>
      <w:tblPr>
        <w:tblW w:w="8052" w:type="dxa"/>
        <w:tblLayout w:type="fixed"/>
        <w:tblLook w:val="01E0"/>
      </w:tblPr>
      <w:tblGrid>
        <w:gridCol w:w="8052"/>
      </w:tblGrid>
      <w:tr w:rsidR="00152E32" w:rsidTr="00152E32">
        <w:tc>
          <w:tcPr>
            <w:tcW w:w="8052" w:type="dxa"/>
          </w:tcPr>
          <w:p w:rsidR="005211FD" w:rsidRDefault="00291118" w:rsidP="005211FD">
            <w:pPr>
              <w:pStyle w:val="TableofFigures"/>
              <w:numPr>
                <w:ilvl w:val="0"/>
                <w:numId w:val="67"/>
              </w:numPr>
              <w:ind w:left="567" w:hanging="567"/>
              <w:rPr>
                <w:rFonts w:asciiTheme="minorHAnsi" w:eastAsiaTheme="minorEastAsia" w:hAnsiTheme="minorHAnsi" w:cstheme="minorBidi"/>
                <w:noProof/>
                <w:sz w:val="22"/>
                <w:szCs w:val="22"/>
                <w:lang w:eastAsia="en-NZ"/>
              </w:rPr>
            </w:pPr>
            <w:r w:rsidRPr="00291118">
              <w:fldChar w:fldCharType="begin"/>
            </w:r>
            <w:r w:rsidR="00152E32">
              <w:instrText xml:space="preserve"> TOC \h \z \t "Table label" \c </w:instrText>
            </w:r>
            <w:r w:rsidRPr="00291118">
              <w:fldChar w:fldCharType="separate"/>
            </w:r>
            <w:hyperlink w:anchor="_Toc387134515" w:history="1">
              <w:r w:rsidR="005211FD" w:rsidRPr="00F433DF">
                <w:rPr>
                  <w:rStyle w:val="Hyperlink"/>
                  <w:noProof/>
                </w:rPr>
                <w:t>Alignment of cohorts with tax and calendar years</w:t>
              </w:r>
              <w:r w:rsidR="005211FD">
                <w:rPr>
                  <w:noProof/>
                  <w:webHidden/>
                </w:rPr>
                <w:tab/>
              </w:r>
              <w:r>
                <w:rPr>
                  <w:noProof/>
                  <w:webHidden/>
                </w:rPr>
                <w:fldChar w:fldCharType="begin"/>
              </w:r>
              <w:r w:rsidR="005211FD">
                <w:rPr>
                  <w:noProof/>
                  <w:webHidden/>
                </w:rPr>
                <w:instrText xml:space="preserve"> PAGEREF _Toc387134515 \h </w:instrText>
              </w:r>
              <w:r>
                <w:rPr>
                  <w:noProof/>
                  <w:webHidden/>
                </w:rPr>
              </w:r>
              <w:r>
                <w:rPr>
                  <w:noProof/>
                  <w:webHidden/>
                </w:rPr>
                <w:fldChar w:fldCharType="separate"/>
              </w:r>
              <w:r w:rsidR="007A6592">
                <w:rPr>
                  <w:noProof/>
                  <w:webHidden/>
                </w:rPr>
                <w:t>4</w:t>
              </w:r>
              <w:r>
                <w:rPr>
                  <w:noProof/>
                  <w:webHidden/>
                </w:rPr>
                <w:fldChar w:fldCharType="end"/>
              </w:r>
            </w:hyperlink>
          </w:p>
          <w:p w:rsidR="005211FD" w:rsidRDefault="00291118" w:rsidP="005211FD">
            <w:pPr>
              <w:pStyle w:val="TableofFigures"/>
              <w:numPr>
                <w:ilvl w:val="0"/>
                <w:numId w:val="67"/>
              </w:numPr>
              <w:ind w:left="567" w:hanging="567"/>
              <w:rPr>
                <w:rFonts w:asciiTheme="minorHAnsi" w:eastAsiaTheme="minorEastAsia" w:hAnsiTheme="minorHAnsi" w:cstheme="minorBidi"/>
                <w:noProof/>
                <w:sz w:val="22"/>
                <w:szCs w:val="22"/>
                <w:lang w:eastAsia="en-NZ"/>
              </w:rPr>
            </w:pPr>
            <w:hyperlink w:anchor="_Toc387134516" w:history="1">
              <w:r w:rsidR="005211FD" w:rsidRPr="00F433DF">
                <w:rPr>
                  <w:rStyle w:val="Hyperlink"/>
                  <w:noProof/>
                </w:rPr>
                <w:t>Percentage of young domestic graduates who were overseas for 9 months or more in a year, in the first to seventh years after study by qualification level</w:t>
              </w:r>
              <w:r w:rsidR="005211FD">
                <w:rPr>
                  <w:noProof/>
                  <w:webHidden/>
                </w:rPr>
                <w:tab/>
              </w:r>
              <w:r>
                <w:rPr>
                  <w:noProof/>
                  <w:webHidden/>
                </w:rPr>
                <w:fldChar w:fldCharType="begin"/>
              </w:r>
              <w:r w:rsidR="005211FD">
                <w:rPr>
                  <w:noProof/>
                  <w:webHidden/>
                </w:rPr>
                <w:instrText xml:space="preserve"> PAGEREF _Toc387134516 \h </w:instrText>
              </w:r>
              <w:r>
                <w:rPr>
                  <w:noProof/>
                  <w:webHidden/>
                </w:rPr>
              </w:r>
              <w:r>
                <w:rPr>
                  <w:noProof/>
                  <w:webHidden/>
                </w:rPr>
                <w:fldChar w:fldCharType="separate"/>
              </w:r>
              <w:r w:rsidR="007A6592">
                <w:rPr>
                  <w:noProof/>
                  <w:webHidden/>
                </w:rPr>
                <w:t>12</w:t>
              </w:r>
              <w:r>
                <w:rPr>
                  <w:noProof/>
                  <w:webHidden/>
                </w:rPr>
                <w:fldChar w:fldCharType="end"/>
              </w:r>
            </w:hyperlink>
          </w:p>
          <w:p w:rsidR="005211FD" w:rsidRDefault="00291118" w:rsidP="005211FD">
            <w:pPr>
              <w:pStyle w:val="TableofFigures"/>
              <w:numPr>
                <w:ilvl w:val="0"/>
                <w:numId w:val="67"/>
              </w:numPr>
              <w:ind w:left="567" w:hanging="567"/>
              <w:rPr>
                <w:rFonts w:asciiTheme="minorHAnsi" w:eastAsiaTheme="minorEastAsia" w:hAnsiTheme="minorHAnsi" w:cstheme="minorBidi"/>
                <w:noProof/>
                <w:sz w:val="22"/>
                <w:szCs w:val="22"/>
                <w:lang w:eastAsia="en-NZ"/>
              </w:rPr>
            </w:pPr>
            <w:hyperlink w:anchor="_Toc387134517" w:history="1">
              <w:r w:rsidR="005211FD" w:rsidRPr="00F433DF">
                <w:rPr>
                  <w:rStyle w:val="Hyperlink"/>
                  <w:noProof/>
                </w:rPr>
                <w:t>Alignment of cohorts with tax and calendar years</w:t>
              </w:r>
              <w:r w:rsidR="005211FD">
                <w:rPr>
                  <w:noProof/>
                  <w:webHidden/>
                </w:rPr>
                <w:tab/>
              </w:r>
              <w:r>
                <w:rPr>
                  <w:noProof/>
                  <w:webHidden/>
                </w:rPr>
                <w:fldChar w:fldCharType="begin"/>
              </w:r>
              <w:r w:rsidR="005211FD">
                <w:rPr>
                  <w:noProof/>
                  <w:webHidden/>
                </w:rPr>
                <w:instrText xml:space="preserve"> PAGEREF _Toc387134517 \h </w:instrText>
              </w:r>
              <w:r>
                <w:rPr>
                  <w:noProof/>
                  <w:webHidden/>
                </w:rPr>
              </w:r>
              <w:r>
                <w:rPr>
                  <w:noProof/>
                  <w:webHidden/>
                </w:rPr>
                <w:fldChar w:fldCharType="separate"/>
              </w:r>
              <w:r w:rsidR="007A6592">
                <w:rPr>
                  <w:noProof/>
                  <w:webHidden/>
                </w:rPr>
                <w:t>33</w:t>
              </w:r>
              <w:r>
                <w:rPr>
                  <w:noProof/>
                  <w:webHidden/>
                </w:rPr>
                <w:fldChar w:fldCharType="end"/>
              </w:r>
            </w:hyperlink>
          </w:p>
          <w:p w:rsidR="00152E32" w:rsidRDefault="00291118" w:rsidP="00FB775D">
            <w:pPr>
              <w:ind w:hanging="720"/>
            </w:pPr>
            <w:r>
              <w:fldChar w:fldCharType="end"/>
            </w:r>
          </w:p>
          <w:p w:rsidR="00152E32" w:rsidRDefault="00152E32" w:rsidP="006A76BC"/>
        </w:tc>
      </w:tr>
    </w:tbl>
    <w:p w:rsidR="00ED68DB" w:rsidRPr="000045D2" w:rsidRDefault="00ED68DB" w:rsidP="00F0613C">
      <w:pPr>
        <w:pStyle w:val="BodyText"/>
        <w:sectPr w:rsidR="00ED68DB" w:rsidRPr="000045D2" w:rsidSect="00832F8A">
          <w:footerReference w:type="default" r:id="rId14"/>
          <w:pgSz w:w="11906" w:h="16838" w:code="9"/>
          <w:pgMar w:top="1418" w:right="1701" w:bottom="1418" w:left="1701" w:header="709" w:footer="709" w:gutter="0"/>
          <w:pgNumType w:start="1"/>
          <w:cols w:space="708"/>
          <w:docGrid w:linePitch="360"/>
        </w:sectPr>
      </w:pPr>
    </w:p>
    <w:p w:rsidR="00ED68DB" w:rsidRPr="00E21B86" w:rsidRDefault="004F525C" w:rsidP="00E21B86">
      <w:pPr>
        <w:pStyle w:val="Heading"/>
      </w:pPr>
      <w:r>
        <w:lastRenderedPageBreak/>
        <w:t>Summary</w:t>
      </w:r>
      <w:r w:rsidR="00942A6C">
        <w:t xml:space="preserve"> </w:t>
      </w:r>
    </w:p>
    <w:p w:rsidR="00E41567" w:rsidRDefault="001A3ADC" w:rsidP="00E41567">
      <w:pPr>
        <w:pStyle w:val="BodyText"/>
      </w:pPr>
      <w:r>
        <w:t>This report focuses on the destinations of young domestic graduates</w:t>
      </w:r>
      <w:r w:rsidR="0039799F">
        <w:t>.</w:t>
      </w:r>
      <w:r>
        <w:t xml:space="preserve"> It</w:t>
      </w:r>
      <w:r w:rsidR="00E41567">
        <w:t xml:space="preserve"> complements our recent publication </w:t>
      </w:r>
      <w:r w:rsidR="00E41567">
        <w:rPr>
          <w:i/>
        </w:rPr>
        <w:t xml:space="preserve">What young graduates earn when they leave study </w:t>
      </w:r>
      <w:r w:rsidR="00E41567">
        <w:t xml:space="preserve">which looks at the earnings of young graduates who remain in New Zealand.  </w:t>
      </w:r>
      <w:r>
        <w:t>In this report,</w:t>
      </w:r>
      <w:r w:rsidR="00E41567">
        <w:t xml:space="preserve"> we focus on differences in what graduates </w:t>
      </w:r>
      <w:r w:rsidR="00E41567" w:rsidRPr="009E5BD9">
        <w:rPr>
          <w:i/>
        </w:rPr>
        <w:t>do</w:t>
      </w:r>
      <w:r w:rsidR="00E41567">
        <w:t xml:space="preserve"> rather than what they </w:t>
      </w:r>
      <w:r w:rsidR="00E41567" w:rsidRPr="009E5BD9">
        <w:rPr>
          <w:i/>
        </w:rPr>
        <w:t>earn</w:t>
      </w:r>
      <w:r w:rsidR="00E41567">
        <w:t xml:space="preserve"> after they complete their studies</w:t>
      </w:r>
      <w:r w:rsidR="00946B0B">
        <w:t>.</w:t>
      </w:r>
      <w:r w:rsidR="00EC604E">
        <w:t xml:space="preserve">  We</w:t>
      </w:r>
      <w:r w:rsidR="00E41567">
        <w:t xml:space="preserve"> look not only at those who remain in New Zealand but also those who go overseas.</w:t>
      </w:r>
    </w:p>
    <w:p w:rsidR="00E41567" w:rsidRDefault="00E41567" w:rsidP="00E41567">
      <w:pPr>
        <w:pStyle w:val="BodyText"/>
      </w:pPr>
      <w:r>
        <w:t>We also investigate whether trends in what graduates do after they complete their studies have changed in the last eight years or not (looking in detail at cohorts who graduated in 2003 to 2010).  Comparing current figures to these historical ones helps to put current rates in perspective.</w:t>
      </w:r>
    </w:p>
    <w:p w:rsidR="00E41567" w:rsidRDefault="00E41567" w:rsidP="00E41567">
      <w:pPr>
        <w:pStyle w:val="BodyText"/>
      </w:pPr>
      <w:r>
        <w:t>Knowing what graduates do after they complete their studies is important as it lets us know what types of graduates go overseas and how long for, while also looking at who does further study, enters employment or has a spell on a benefit.  This sort of analysis is fundamental to an assessment of how the tertiary education system serves New Zealand. This is important as t</w:t>
      </w:r>
      <w:r w:rsidRPr="00532087">
        <w:t xml:space="preserve">he Government makes a very large investment in tertiary education each year – funding tertiary education providers, providing subsidised student loans and granting student allowances.  </w:t>
      </w:r>
      <w:r w:rsidR="00590117">
        <w:t>This information will also help</w:t>
      </w:r>
      <w:r>
        <w:t xml:space="preserve"> prospective students, their families and advisors determine whether a particular course of study is likely </w:t>
      </w:r>
      <w:r w:rsidR="00590117">
        <w:t>to get them the result that they want.  Individuals make a considerable financial and time investment when they choose to study a qualification, and this information will help them to make wise decisions.</w:t>
      </w:r>
    </w:p>
    <w:tbl>
      <w:tblPr>
        <w:tblW w:w="8505" w:type="dxa"/>
        <w:tblInd w:w="17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CDBB9A"/>
        <w:tblCellMar>
          <w:top w:w="57" w:type="dxa"/>
          <w:left w:w="170" w:type="dxa"/>
          <w:bottom w:w="170" w:type="dxa"/>
          <w:right w:w="170" w:type="dxa"/>
        </w:tblCellMar>
        <w:tblLook w:val="00BF"/>
      </w:tblPr>
      <w:tblGrid>
        <w:gridCol w:w="8505"/>
      </w:tblGrid>
      <w:tr w:rsidR="00A835C5" w:rsidRPr="0087235D" w:rsidTr="00A554F4">
        <w:tc>
          <w:tcPr>
            <w:tcW w:w="0" w:type="auto"/>
            <w:shd w:val="clear" w:color="auto" w:fill="CDBB9A"/>
          </w:tcPr>
          <w:p w:rsidR="00A835C5" w:rsidRPr="006D7677" w:rsidRDefault="004D3FFE" w:rsidP="006D7677">
            <w:pPr>
              <w:pStyle w:val="Keypointheading"/>
            </w:pPr>
            <w:r>
              <w:t>Key FINDINGS</w:t>
            </w:r>
          </w:p>
          <w:p w:rsidR="00FF1D31" w:rsidRDefault="00FF1D31" w:rsidP="00FF1D31">
            <w:pPr>
              <w:pStyle w:val="Keypointtext"/>
            </w:pPr>
            <w:r>
              <w:rPr>
                <w:i/>
              </w:rPr>
              <w:t>G</w:t>
            </w:r>
            <w:r w:rsidR="005824C8" w:rsidRPr="000456C5">
              <w:rPr>
                <w:i/>
              </w:rPr>
              <w:t xml:space="preserve">raduates who complete qualifications at different levels </w:t>
            </w:r>
            <w:r w:rsidR="000456C5" w:rsidRPr="000456C5">
              <w:rPr>
                <w:i/>
              </w:rPr>
              <w:t>d</w:t>
            </w:r>
            <w:r w:rsidR="004D3FFE">
              <w:rPr>
                <w:i/>
              </w:rPr>
              <w:t>iffer in what they do post study</w:t>
            </w:r>
            <w:r w:rsidR="000456C5" w:rsidRPr="000456C5">
              <w:rPr>
                <w:i/>
              </w:rPr>
              <w:t xml:space="preserve">.  </w:t>
            </w:r>
            <w:r w:rsidR="000456C5">
              <w:t xml:space="preserve">Young, domestic graduates who complete qualifications below degree level are more likely to do further study after they complete their qualification, with </w:t>
            </w:r>
            <w:r>
              <w:t xml:space="preserve">around half of level 1-4 certificate and level 5-7 diploma graduates continuing on to </w:t>
            </w:r>
            <w:r w:rsidR="000456C5">
              <w:t>do</w:t>
            </w:r>
            <w:r>
              <w:t xml:space="preserve"> further study.</w:t>
            </w:r>
            <w:r w:rsidR="000456C5">
              <w:t xml:space="preserve">  </w:t>
            </w:r>
            <w:r w:rsidR="001A3ADC">
              <w:t>T</w:t>
            </w:r>
            <w:r w:rsidR="000456C5">
              <w:t xml:space="preserve">hose who complete qualifications at </w:t>
            </w:r>
            <w:r>
              <w:t>higher qualification levels are more likely to be employed in the first year post study, with around half of all bachelors and honours graduates employed, and 55% of masters and doctorate graduates.</w:t>
            </w:r>
          </w:p>
          <w:p w:rsidR="00FF1D31" w:rsidRDefault="00377A42" w:rsidP="00FF1D31">
            <w:pPr>
              <w:pStyle w:val="Keypointtext"/>
            </w:pPr>
            <w:r w:rsidRPr="00377A42">
              <w:rPr>
                <w:i/>
              </w:rPr>
              <w:t>Graduates who comp</w:t>
            </w:r>
            <w:r w:rsidR="00F62DFD">
              <w:rPr>
                <w:i/>
              </w:rPr>
              <w:t>l</w:t>
            </w:r>
            <w:r w:rsidRPr="00377A42">
              <w:rPr>
                <w:i/>
              </w:rPr>
              <w:t>ete qualifications at different levels show different empl</w:t>
            </w:r>
            <w:r w:rsidR="00F62DFD">
              <w:rPr>
                <w:i/>
              </w:rPr>
              <w:t>oyment rate trends over time</w:t>
            </w:r>
            <w:r w:rsidRPr="00377A42">
              <w:rPr>
                <w:i/>
              </w:rPr>
              <w:t>.</w:t>
            </w:r>
            <w:r>
              <w:t xml:space="preserve">  </w:t>
            </w:r>
            <w:r w:rsidR="00F62DFD" w:rsidRPr="00F62DFD">
              <w:t>Employment rates increase over each of the first seven years after study for young domestic graduates who complete a level 1-4 certificate or level 5-7 diploma. Many of these graduates do additional study after their first qualification so increasing their skill level and enhancing their prospects of employment. In contrast, employment rates tend to decline over time for young domestic graduates who do a bachelors qualification or higher as the percentage of graduates who go overseas increases with time.</w:t>
            </w:r>
            <w:r w:rsidR="00F62DFD">
              <w:rPr>
                <w:lang w:eastAsia="en-NZ"/>
              </w:rPr>
              <w:t xml:space="preserve"> However, despite employment rates moderating over time, it is important to note that the earnings premium that those who complete higher qualifications enjoy remains consistent over time.</w:t>
            </w:r>
          </w:p>
          <w:p w:rsidR="00532A94" w:rsidRPr="00532A94" w:rsidRDefault="00532A94" w:rsidP="00CB1A21">
            <w:pPr>
              <w:pStyle w:val="Keypointtext"/>
            </w:pPr>
            <w:r>
              <w:rPr>
                <w:i/>
              </w:rPr>
              <w:t>Ve</w:t>
            </w:r>
            <w:r w:rsidRPr="00532A94">
              <w:rPr>
                <w:i/>
              </w:rPr>
              <w:t xml:space="preserve">ry few young people who complete a qualification at diploma level or above are on a benefit in the first </w:t>
            </w:r>
            <w:r w:rsidR="00250477">
              <w:rPr>
                <w:i/>
              </w:rPr>
              <w:t>seven</w:t>
            </w:r>
            <w:r w:rsidRPr="00532A94">
              <w:rPr>
                <w:i/>
              </w:rPr>
              <w:t xml:space="preserve"> years after study</w:t>
            </w:r>
            <w:r>
              <w:rPr>
                <w:i/>
              </w:rPr>
              <w:t>.</w:t>
            </w:r>
            <w:r>
              <w:t xml:space="preserve">  </w:t>
            </w:r>
            <w:r w:rsidRPr="00532A94">
              <w:t>Around 5 percent of level 5-7 diploma graduates are on a benefit and around 1 percent of bachelors graduates</w:t>
            </w:r>
            <w:r>
              <w:t>,</w:t>
            </w:r>
            <w:r w:rsidRPr="00532A94">
              <w:t xml:space="preserve"> in each of the first seven years after study.  But it is around 12 percent for those who graduated with certificates at levels 1-3.</w:t>
            </w:r>
          </w:p>
          <w:p w:rsidR="00831E08" w:rsidRDefault="00831E08" w:rsidP="00831E08">
            <w:pPr>
              <w:pStyle w:val="Keypointtext"/>
            </w:pPr>
            <w:r w:rsidRPr="00CB1A21">
              <w:rPr>
                <w:i/>
              </w:rPr>
              <w:t>Curre</w:t>
            </w:r>
            <w:r>
              <w:rPr>
                <w:i/>
              </w:rPr>
              <w:t xml:space="preserve">nt overseas rates are comparable to </w:t>
            </w:r>
            <w:r w:rsidRPr="00CB1A21">
              <w:rPr>
                <w:i/>
              </w:rPr>
              <w:t>historic ones</w:t>
            </w:r>
            <w:r>
              <w:t xml:space="preserve">.  There has been no increase in the rate of departure of young New Zealanders at most qualification levels.  There are also indications that the percentage of young domestic graduates who go overseas may be </w:t>
            </w:r>
            <w:r>
              <w:lastRenderedPageBreak/>
              <w:t>decreasing in more recent cohorts for those who have studied graduate certificates or honours level qualifications.  However rates have increased for masters graduates in the first two years post study.</w:t>
            </w:r>
          </w:p>
          <w:p w:rsidR="008E3E3F" w:rsidRPr="008E3E3F" w:rsidRDefault="001A3ADC" w:rsidP="00CB1A21">
            <w:pPr>
              <w:pStyle w:val="Keypointtext"/>
            </w:pPr>
            <w:r>
              <w:rPr>
                <w:i/>
              </w:rPr>
              <w:t>The proportion of young graduates who go o</w:t>
            </w:r>
            <w:r w:rsidRPr="008E3E3F">
              <w:rPr>
                <w:i/>
              </w:rPr>
              <w:t xml:space="preserve">verseas </w:t>
            </w:r>
            <w:r w:rsidR="008E3E3F" w:rsidRPr="008E3E3F">
              <w:rPr>
                <w:i/>
              </w:rPr>
              <w:t xml:space="preserve">generally increases with the level of qualification gained.  </w:t>
            </w:r>
            <w:r w:rsidR="008E3E3F" w:rsidRPr="008E3E3F">
              <w:t>In the first year after study, 3 percent of certificate lev</w:t>
            </w:r>
            <w:r w:rsidR="008E3E3F">
              <w:t xml:space="preserve">el graduates go overseas, </w:t>
            </w:r>
            <w:r w:rsidR="008E3E3F" w:rsidRPr="008E3E3F">
              <w:t>5 percent of diploma graduates and around 10 to 11 percent of bachelors and honours graduates</w:t>
            </w:r>
            <w:r w:rsidR="008E3E3F">
              <w:t xml:space="preserve">. There is then a jump with </w:t>
            </w:r>
            <w:r w:rsidR="008E3E3F" w:rsidRPr="008E3E3F">
              <w:t>20 percent of masters and 30 percent of doctorate young domestic graduates going overseas in their first year post study.</w:t>
            </w:r>
          </w:p>
          <w:p w:rsidR="00CB1A21" w:rsidRDefault="00377A42" w:rsidP="00CB1A21">
            <w:pPr>
              <w:pStyle w:val="Keypointtext"/>
            </w:pPr>
            <w:r w:rsidRPr="00377A42">
              <w:rPr>
                <w:i/>
              </w:rPr>
              <w:t>The percentage of graduates who go overseas increases with time and the rate of increase generally increases with qualification level.</w:t>
            </w:r>
            <w:r w:rsidRPr="00377A42">
              <w:t xml:space="preserve">  Seven years after study, 17 percent of </w:t>
            </w:r>
            <w:r w:rsidR="00FD067A">
              <w:t xml:space="preserve">level 1-3 </w:t>
            </w:r>
            <w:r w:rsidRPr="00377A42">
              <w:t xml:space="preserve">certificate </w:t>
            </w:r>
            <w:r w:rsidR="00FD067A">
              <w:t>g</w:t>
            </w:r>
            <w:r w:rsidRPr="00377A42">
              <w:t>raduates are overseas, 21 percent of diploma graduate</w:t>
            </w:r>
            <w:r w:rsidR="008E3E3F">
              <w:t>s,</w:t>
            </w:r>
            <w:r w:rsidRPr="00377A42">
              <w:t xml:space="preserve"> 31</w:t>
            </w:r>
            <w:r w:rsidR="008E3E3F">
              <w:t xml:space="preserve"> percent of bachelors graduates and 41 percent of doctorate graduates.</w:t>
            </w:r>
          </w:p>
          <w:p w:rsidR="00C536D8" w:rsidRDefault="00377A42" w:rsidP="00377A42">
            <w:pPr>
              <w:pStyle w:val="Keypointtext"/>
              <w:rPr>
                <w:lang w:eastAsia="en-NZ"/>
              </w:rPr>
            </w:pPr>
            <w:r>
              <w:rPr>
                <w:i/>
              </w:rPr>
              <w:t>T</w:t>
            </w:r>
            <w:r w:rsidRPr="00377A42">
              <w:rPr>
                <w:i/>
              </w:rPr>
              <w:t xml:space="preserve">he percentage of </w:t>
            </w:r>
            <w:r w:rsidR="001A3ADC">
              <w:rPr>
                <w:i/>
              </w:rPr>
              <w:t xml:space="preserve">young </w:t>
            </w:r>
            <w:r w:rsidRPr="00377A42">
              <w:rPr>
                <w:i/>
              </w:rPr>
              <w:t xml:space="preserve">graduates </w:t>
            </w:r>
            <w:r>
              <w:rPr>
                <w:i/>
              </w:rPr>
              <w:t xml:space="preserve">who go </w:t>
            </w:r>
            <w:r w:rsidRPr="00377A42">
              <w:rPr>
                <w:i/>
              </w:rPr>
              <w:t xml:space="preserve">overseas </w:t>
            </w:r>
            <w:r>
              <w:rPr>
                <w:i/>
              </w:rPr>
              <w:t xml:space="preserve">appears to flatten off and reach a maximum around six to seven years after graduation.  </w:t>
            </w:r>
            <w:r>
              <w:t xml:space="preserve">This is particularly the case for those who have studied at higher qualification levels.  </w:t>
            </w:r>
            <w:r w:rsidRPr="00377A42">
              <w:t xml:space="preserve">The exception is doctorate students which reach a peak around three to four years after study.  </w:t>
            </w:r>
            <w:r w:rsidR="00C536D8">
              <w:rPr>
                <w:lang w:eastAsia="en-NZ"/>
              </w:rPr>
              <w:t>Given</w:t>
            </w:r>
            <w:r w:rsidR="00C536D8" w:rsidRPr="0030574F">
              <w:rPr>
                <w:lang w:eastAsia="en-NZ"/>
              </w:rPr>
              <w:t xml:space="preserve"> the high initial number of doctorate graduates who go overseas</w:t>
            </w:r>
            <w:r w:rsidR="00C536D8">
              <w:rPr>
                <w:lang w:eastAsia="en-NZ"/>
              </w:rPr>
              <w:t>, the early flattening of the overseas proportion</w:t>
            </w:r>
            <w:r w:rsidR="00C536D8" w:rsidRPr="0030574F">
              <w:rPr>
                <w:lang w:eastAsia="en-NZ"/>
              </w:rPr>
              <w:t xml:space="preserve"> is most likely due to a large number of doctorate graduates going overseas </w:t>
            </w:r>
            <w:r w:rsidR="00C536D8">
              <w:rPr>
                <w:lang w:eastAsia="en-NZ"/>
              </w:rPr>
              <w:t xml:space="preserve">immediately </w:t>
            </w:r>
            <w:r w:rsidR="00C536D8" w:rsidRPr="0030574F">
              <w:rPr>
                <w:lang w:eastAsia="en-NZ"/>
              </w:rPr>
              <w:t>after their studies in order to complete a postdoctora</w:t>
            </w:r>
            <w:r w:rsidR="00C536D8">
              <w:rPr>
                <w:lang w:eastAsia="en-NZ"/>
              </w:rPr>
              <w:t>l</w:t>
            </w:r>
            <w:r w:rsidR="00C536D8" w:rsidRPr="0030574F">
              <w:rPr>
                <w:lang w:eastAsia="en-NZ"/>
              </w:rPr>
              <w:t xml:space="preserve"> placement</w:t>
            </w:r>
            <w:r w:rsidR="00C25986">
              <w:rPr>
                <w:lang w:eastAsia="en-NZ"/>
              </w:rPr>
              <w:t>, with</w:t>
            </w:r>
            <w:r w:rsidR="00C536D8">
              <w:rPr>
                <w:lang w:eastAsia="en-NZ"/>
              </w:rPr>
              <w:t xml:space="preserve"> some then returning</w:t>
            </w:r>
            <w:r w:rsidR="00C536D8" w:rsidRPr="0030574F">
              <w:rPr>
                <w:lang w:eastAsia="en-NZ"/>
              </w:rPr>
              <w:t>.</w:t>
            </w:r>
          </w:p>
          <w:p w:rsidR="0008344B" w:rsidRDefault="008B5C72" w:rsidP="00377A42">
            <w:pPr>
              <w:pStyle w:val="Keypointtext"/>
              <w:rPr>
                <w:lang w:eastAsia="en-NZ"/>
              </w:rPr>
            </w:pPr>
            <w:r>
              <w:rPr>
                <w:i/>
              </w:rPr>
              <w:t xml:space="preserve">Graduates outcomes were affected by the </w:t>
            </w:r>
            <w:r w:rsidR="0008344B">
              <w:rPr>
                <w:i/>
              </w:rPr>
              <w:t>recent global financial crisis</w:t>
            </w:r>
            <w:r w:rsidR="007C7109">
              <w:rPr>
                <w:i/>
              </w:rPr>
              <w:t>,</w:t>
            </w:r>
            <w:r w:rsidR="0008344B">
              <w:rPr>
                <w:i/>
              </w:rPr>
              <w:t xml:space="preserve"> </w:t>
            </w:r>
            <w:r>
              <w:rPr>
                <w:i/>
              </w:rPr>
              <w:t xml:space="preserve">with different trends seen for graduates at different qualification levels.  </w:t>
            </w:r>
            <w:r w:rsidR="006736E4">
              <w:t>E</w:t>
            </w:r>
            <w:r>
              <w:t>mployment rates dropped and benefit rates increased for y</w:t>
            </w:r>
            <w:r w:rsidRPr="008B5C72">
              <w:t xml:space="preserve">oung domestic graduates </w:t>
            </w:r>
            <w:r w:rsidR="0008344B" w:rsidRPr="008B5C72">
              <w:rPr>
                <w:lang w:eastAsia="en-NZ"/>
              </w:rPr>
              <w:t xml:space="preserve">who had </w:t>
            </w:r>
            <w:r w:rsidR="0008344B">
              <w:rPr>
                <w:lang w:eastAsia="en-NZ"/>
              </w:rPr>
              <w:t xml:space="preserve">completed </w:t>
            </w:r>
            <w:r>
              <w:rPr>
                <w:lang w:eastAsia="en-NZ"/>
              </w:rPr>
              <w:t>a qualification</w:t>
            </w:r>
            <w:r w:rsidR="0008344B">
              <w:rPr>
                <w:lang w:eastAsia="en-NZ"/>
              </w:rPr>
              <w:t xml:space="preserve"> at </w:t>
            </w:r>
            <w:r w:rsidR="006736E4">
              <w:rPr>
                <w:lang w:eastAsia="en-NZ"/>
              </w:rPr>
              <w:t xml:space="preserve">certificate levels 1-3.  </w:t>
            </w:r>
            <w:r w:rsidR="00B25942">
              <w:rPr>
                <w:lang w:eastAsia="en-NZ"/>
              </w:rPr>
              <w:t>E</w:t>
            </w:r>
            <w:r w:rsidR="006736E4">
              <w:rPr>
                <w:lang w:eastAsia="en-NZ"/>
              </w:rPr>
              <w:t xml:space="preserve">mployment rates also dropped for those who had completed a level 4 certificate or diploma, </w:t>
            </w:r>
            <w:r w:rsidR="00B25942">
              <w:rPr>
                <w:lang w:eastAsia="en-NZ"/>
              </w:rPr>
              <w:t xml:space="preserve">but </w:t>
            </w:r>
            <w:r w:rsidR="007C7109">
              <w:rPr>
                <w:lang w:eastAsia="en-NZ"/>
              </w:rPr>
              <w:t>f</w:t>
            </w:r>
            <w:r w:rsidR="007C7109" w:rsidRPr="00AF4D38">
              <w:rPr>
                <w:color w:val="000000"/>
                <w:lang w:eastAsia="en-NZ"/>
              </w:rPr>
              <w:t>urth</w:t>
            </w:r>
            <w:r w:rsidR="007C7109">
              <w:rPr>
                <w:lang w:eastAsia="en-NZ"/>
              </w:rPr>
              <w:t xml:space="preserve">er </w:t>
            </w:r>
            <w:r w:rsidR="006736E4">
              <w:rPr>
                <w:lang w:eastAsia="en-NZ"/>
              </w:rPr>
              <w:t>study rates increased over this time</w:t>
            </w:r>
            <w:r w:rsidR="007C7109">
              <w:rPr>
                <w:lang w:eastAsia="en-NZ"/>
              </w:rPr>
              <w:t>,</w:t>
            </w:r>
            <w:r w:rsidR="006736E4">
              <w:rPr>
                <w:lang w:eastAsia="en-NZ"/>
              </w:rPr>
              <w:t xml:space="preserve"> </w:t>
            </w:r>
            <w:r w:rsidR="00894634">
              <w:rPr>
                <w:lang w:eastAsia="en-NZ"/>
              </w:rPr>
              <w:t>suggesting that these graduates focused on</w:t>
            </w:r>
            <w:r w:rsidR="006736E4" w:rsidRPr="00AF4D38">
              <w:rPr>
                <w:lang w:eastAsia="en-NZ"/>
              </w:rPr>
              <w:t xml:space="preserve"> obtaining further qualifications to enh</w:t>
            </w:r>
            <w:r w:rsidR="00B25942" w:rsidRPr="00AF4D38">
              <w:rPr>
                <w:lang w:eastAsia="en-NZ"/>
              </w:rPr>
              <w:t>ance their employment prospects</w:t>
            </w:r>
            <w:r w:rsidR="00894634" w:rsidRPr="00AF4D38">
              <w:rPr>
                <w:lang w:eastAsia="en-NZ"/>
              </w:rPr>
              <w:t xml:space="preserve">.  </w:t>
            </w:r>
            <w:r w:rsidR="00B25942" w:rsidRPr="00AF4D38">
              <w:rPr>
                <w:lang w:eastAsia="en-NZ"/>
              </w:rPr>
              <w:t xml:space="preserve">Employment rates generally remained constant for young domestic graduates who completed a qualification at degree level or higher which suggests that having a higher qualification has helped to protect these graduates from the </w:t>
            </w:r>
            <w:r w:rsidR="00E908AD" w:rsidRPr="00AF4D38">
              <w:rPr>
                <w:lang w:eastAsia="en-NZ"/>
              </w:rPr>
              <w:t xml:space="preserve">worst </w:t>
            </w:r>
            <w:r w:rsidR="00B25942" w:rsidRPr="00AF4D38">
              <w:rPr>
                <w:lang w:eastAsia="en-NZ"/>
              </w:rPr>
              <w:t>effects of the recession.</w:t>
            </w:r>
          </w:p>
          <w:p w:rsidR="00942708" w:rsidRDefault="00942708" w:rsidP="00942708">
            <w:pPr>
              <w:pStyle w:val="Keypointtext"/>
            </w:pPr>
            <w:r w:rsidRPr="00942708">
              <w:rPr>
                <w:i/>
              </w:rPr>
              <w:t xml:space="preserve">Outcomes for </w:t>
            </w:r>
            <w:r w:rsidR="001A3ADC">
              <w:rPr>
                <w:i/>
              </w:rPr>
              <w:t xml:space="preserve">young </w:t>
            </w:r>
            <w:r w:rsidRPr="00942708">
              <w:rPr>
                <w:i/>
              </w:rPr>
              <w:t>bachelors graduates vary by broad field of study.</w:t>
            </w:r>
            <w:r w:rsidRPr="00942708">
              <w:t xml:space="preserve">  For example, </w:t>
            </w:r>
            <w:r w:rsidR="00220800">
              <w:t xml:space="preserve">of those </w:t>
            </w:r>
            <w:r w:rsidR="008B5C72">
              <w:t xml:space="preserve">young domestic graduates </w:t>
            </w:r>
            <w:r w:rsidR="00220800">
              <w:t xml:space="preserve">who complete a bachelors degree, </w:t>
            </w:r>
            <w:r w:rsidRPr="00942708">
              <w:t xml:space="preserve">employment rates are highest </w:t>
            </w:r>
            <w:r w:rsidR="00220800">
              <w:t xml:space="preserve">in all years after study </w:t>
            </w:r>
            <w:r w:rsidR="008B5C72">
              <w:t>for those</w:t>
            </w:r>
            <w:r w:rsidRPr="00942708">
              <w:t xml:space="preserve"> who </w:t>
            </w:r>
            <w:r w:rsidR="00220800">
              <w:t>study</w:t>
            </w:r>
            <w:r w:rsidRPr="00942708">
              <w:t xml:space="preserve"> education, varying from 73 percent in the first year after study to 64 percent seven years after study. </w:t>
            </w:r>
            <w:r w:rsidR="00946B0B">
              <w:t xml:space="preserve"> </w:t>
            </w:r>
            <w:r w:rsidR="007C7109">
              <w:t>A</w:t>
            </w:r>
            <w:r>
              <w:t xml:space="preserve">round </w:t>
            </w:r>
            <w:r w:rsidR="00946B0B">
              <w:t>54</w:t>
            </w:r>
            <w:r w:rsidR="001A3ADC">
              <w:t xml:space="preserve"> percent </w:t>
            </w:r>
            <w:r>
              <w:t xml:space="preserve">of </w:t>
            </w:r>
            <w:r w:rsidRPr="00942708">
              <w:t>bachelors graduates who have studied natural and physical sciences</w:t>
            </w:r>
            <w:r>
              <w:t>,</w:t>
            </w:r>
            <w:r w:rsidRPr="00942708">
              <w:t xml:space="preserve"> and </w:t>
            </w:r>
            <w:r w:rsidR="00946B0B">
              <w:t xml:space="preserve">47 percent of </w:t>
            </w:r>
            <w:r w:rsidRPr="00942708">
              <w:t xml:space="preserve">society and culture </w:t>
            </w:r>
            <w:r w:rsidR="00946B0B">
              <w:t xml:space="preserve">graduates </w:t>
            </w:r>
            <w:r>
              <w:t>continue on to do further study.</w:t>
            </w:r>
          </w:p>
          <w:p w:rsidR="008E3E3F" w:rsidRDefault="00942708" w:rsidP="001A3ADC">
            <w:pPr>
              <w:pStyle w:val="Keypointtext"/>
            </w:pPr>
            <w:r w:rsidRPr="00942708">
              <w:rPr>
                <w:i/>
              </w:rPr>
              <w:t xml:space="preserve">Outcomes for bachelors graduates </w:t>
            </w:r>
            <w:r>
              <w:rPr>
                <w:i/>
              </w:rPr>
              <w:t xml:space="preserve">also </w:t>
            </w:r>
            <w:r w:rsidRPr="00942708">
              <w:rPr>
                <w:i/>
              </w:rPr>
              <w:t xml:space="preserve">vary by </w:t>
            </w:r>
            <w:r>
              <w:rPr>
                <w:i/>
              </w:rPr>
              <w:t xml:space="preserve">narrow </w:t>
            </w:r>
            <w:r w:rsidRPr="00942708">
              <w:rPr>
                <w:i/>
              </w:rPr>
              <w:t>field of study.</w:t>
            </w:r>
            <w:r>
              <w:rPr>
                <w:i/>
              </w:rPr>
              <w:t xml:space="preserve"> </w:t>
            </w:r>
            <w:r>
              <w:t xml:space="preserve">Within a single broad field of study, there can be considerable variation in what young domestic graduates do after they complete their qualification.  </w:t>
            </w:r>
            <w:r w:rsidR="00515285">
              <w:t xml:space="preserve">For example, </w:t>
            </w:r>
            <w:r w:rsidR="005649CE">
              <w:t xml:space="preserve">within the broad field of study of health, </w:t>
            </w:r>
            <w:r w:rsidR="00515285" w:rsidRPr="00515285">
              <w:t>employment rates are very high initially for young domestic pharmacy (94 percent), radiography (85 percent) and dental studies (69 percent) graduates</w:t>
            </w:r>
            <w:r w:rsidR="001A3ADC">
              <w:t>.  H</w:t>
            </w:r>
            <w:r w:rsidR="00515285" w:rsidRPr="00515285">
              <w:t>owever these rates drop</w:t>
            </w:r>
            <w:r w:rsidR="00515285">
              <w:t xml:space="preserve"> sharply in subsequent years</w:t>
            </w:r>
            <w:r w:rsidR="00515285" w:rsidRPr="00515285">
              <w:t xml:space="preserve">, mostly because of the </w:t>
            </w:r>
            <w:r w:rsidR="00515285">
              <w:t xml:space="preserve">high </w:t>
            </w:r>
            <w:r w:rsidR="00515285" w:rsidRPr="00515285">
              <w:t>numb</w:t>
            </w:r>
            <w:r w:rsidR="00515285">
              <w:t xml:space="preserve">er of graduates who go overseas.  </w:t>
            </w:r>
            <w:r w:rsidR="001A3ADC">
              <w:t>E</w:t>
            </w:r>
            <w:r w:rsidR="00515285">
              <w:t>mployment rat</w:t>
            </w:r>
            <w:r w:rsidR="00946B0B">
              <w:t xml:space="preserve">es increase or are more stable </w:t>
            </w:r>
            <w:r w:rsidR="00515285">
              <w:t xml:space="preserve">for those who study </w:t>
            </w:r>
            <w:r w:rsidR="00681CFC">
              <w:t xml:space="preserve">medicine, </w:t>
            </w:r>
            <w:r w:rsidR="00515285" w:rsidRPr="00515285">
              <w:t>veterinary studies</w:t>
            </w:r>
            <w:r w:rsidR="00681CFC">
              <w:t xml:space="preserve">, </w:t>
            </w:r>
            <w:r w:rsidR="00515285" w:rsidRPr="00515285">
              <w:t>public or other health, and nursing</w:t>
            </w:r>
            <w:r w:rsidR="00681CFC">
              <w:t>, with a lower proportion of these graduates going overseas over time.</w:t>
            </w:r>
          </w:p>
          <w:p w:rsidR="00946B0B" w:rsidRPr="006D7677" w:rsidRDefault="00946B0B" w:rsidP="001A3ADC">
            <w:pPr>
              <w:pStyle w:val="Keypointtext"/>
            </w:pPr>
          </w:p>
        </w:tc>
      </w:tr>
    </w:tbl>
    <w:p w:rsidR="00A835C5" w:rsidRDefault="00A835C5" w:rsidP="006D7677"/>
    <w:p w:rsidR="00A835C5" w:rsidRDefault="00A835C5">
      <w:pPr>
        <w:pStyle w:val="BodyText"/>
      </w:pPr>
    </w:p>
    <w:p w:rsidR="00ED68DB" w:rsidRDefault="001038A7" w:rsidP="003F68BF">
      <w:pPr>
        <w:pStyle w:val="Heading1"/>
      </w:pPr>
      <w:r>
        <w:br w:type="page"/>
      </w:r>
      <w:bookmarkStart w:id="1" w:name="_Toc387305274"/>
      <w:r w:rsidR="00555B89">
        <w:lastRenderedPageBreak/>
        <w:t>Introduction</w:t>
      </w:r>
      <w:bookmarkEnd w:id="1"/>
      <w:r w:rsidR="00665610">
        <w:t xml:space="preserve"> </w:t>
      </w:r>
    </w:p>
    <w:p w:rsidR="00195D3A" w:rsidRDefault="00086B44" w:rsidP="00086B44">
      <w:pPr>
        <w:pStyle w:val="BodyText"/>
      </w:pPr>
      <w:r>
        <w:t xml:space="preserve">This report looks at what young domestic graduates do after they complete their tertiary education studies.  </w:t>
      </w:r>
    </w:p>
    <w:p w:rsidR="00086B44" w:rsidRPr="007F4A8F" w:rsidRDefault="00086B44" w:rsidP="00086B44">
      <w:pPr>
        <w:pStyle w:val="BodyText"/>
      </w:pPr>
      <w:r>
        <w:t xml:space="preserve">The data we analyse is similar to that presented in </w:t>
      </w:r>
      <w:r w:rsidR="0054501C">
        <w:t>three</w:t>
      </w:r>
      <w:r>
        <w:t xml:space="preserve"> earlier reports</w:t>
      </w:r>
      <w:r w:rsidR="00195D3A">
        <w:t xml:space="preserve"> on graduate outcomes</w:t>
      </w:r>
      <w:r>
        <w:t xml:space="preserve">, </w:t>
      </w:r>
      <w:r w:rsidRPr="007F4A8F">
        <w:rPr>
          <w:i/>
        </w:rPr>
        <w:t>Moving on up</w:t>
      </w:r>
      <w:r>
        <w:rPr>
          <w:i/>
        </w:rPr>
        <w:t xml:space="preserve"> </w:t>
      </w:r>
      <w:r w:rsidRPr="00B014DD">
        <w:t>and the associated</w:t>
      </w:r>
      <w:r>
        <w:t xml:space="preserve"> update</w:t>
      </w:r>
      <w:r w:rsidR="0054501C">
        <w:t>s</w:t>
      </w:r>
      <w:r>
        <w:t xml:space="preserve">, </w:t>
      </w:r>
      <w:r w:rsidRPr="002076A0">
        <w:rPr>
          <w:i/>
        </w:rPr>
        <w:t>Looking at the employment outcomes of tertiary education</w:t>
      </w:r>
      <w:r w:rsidR="0054501C">
        <w:rPr>
          <w:i/>
        </w:rPr>
        <w:t xml:space="preserve"> </w:t>
      </w:r>
      <w:r w:rsidR="0054501C">
        <w:t xml:space="preserve">and </w:t>
      </w:r>
      <w:r w:rsidR="0054501C">
        <w:rPr>
          <w:i/>
        </w:rPr>
        <w:t>What young graduates earn when they leave study</w:t>
      </w:r>
      <w:r>
        <w:t xml:space="preserve">.  But the </w:t>
      </w:r>
      <w:r w:rsidR="00095610">
        <w:t>focus</w:t>
      </w:r>
      <w:r w:rsidR="007005CB">
        <w:t xml:space="preserve"> in those reports was on graduates who remain in New Zealand and </w:t>
      </w:r>
      <w:r w:rsidR="00095610">
        <w:t xml:space="preserve">we </w:t>
      </w:r>
      <w:r w:rsidR="00532571">
        <w:t>explored differences in their</w:t>
      </w:r>
      <w:r w:rsidR="007005CB">
        <w:t xml:space="preserve"> earnings </w:t>
      </w:r>
      <w:r w:rsidR="00195D3A">
        <w:t>following completion of their qualifications</w:t>
      </w:r>
      <w:r w:rsidR="00095610">
        <w:t>.  I</w:t>
      </w:r>
      <w:r w:rsidR="007005CB">
        <w:t>n this report</w:t>
      </w:r>
      <w:r w:rsidR="00195D3A">
        <w:t>,</w:t>
      </w:r>
      <w:r w:rsidR="007005CB">
        <w:t xml:space="preserve"> </w:t>
      </w:r>
      <w:r w:rsidR="00095610">
        <w:t>we look at the destinations of young graduates – including travel overseas</w:t>
      </w:r>
      <w:r>
        <w:t xml:space="preserve">.  </w:t>
      </w:r>
      <w:r w:rsidR="00095610">
        <w:t>That is, w</w:t>
      </w:r>
      <w:r>
        <w:t xml:space="preserve">e focus on differences in what graduates </w:t>
      </w:r>
      <w:r w:rsidRPr="009E5BD9">
        <w:rPr>
          <w:i/>
        </w:rPr>
        <w:t>do</w:t>
      </w:r>
      <w:r>
        <w:t xml:space="preserve"> rather than what they </w:t>
      </w:r>
      <w:r w:rsidRPr="009E5BD9">
        <w:rPr>
          <w:i/>
        </w:rPr>
        <w:t>earn</w:t>
      </w:r>
      <w:r>
        <w:t xml:space="preserve"> after they complete their studies.</w:t>
      </w:r>
    </w:p>
    <w:p w:rsidR="00086B44" w:rsidRPr="007F4A8F" w:rsidRDefault="00284BE1" w:rsidP="00086B44">
      <w:pPr>
        <w:pStyle w:val="Heading2"/>
      </w:pPr>
      <w:bookmarkStart w:id="2" w:name="_Toc387305275"/>
      <w:r>
        <w:t>Background</w:t>
      </w:r>
      <w:bookmarkEnd w:id="2"/>
    </w:p>
    <w:p w:rsidR="008A4996" w:rsidRPr="00532087" w:rsidRDefault="008A4996" w:rsidP="008A4996">
      <w:pPr>
        <w:pStyle w:val="BodyText"/>
      </w:pPr>
      <w:r w:rsidRPr="00532087">
        <w:t xml:space="preserve">People choose what to study at tertiary level for many reasons – what they enjoy, what they are good at, what they are capable of and what will get them started on a career.  </w:t>
      </w:r>
      <w:r w:rsidR="0027120B">
        <w:t>Making good decisions allows individuals to gain the skills they need to obtain satisfying and rewarding work.  This is important as g</w:t>
      </w:r>
      <w:r w:rsidR="0027120B" w:rsidRPr="00532087">
        <w:t xml:space="preserve">ood </w:t>
      </w:r>
      <w:r w:rsidRPr="00532087">
        <w:t xml:space="preserve">careers are associated with better health, better well-being and more satisfying lives.  </w:t>
      </w:r>
    </w:p>
    <w:p w:rsidR="00086B44" w:rsidRDefault="00086B44" w:rsidP="00086B44">
      <w:pPr>
        <w:pStyle w:val="BodyText"/>
      </w:pPr>
      <w:r w:rsidRPr="00532087">
        <w:rPr>
          <w:i/>
        </w:rPr>
        <w:t>Moving on up: what young people earn after their tertiary education,</w:t>
      </w:r>
      <w:r w:rsidRPr="00532087">
        <w:t xml:space="preserve"> published in January 2013, </w:t>
      </w:r>
      <w:r w:rsidRPr="0054501C">
        <w:t xml:space="preserve">and </w:t>
      </w:r>
      <w:r w:rsidR="0054501C" w:rsidRPr="0054501C">
        <w:t>the two updates</w:t>
      </w:r>
      <w:r>
        <w:t xml:space="preserve"> published in October 2013 </w:t>
      </w:r>
      <w:r w:rsidR="005649CE">
        <w:t>and May</w:t>
      </w:r>
      <w:r w:rsidR="0054501C">
        <w:t xml:space="preserve"> 2014 </w:t>
      </w:r>
      <w:r>
        <w:t>add</w:t>
      </w:r>
      <w:r w:rsidRPr="00532087">
        <w:t xml:space="preserve"> to the information available to prospective students, their families and those who advise them.  </w:t>
      </w:r>
      <w:r>
        <w:t>These reports focus on employment outcomes for young New Zealanders who complete a tertiary qualification</w:t>
      </w:r>
      <w:r w:rsidR="00532571">
        <w:t xml:space="preserve"> and remain in New Zealand</w:t>
      </w:r>
      <w:r>
        <w:t xml:space="preserve">.  </w:t>
      </w:r>
      <w:r w:rsidR="00532571">
        <w:t>T</w:t>
      </w:r>
      <w:r>
        <w:t xml:space="preserve">hey look at </w:t>
      </w:r>
      <w:r w:rsidR="00532571">
        <w:t xml:space="preserve">employment rates and </w:t>
      </w:r>
      <w:r>
        <w:t xml:space="preserve">graduate earnings </w:t>
      </w:r>
      <w:r w:rsidR="00532571">
        <w:t xml:space="preserve">for those who </w:t>
      </w:r>
      <w:r w:rsidR="00B828E0">
        <w:t xml:space="preserve">are </w:t>
      </w:r>
      <w:r w:rsidR="00532571">
        <w:t xml:space="preserve">in New Zealand </w:t>
      </w:r>
      <w:r>
        <w:t>in the first few years after study</w:t>
      </w:r>
      <w:r w:rsidR="00532571">
        <w:t>.</w:t>
      </w:r>
      <w:r>
        <w:t xml:space="preserve">  Information about further study and benefit receipt rates </w:t>
      </w:r>
      <w:r w:rsidR="00532571">
        <w:t>was included to provide context for the employment outcomes measures</w:t>
      </w:r>
      <w:r>
        <w:t xml:space="preserve">.  </w:t>
      </w:r>
    </w:p>
    <w:p w:rsidR="006255C2" w:rsidRDefault="00086B44" w:rsidP="006255C2">
      <w:pPr>
        <w:jc w:val="both"/>
      </w:pPr>
      <w:r>
        <w:t xml:space="preserve">This report </w:t>
      </w:r>
      <w:r w:rsidR="00532571">
        <w:t>draws data from the same source as those</w:t>
      </w:r>
      <w:r>
        <w:t xml:space="preserve"> </w:t>
      </w:r>
      <w:r w:rsidR="00D47619">
        <w:t xml:space="preserve">three </w:t>
      </w:r>
      <w:r w:rsidR="00532571">
        <w:t xml:space="preserve">earlier </w:t>
      </w:r>
      <w:r>
        <w:t xml:space="preserve">reports </w:t>
      </w:r>
      <w:r w:rsidR="00532571">
        <w:t>but looks solely at the destinations of</w:t>
      </w:r>
      <w:r>
        <w:t xml:space="preserve"> graduates</w:t>
      </w:r>
      <w:r w:rsidR="00614A9D">
        <w:t xml:space="preserve">.  We look </w:t>
      </w:r>
      <w:r w:rsidR="00B828E0">
        <w:t xml:space="preserve">not only </w:t>
      </w:r>
      <w:r w:rsidR="00614A9D">
        <w:t>at</w:t>
      </w:r>
      <w:r w:rsidR="00B828E0">
        <w:t xml:space="preserve"> those who are in New Zealand but also those who go overseas</w:t>
      </w:r>
      <w:r>
        <w:t xml:space="preserve">.  </w:t>
      </w:r>
      <w:r w:rsidR="006255C2">
        <w:t>We look at all graduates in the same economi</w:t>
      </w:r>
      <w:r w:rsidR="005649CE">
        <w:t xml:space="preserve">c climate, that of the </w:t>
      </w:r>
      <w:r w:rsidR="006255C2">
        <w:t xml:space="preserve">2011 </w:t>
      </w:r>
      <w:r w:rsidR="005649CE">
        <w:t xml:space="preserve">and 2012 </w:t>
      </w:r>
      <w:r w:rsidR="006255C2">
        <w:t>tax years</w:t>
      </w:r>
      <w:r w:rsidR="006255C2">
        <w:rPr>
          <w:rStyle w:val="FootnoteReference"/>
        </w:rPr>
        <w:footnoteReference w:id="1"/>
      </w:r>
      <w:r w:rsidR="006255C2">
        <w:t xml:space="preserve">, for each of the first seven years post-study.  </w:t>
      </w:r>
      <w:r w:rsidR="006255C2" w:rsidRPr="005C37D1">
        <w:t>For instance, one year post-study outcomes are calculated for graduates who completed in 200</w:t>
      </w:r>
      <w:r w:rsidR="006255C2">
        <w:t>9</w:t>
      </w:r>
      <w:r w:rsidR="006255C2" w:rsidRPr="005C37D1">
        <w:t xml:space="preserve"> or 20</w:t>
      </w:r>
      <w:r w:rsidR="006255C2">
        <w:t>10</w:t>
      </w:r>
      <w:r w:rsidR="006255C2" w:rsidRPr="005C37D1">
        <w:t>, and five year post-study outcomes are calculated for graduates who completed in 200</w:t>
      </w:r>
      <w:r w:rsidR="006255C2">
        <w:t>5</w:t>
      </w:r>
      <w:r w:rsidR="006255C2" w:rsidRPr="005C37D1">
        <w:t xml:space="preserve"> or 200</w:t>
      </w:r>
      <w:r w:rsidR="006255C2">
        <w:t>6</w:t>
      </w:r>
      <w:r w:rsidR="006255C2" w:rsidRPr="005C37D1">
        <w:t>.</w:t>
      </w:r>
      <w:r w:rsidR="006255C2">
        <w:t xml:space="preserve">  </w:t>
      </w:r>
      <w:r w:rsidR="006255C2" w:rsidRPr="00BB4C59">
        <w:t xml:space="preserve">Table </w:t>
      </w:r>
      <w:r w:rsidR="006255C2">
        <w:t>1</w:t>
      </w:r>
      <w:r w:rsidR="006255C2" w:rsidRPr="00BB4C59">
        <w:t xml:space="preserve"> </w:t>
      </w:r>
      <w:r w:rsidR="0027120B">
        <w:t>(on the next page)</w:t>
      </w:r>
      <w:r w:rsidR="006255C2" w:rsidRPr="00BB4C59">
        <w:t xml:space="preserve"> shows how the aggregated cohorts align with tax and calendar years for each pos</w:t>
      </w:r>
      <w:r w:rsidR="005649CE">
        <w:t>t study year.</w:t>
      </w:r>
    </w:p>
    <w:p w:rsidR="003C66D5" w:rsidRDefault="003C66D5" w:rsidP="006255C2">
      <w:pPr>
        <w:jc w:val="both"/>
      </w:pPr>
    </w:p>
    <w:p w:rsidR="0027120B" w:rsidRDefault="0027120B">
      <w:pPr>
        <w:rPr>
          <w:rFonts w:ascii="Arial" w:hAnsi="Arial" w:cs="Arial"/>
          <w:b/>
          <w:bCs/>
          <w:sz w:val="15"/>
          <w:szCs w:val="20"/>
        </w:rPr>
      </w:pPr>
      <w:r>
        <w:br w:type="page"/>
      </w:r>
    </w:p>
    <w:p w:rsidR="003C66D5" w:rsidRDefault="003C66D5" w:rsidP="003C66D5">
      <w:pPr>
        <w:pStyle w:val="Caption"/>
      </w:pPr>
      <w:r>
        <w:lastRenderedPageBreak/>
        <w:t>Table 1</w:t>
      </w:r>
    </w:p>
    <w:p w:rsidR="003C66D5" w:rsidRPr="00BB4C59" w:rsidRDefault="003C66D5" w:rsidP="003C66D5">
      <w:pPr>
        <w:pStyle w:val="Tablelabel"/>
        <w:jc w:val="both"/>
      </w:pPr>
      <w:bookmarkStart w:id="3" w:name="_Toc387134515"/>
      <w:r w:rsidRPr="00BB4C59">
        <w:t>Alignment of cohorts with tax and calendar years</w:t>
      </w:r>
      <w:r>
        <w:rPr>
          <w:rStyle w:val="FootnoteReference"/>
        </w:rPr>
        <w:footnoteReference w:id="2"/>
      </w:r>
      <w:bookmarkEnd w:id="3"/>
    </w:p>
    <w:tbl>
      <w:tblPr>
        <w:tblW w:w="6538" w:type="dxa"/>
        <w:tblInd w:w="91" w:type="dxa"/>
        <w:tblLook w:val="04A0"/>
      </w:tblPr>
      <w:tblGrid>
        <w:gridCol w:w="760"/>
        <w:gridCol w:w="1668"/>
        <w:gridCol w:w="1984"/>
        <w:gridCol w:w="2126"/>
      </w:tblGrid>
      <w:tr w:rsidR="003C66D5" w:rsidRPr="00BB4C59" w:rsidTr="003300CE">
        <w:trPr>
          <w:trHeight w:val="315"/>
        </w:trPr>
        <w:tc>
          <w:tcPr>
            <w:tcW w:w="760" w:type="dxa"/>
            <w:tcBorders>
              <w:top w:val="single" w:sz="8" w:space="0" w:color="7F7F7F"/>
              <w:left w:val="single" w:sz="8" w:space="0" w:color="7F7F7F"/>
              <w:bottom w:val="single" w:sz="8" w:space="0" w:color="7F7F7F"/>
              <w:right w:val="single" w:sz="8" w:space="0" w:color="7F7F7F"/>
            </w:tcBorders>
            <w:shd w:val="clear" w:color="auto" w:fill="C4BC96" w:themeFill="background2" w:themeFillShade="BF"/>
            <w:vAlign w:val="center"/>
            <w:hideMark/>
          </w:tcPr>
          <w:p w:rsidR="003C66D5" w:rsidRPr="00BB4C59" w:rsidRDefault="003C66D5" w:rsidP="003300CE">
            <w:pPr>
              <w:pStyle w:val="Tableheading"/>
              <w:jc w:val="both"/>
              <w:rPr>
                <w:rFonts w:cs="Arial"/>
                <w:lang w:eastAsia="en-NZ"/>
              </w:rPr>
            </w:pPr>
            <w:r w:rsidRPr="00BB4C59">
              <w:rPr>
                <w:rFonts w:cs="Arial"/>
                <w:lang w:eastAsia="en-NZ"/>
              </w:rPr>
              <w:t>Cohort</w:t>
            </w:r>
          </w:p>
        </w:tc>
        <w:tc>
          <w:tcPr>
            <w:tcW w:w="1668" w:type="dxa"/>
            <w:tcBorders>
              <w:top w:val="single" w:sz="8" w:space="0" w:color="7F7F7F"/>
              <w:left w:val="nil"/>
              <w:bottom w:val="single" w:sz="8" w:space="0" w:color="7F7F7F"/>
              <w:right w:val="single" w:sz="8" w:space="0" w:color="7F7F7F"/>
            </w:tcBorders>
            <w:shd w:val="clear" w:color="auto" w:fill="C4BC96" w:themeFill="background2" w:themeFillShade="BF"/>
            <w:vAlign w:val="center"/>
            <w:hideMark/>
          </w:tcPr>
          <w:p w:rsidR="003C66D5" w:rsidRPr="00BB4C59" w:rsidRDefault="003C66D5" w:rsidP="003300CE">
            <w:pPr>
              <w:pStyle w:val="Tableheading"/>
              <w:rPr>
                <w:rFonts w:cs="Arial"/>
                <w:bCs/>
                <w:color w:val="000000"/>
                <w:szCs w:val="15"/>
                <w:lang w:eastAsia="en-NZ"/>
              </w:rPr>
            </w:pPr>
            <w:r w:rsidRPr="00BB4C59">
              <w:rPr>
                <w:rFonts w:cs="Arial"/>
                <w:bCs/>
                <w:color w:val="000000"/>
                <w:szCs w:val="15"/>
                <w:lang w:eastAsia="en-NZ"/>
              </w:rPr>
              <w:t>Years post study</w:t>
            </w:r>
          </w:p>
        </w:tc>
        <w:tc>
          <w:tcPr>
            <w:tcW w:w="1984" w:type="dxa"/>
            <w:tcBorders>
              <w:top w:val="single" w:sz="8" w:space="0" w:color="7F7F7F"/>
              <w:left w:val="nil"/>
              <w:bottom w:val="single" w:sz="8" w:space="0" w:color="7F7F7F"/>
              <w:right w:val="single" w:sz="8" w:space="0" w:color="7F7F7F"/>
            </w:tcBorders>
            <w:shd w:val="clear" w:color="auto" w:fill="C4BC96" w:themeFill="background2" w:themeFillShade="BF"/>
            <w:vAlign w:val="center"/>
            <w:hideMark/>
          </w:tcPr>
          <w:p w:rsidR="003C66D5" w:rsidRPr="00BB4C59" w:rsidRDefault="003C66D5" w:rsidP="003300CE">
            <w:pPr>
              <w:pStyle w:val="Tableheading"/>
              <w:rPr>
                <w:rFonts w:cs="Arial"/>
                <w:bCs/>
                <w:color w:val="000000"/>
                <w:szCs w:val="15"/>
                <w:lang w:eastAsia="en-NZ"/>
              </w:rPr>
            </w:pPr>
            <w:r w:rsidRPr="00BB4C59">
              <w:rPr>
                <w:rFonts w:cs="Arial"/>
                <w:bCs/>
                <w:color w:val="000000"/>
                <w:szCs w:val="15"/>
                <w:lang w:eastAsia="en-NZ"/>
              </w:rPr>
              <w:t>Calendar year</w:t>
            </w:r>
          </w:p>
        </w:tc>
        <w:tc>
          <w:tcPr>
            <w:tcW w:w="2126" w:type="dxa"/>
            <w:tcBorders>
              <w:top w:val="single" w:sz="8" w:space="0" w:color="7F7F7F"/>
              <w:left w:val="nil"/>
              <w:bottom w:val="single" w:sz="8" w:space="0" w:color="7F7F7F"/>
              <w:right w:val="single" w:sz="8" w:space="0" w:color="7F7F7F"/>
            </w:tcBorders>
            <w:shd w:val="clear" w:color="auto" w:fill="C4BC96" w:themeFill="background2" w:themeFillShade="BF"/>
            <w:vAlign w:val="center"/>
            <w:hideMark/>
          </w:tcPr>
          <w:p w:rsidR="003C66D5" w:rsidRPr="00BB4C59" w:rsidRDefault="003C66D5" w:rsidP="003300CE">
            <w:pPr>
              <w:pStyle w:val="Tableheading"/>
              <w:rPr>
                <w:rFonts w:cs="Arial"/>
                <w:bCs/>
                <w:color w:val="000000"/>
                <w:szCs w:val="15"/>
                <w:lang w:eastAsia="en-NZ"/>
              </w:rPr>
            </w:pPr>
            <w:r w:rsidRPr="00BB4C59">
              <w:rPr>
                <w:rFonts w:cs="Arial"/>
                <w:bCs/>
                <w:color w:val="000000"/>
                <w:szCs w:val="15"/>
                <w:lang w:eastAsia="en-NZ"/>
              </w:rPr>
              <w:t>Tax year</w:t>
            </w:r>
          </w:p>
        </w:tc>
      </w:tr>
      <w:tr w:rsidR="003C66D5" w:rsidRPr="00BB4C59" w:rsidTr="003300CE">
        <w:trPr>
          <w:trHeight w:val="300"/>
        </w:trPr>
        <w:tc>
          <w:tcPr>
            <w:tcW w:w="760" w:type="dxa"/>
            <w:tcBorders>
              <w:top w:val="nil"/>
              <w:left w:val="single" w:sz="8" w:space="0" w:color="7F7F7F"/>
              <w:bottom w:val="nil"/>
              <w:right w:val="single" w:sz="8" w:space="0" w:color="7F7F7F"/>
            </w:tcBorders>
            <w:shd w:val="clear" w:color="auto" w:fill="auto"/>
            <w:vAlign w:val="center"/>
            <w:hideMark/>
          </w:tcPr>
          <w:p w:rsidR="003C66D5" w:rsidRPr="00BB4C59" w:rsidRDefault="003C66D5" w:rsidP="003300CE">
            <w:pPr>
              <w:pStyle w:val="Tabletext"/>
              <w:jc w:val="both"/>
              <w:rPr>
                <w:rFonts w:cs="Arial"/>
                <w:lang w:eastAsia="en-NZ"/>
              </w:rPr>
            </w:pPr>
            <w:r w:rsidRPr="00BB4C59">
              <w:rPr>
                <w:rFonts w:cs="Arial"/>
                <w:lang w:eastAsia="en-NZ"/>
              </w:rPr>
              <w:t>09</w:t>
            </w:r>
            <w:r>
              <w:rPr>
                <w:rFonts w:cs="Arial"/>
                <w:lang w:eastAsia="en-NZ"/>
              </w:rPr>
              <w:t>/10</w:t>
            </w:r>
          </w:p>
        </w:tc>
        <w:tc>
          <w:tcPr>
            <w:tcW w:w="1668" w:type="dxa"/>
            <w:tcBorders>
              <w:top w:val="nil"/>
              <w:left w:val="nil"/>
              <w:bottom w:val="nil"/>
              <w:right w:val="single" w:sz="8" w:space="0" w:color="7F7F7F"/>
            </w:tcBorders>
            <w:shd w:val="clear" w:color="auto" w:fill="auto"/>
            <w:vAlign w:val="center"/>
            <w:hideMark/>
          </w:tcPr>
          <w:p w:rsidR="003C66D5" w:rsidRPr="00BB4C59" w:rsidRDefault="003C66D5" w:rsidP="003300CE">
            <w:pPr>
              <w:pStyle w:val="Tabletext"/>
              <w:jc w:val="center"/>
              <w:rPr>
                <w:rFonts w:cs="Arial"/>
                <w:lang w:eastAsia="en-NZ"/>
              </w:rPr>
            </w:pPr>
            <w:r w:rsidRPr="00BB4C59">
              <w:rPr>
                <w:rFonts w:cs="Arial"/>
                <w:lang w:eastAsia="en-NZ"/>
              </w:rPr>
              <w:t>1</w:t>
            </w:r>
          </w:p>
        </w:tc>
        <w:tc>
          <w:tcPr>
            <w:tcW w:w="1984" w:type="dxa"/>
            <w:tcBorders>
              <w:top w:val="nil"/>
              <w:left w:val="nil"/>
              <w:bottom w:val="nil"/>
              <w:right w:val="single" w:sz="8" w:space="0" w:color="7F7F7F"/>
            </w:tcBorders>
            <w:shd w:val="clear" w:color="auto" w:fill="auto"/>
            <w:vAlign w:val="center"/>
            <w:hideMark/>
          </w:tcPr>
          <w:p w:rsidR="003C66D5" w:rsidRPr="00BB4C59" w:rsidRDefault="003C66D5" w:rsidP="003300CE">
            <w:pPr>
              <w:pStyle w:val="Tabletext"/>
              <w:jc w:val="center"/>
              <w:rPr>
                <w:rFonts w:cs="Arial"/>
                <w:lang w:eastAsia="en-NZ"/>
              </w:rPr>
            </w:pPr>
            <w:r w:rsidRPr="00BB4C59">
              <w:rPr>
                <w:rFonts w:cs="Arial"/>
                <w:lang w:eastAsia="en-NZ"/>
              </w:rPr>
              <w:t>20</w:t>
            </w:r>
            <w:r>
              <w:rPr>
                <w:rFonts w:cs="Arial"/>
                <w:lang w:eastAsia="en-NZ"/>
              </w:rPr>
              <w:t>10</w:t>
            </w:r>
            <w:r w:rsidRPr="00BB4C59">
              <w:rPr>
                <w:rFonts w:cs="Arial"/>
                <w:lang w:eastAsia="en-NZ"/>
              </w:rPr>
              <w:t>/201</w:t>
            </w:r>
            <w:r>
              <w:rPr>
                <w:rFonts w:cs="Arial"/>
                <w:lang w:eastAsia="en-NZ"/>
              </w:rPr>
              <w:t>1</w:t>
            </w:r>
          </w:p>
        </w:tc>
        <w:tc>
          <w:tcPr>
            <w:tcW w:w="2126" w:type="dxa"/>
            <w:tcBorders>
              <w:top w:val="nil"/>
              <w:left w:val="nil"/>
              <w:bottom w:val="nil"/>
              <w:right w:val="single" w:sz="8" w:space="0" w:color="7F7F7F"/>
            </w:tcBorders>
            <w:shd w:val="clear" w:color="auto" w:fill="auto"/>
            <w:vAlign w:val="center"/>
            <w:hideMark/>
          </w:tcPr>
          <w:p w:rsidR="003C66D5" w:rsidRPr="00BB4C59" w:rsidRDefault="003C66D5" w:rsidP="003300CE">
            <w:pPr>
              <w:pStyle w:val="Tabletext"/>
              <w:jc w:val="center"/>
              <w:rPr>
                <w:rFonts w:cs="Arial"/>
                <w:lang w:eastAsia="en-NZ"/>
              </w:rPr>
            </w:pPr>
            <w:r w:rsidRPr="00BB4C59">
              <w:rPr>
                <w:rFonts w:cs="Arial"/>
                <w:lang w:eastAsia="en-NZ"/>
              </w:rPr>
              <w:t>201</w:t>
            </w:r>
            <w:r>
              <w:rPr>
                <w:rFonts w:cs="Arial"/>
                <w:lang w:eastAsia="en-NZ"/>
              </w:rPr>
              <w:t>1</w:t>
            </w:r>
            <w:r w:rsidRPr="00BB4C59">
              <w:rPr>
                <w:rFonts w:cs="Arial"/>
                <w:lang w:eastAsia="en-NZ"/>
              </w:rPr>
              <w:t>/201</w:t>
            </w:r>
            <w:r>
              <w:rPr>
                <w:rFonts w:cs="Arial"/>
                <w:lang w:eastAsia="en-NZ"/>
              </w:rPr>
              <w:t>2</w:t>
            </w:r>
          </w:p>
        </w:tc>
      </w:tr>
      <w:tr w:rsidR="003C66D5" w:rsidRPr="00BB4C59" w:rsidTr="003300CE">
        <w:trPr>
          <w:trHeight w:val="300"/>
        </w:trPr>
        <w:tc>
          <w:tcPr>
            <w:tcW w:w="760" w:type="dxa"/>
            <w:tcBorders>
              <w:top w:val="nil"/>
              <w:left w:val="single" w:sz="8" w:space="0" w:color="7F7F7F"/>
              <w:bottom w:val="nil"/>
              <w:right w:val="single" w:sz="8" w:space="0" w:color="7F7F7F"/>
            </w:tcBorders>
            <w:shd w:val="clear" w:color="auto" w:fill="C4BC96" w:themeFill="background2" w:themeFillShade="BF"/>
            <w:vAlign w:val="center"/>
            <w:hideMark/>
          </w:tcPr>
          <w:p w:rsidR="003C66D5" w:rsidRPr="00BB4C59" w:rsidRDefault="003C66D5" w:rsidP="003300CE">
            <w:pPr>
              <w:pStyle w:val="Tabletext"/>
              <w:jc w:val="both"/>
              <w:rPr>
                <w:rFonts w:cs="Arial"/>
                <w:lang w:eastAsia="en-NZ"/>
              </w:rPr>
            </w:pPr>
            <w:r w:rsidRPr="00BB4C59">
              <w:rPr>
                <w:rFonts w:cs="Arial"/>
                <w:lang w:eastAsia="en-NZ"/>
              </w:rPr>
              <w:t>08</w:t>
            </w:r>
            <w:r>
              <w:rPr>
                <w:rFonts w:cs="Arial"/>
                <w:lang w:eastAsia="en-NZ"/>
              </w:rPr>
              <w:t>/09</w:t>
            </w:r>
          </w:p>
        </w:tc>
        <w:tc>
          <w:tcPr>
            <w:tcW w:w="1668" w:type="dxa"/>
            <w:tcBorders>
              <w:top w:val="nil"/>
              <w:left w:val="nil"/>
              <w:bottom w:val="nil"/>
              <w:right w:val="single" w:sz="8" w:space="0" w:color="7F7F7F"/>
            </w:tcBorders>
            <w:shd w:val="clear" w:color="auto" w:fill="C4BC96" w:themeFill="background2" w:themeFillShade="BF"/>
            <w:vAlign w:val="center"/>
            <w:hideMark/>
          </w:tcPr>
          <w:p w:rsidR="003C66D5" w:rsidRPr="00BB4C59" w:rsidRDefault="003C66D5" w:rsidP="003300CE">
            <w:pPr>
              <w:pStyle w:val="Tabletext"/>
              <w:jc w:val="center"/>
              <w:rPr>
                <w:rFonts w:cs="Arial"/>
                <w:lang w:eastAsia="en-NZ"/>
              </w:rPr>
            </w:pPr>
            <w:r w:rsidRPr="00BB4C59">
              <w:rPr>
                <w:rFonts w:cs="Arial"/>
                <w:lang w:eastAsia="en-NZ"/>
              </w:rPr>
              <w:t>2</w:t>
            </w:r>
          </w:p>
        </w:tc>
        <w:tc>
          <w:tcPr>
            <w:tcW w:w="1984" w:type="dxa"/>
            <w:tcBorders>
              <w:top w:val="nil"/>
              <w:left w:val="nil"/>
              <w:bottom w:val="nil"/>
              <w:right w:val="single" w:sz="8" w:space="0" w:color="7F7F7F"/>
            </w:tcBorders>
            <w:shd w:val="clear" w:color="auto" w:fill="C4BC96" w:themeFill="background2" w:themeFillShade="BF"/>
            <w:vAlign w:val="center"/>
            <w:hideMark/>
          </w:tcPr>
          <w:p w:rsidR="003C66D5" w:rsidRPr="00BB4C59" w:rsidRDefault="003C66D5" w:rsidP="003300CE">
            <w:pPr>
              <w:pStyle w:val="Tabletext"/>
              <w:jc w:val="center"/>
              <w:rPr>
                <w:rFonts w:cs="Arial"/>
                <w:lang w:eastAsia="en-NZ"/>
              </w:rPr>
            </w:pPr>
            <w:r w:rsidRPr="00BB4C59">
              <w:rPr>
                <w:rFonts w:cs="Arial"/>
                <w:lang w:eastAsia="en-NZ"/>
              </w:rPr>
              <w:t>20</w:t>
            </w:r>
            <w:r>
              <w:rPr>
                <w:rFonts w:cs="Arial"/>
                <w:lang w:eastAsia="en-NZ"/>
              </w:rPr>
              <w:t>10</w:t>
            </w:r>
            <w:r w:rsidRPr="00BB4C59">
              <w:rPr>
                <w:rFonts w:cs="Arial"/>
                <w:lang w:eastAsia="en-NZ"/>
              </w:rPr>
              <w:t>/201</w:t>
            </w:r>
            <w:r>
              <w:rPr>
                <w:rFonts w:cs="Arial"/>
                <w:lang w:eastAsia="en-NZ"/>
              </w:rPr>
              <w:t>1</w:t>
            </w:r>
          </w:p>
        </w:tc>
        <w:tc>
          <w:tcPr>
            <w:tcW w:w="2126" w:type="dxa"/>
            <w:tcBorders>
              <w:top w:val="nil"/>
              <w:left w:val="nil"/>
              <w:bottom w:val="nil"/>
              <w:right w:val="single" w:sz="8" w:space="0" w:color="7F7F7F"/>
            </w:tcBorders>
            <w:shd w:val="clear" w:color="auto" w:fill="C4BC96" w:themeFill="background2" w:themeFillShade="BF"/>
            <w:vAlign w:val="center"/>
            <w:hideMark/>
          </w:tcPr>
          <w:p w:rsidR="003C66D5" w:rsidRPr="00BB4C59" w:rsidRDefault="003C66D5" w:rsidP="003300CE">
            <w:pPr>
              <w:pStyle w:val="Tabletext"/>
              <w:jc w:val="center"/>
              <w:rPr>
                <w:rFonts w:cs="Arial"/>
                <w:lang w:eastAsia="en-NZ"/>
              </w:rPr>
            </w:pPr>
            <w:r w:rsidRPr="00BB4C59">
              <w:rPr>
                <w:rFonts w:cs="Arial"/>
                <w:lang w:eastAsia="en-NZ"/>
              </w:rPr>
              <w:t>201</w:t>
            </w:r>
            <w:r>
              <w:rPr>
                <w:rFonts w:cs="Arial"/>
                <w:lang w:eastAsia="en-NZ"/>
              </w:rPr>
              <w:t>1</w:t>
            </w:r>
            <w:r w:rsidRPr="00BB4C59">
              <w:rPr>
                <w:rFonts w:cs="Arial"/>
                <w:lang w:eastAsia="en-NZ"/>
              </w:rPr>
              <w:t>/201</w:t>
            </w:r>
            <w:r>
              <w:rPr>
                <w:rFonts w:cs="Arial"/>
                <w:lang w:eastAsia="en-NZ"/>
              </w:rPr>
              <w:t>2</w:t>
            </w:r>
          </w:p>
        </w:tc>
      </w:tr>
      <w:tr w:rsidR="003C66D5" w:rsidRPr="00BB4C59" w:rsidTr="003300CE">
        <w:trPr>
          <w:trHeight w:val="315"/>
        </w:trPr>
        <w:tc>
          <w:tcPr>
            <w:tcW w:w="760" w:type="dxa"/>
            <w:tcBorders>
              <w:top w:val="nil"/>
              <w:left w:val="single" w:sz="8" w:space="0" w:color="7F7F7F"/>
              <w:bottom w:val="nil"/>
              <w:right w:val="single" w:sz="8" w:space="0" w:color="7F7F7F"/>
            </w:tcBorders>
            <w:shd w:val="clear" w:color="auto" w:fill="auto"/>
            <w:vAlign w:val="center"/>
            <w:hideMark/>
          </w:tcPr>
          <w:p w:rsidR="003C66D5" w:rsidRPr="00BB4C59" w:rsidRDefault="003C66D5" w:rsidP="003300CE">
            <w:pPr>
              <w:pStyle w:val="Tabletext"/>
              <w:jc w:val="both"/>
              <w:rPr>
                <w:rFonts w:cs="Arial"/>
                <w:lang w:eastAsia="en-NZ"/>
              </w:rPr>
            </w:pPr>
            <w:r w:rsidRPr="00BB4C59">
              <w:rPr>
                <w:rFonts w:cs="Arial"/>
                <w:lang w:eastAsia="en-NZ"/>
              </w:rPr>
              <w:t>07</w:t>
            </w:r>
            <w:r>
              <w:rPr>
                <w:rFonts w:cs="Arial"/>
                <w:lang w:eastAsia="en-NZ"/>
              </w:rPr>
              <w:t>/08</w:t>
            </w:r>
          </w:p>
        </w:tc>
        <w:tc>
          <w:tcPr>
            <w:tcW w:w="1668" w:type="dxa"/>
            <w:tcBorders>
              <w:top w:val="nil"/>
              <w:left w:val="nil"/>
              <w:bottom w:val="nil"/>
              <w:right w:val="single" w:sz="8" w:space="0" w:color="7F7F7F"/>
            </w:tcBorders>
            <w:shd w:val="clear" w:color="auto" w:fill="auto"/>
            <w:vAlign w:val="center"/>
            <w:hideMark/>
          </w:tcPr>
          <w:p w:rsidR="003C66D5" w:rsidRPr="00BB4C59" w:rsidRDefault="003C66D5" w:rsidP="003300CE">
            <w:pPr>
              <w:pStyle w:val="Tabletext"/>
              <w:jc w:val="center"/>
              <w:rPr>
                <w:rFonts w:cs="Arial"/>
                <w:lang w:eastAsia="en-NZ"/>
              </w:rPr>
            </w:pPr>
            <w:r w:rsidRPr="00BB4C59">
              <w:rPr>
                <w:rFonts w:cs="Arial"/>
                <w:lang w:eastAsia="en-NZ"/>
              </w:rPr>
              <w:t>3</w:t>
            </w:r>
          </w:p>
        </w:tc>
        <w:tc>
          <w:tcPr>
            <w:tcW w:w="1984" w:type="dxa"/>
            <w:tcBorders>
              <w:top w:val="nil"/>
              <w:left w:val="nil"/>
              <w:bottom w:val="nil"/>
              <w:right w:val="single" w:sz="8" w:space="0" w:color="7F7F7F"/>
            </w:tcBorders>
            <w:shd w:val="clear" w:color="auto" w:fill="auto"/>
            <w:vAlign w:val="center"/>
            <w:hideMark/>
          </w:tcPr>
          <w:p w:rsidR="003C66D5" w:rsidRPr="00BB4C59" w:rsidRDefault="003C66D5" w:rsidP="003300CE">
            <w:pPr>
              <w:pStyle w:val="Tabletext"/>
              <w:jc w:val="center"/>
              <w:rPr>
                <w:rFonts w:cs="Arial"/>
                <w:lang w:eastAsia="en-NZ"/>
              </w:rPr>
            </w:pPr>
            <w:r w:rsidRPr="00BB4C59">
              <w:rPr>
                <w:rFonts w:cs="Arial"/>
                <w:lang w:eastAsia="en-NZ"/>
              </w:rPr>
              <w:t>20</w:t>
            </w:r>
            <w:r>
              <w:rPr>
                <w:rFonts w:cs="Arial"/>
                <w:lang w:eastAsia="en-NZ"/>
              </w:rPr>
              <w:t>10</w:t>
            </w:r>
            <w:r w:rsidRPr="00BB4C59">
              <w:rPr>
                <w:rFonts w:cs="Arial"/>
                <w:lang w:eastAsia="en-NZ"/>
              </w:rPr>
              <w:t>/201</w:t>
            </w:r>
            <w:r>
              <w:rPr>
                <w:rFonts w:cs="Arial"/>
                <w:lang w:eastAsia="en-NZ"/>
              </w:rPr>
              <w:t>1</w:t>
            </w:r>
          </w:p>
        </w:tc>
        <w:tc>
          <w:tcPr>
            <w:tcW w:w="2126" w:type="dxa"/>
            <w:tcBorders>
              <w:top w:val="nil"/>
              <w:left w:val="nil"/>
              <w:bottom w:val="nil"/>
              <w:right w:val="single" w:sz="8" w:space="0" w:color="7F7F7F"/>
            </w:tcBorders>
            <w:shd w:val="clear" w:color="auto" w:fill="auto"/>
            <w:vAlign w:val="center"/>
            <w:hideMark/>
          </w:tcPr>
          <w:p w:rsidR="003C66D5" w:rsidRPr="00BB4C59" w:rsidRDefault="003C66D5" w:rsidP="003300CE">
            <w:pPr>
              <w:pStyle w:val="Tabletext"/>
              <w:jc w:val="center"/>
              <w:rPr>
                <w:rFonts w:cs="Arial"/>
                <w:lang w:eastAsia="en-NZ"/>
              </w:rPr>
            </w:pPr>
            <w:r w:rsidRPr="00BB4C59">
              <w:rPr>
                <w:rFonts w:cs="Arial"/>
                <w:lang w:eastAsia="en-NZ"/>
              </w:rPr>
              <w:t>201</w:t>
            </w:r>
            <w:r>
              <w:rPr>
                <w:rFonts w:cs="Arial"/>
                <w:lang w:eastAsia="en-NZ"/>
              </w:rPr>
              <w:t>1</w:t>
            </w:r>
            <w:r w:rsidRPr="00BB4C59">
              <w:rPr>
                <w:rFonts w:cs="Arial"/>
                <w:lang w:eastAsia="en-NZ"/>
              </w:rPr>
              <w:t>/201</w:t>
            </w:r>
            <w:r>
              <w:rPr>
                <w:rFonts w:cs="Arial"/>
                <w:lang w:eastAsia="en-NZ"/>
              </w:rPr>
              <w:t>2</w:t>
            </w:r>
          </w:p>
        </w:tc>
      </w:tr>
      <w:tr w:rsidR="003C66D5" w:rsidRPr="00BB4C59" w:rsidTr="003300CE">
        <w:trPr>
          <w:trHeight w:val="315"/>
        </w:trPr>
        <w:tc>
          <w:tcPr>
            <w:tcW w:w="760" w:type="dxa"/>
            <w:tcBorders>
              <w:top w:val="nil"/>
              <w:left w:val="single" w:sz="8" w:space="0" w:color="7F7F7F"/>
              <w:bottom w:val="nil"/>
              <w:right w:val="single" w:sz="8" w:space="0" w:color="7F7F7F"/>
            </w:tcBorders>
            <w:shd w:val="clear" w:color="auto" w:fill="C4BC96" w:themeFill="background2" w:themeFillShade="BF"/>
            <w:vAlign w:val="center"/>
            <w:hideMark/>
          </w:tcPr>
          <w:p w:rsidR="003C66D5" w:rsidRPr="00BB4C59" w:rsidRDefault="003C66D5" w:rsidP="003300CE">
            <w:pPr>
              <w:pStyle w:val="Tabletext"/>
              <w:jc w:val="both"/>
              <w:rPr>
                <w:rFonts w:cs="Arial"/>
                <w:lang w:eastAsia="en-NZ"/>
              </w:rPr>
            </w:pPr>
            <w:r w:rsidRPr="00BB4C59">
              <w:rPr>
                <w:rFonts w:cs="Arial"/>
                <w:lang w:eastAsia="en-NZ"/>
              </w:rPr>
              <w:t>06</w:t>
            </w:r>
            <w:r>
              <w:rPr>
                <w:rFonts w:cs="Arial"/>
                <w:lang w:eastAsia="en-NZ"/>
              </w:rPr>
              <w:t>/07</w:t>
            </w:r>
          </w:p>
        </w:tc>
        <w:tc>
          <w:tcPr>
            <w:tcW w:w="1668" w:type="dxa"/>
            <w:tcBorders>
              <w:top w:val="nil"/>
              <w:left w:val="nil"/>
              <w:bottom w:val="nil"/>
              <w:right w:val="single" w:sz="8" w:space="0" w:color="7F7F7F"/>
            </w:tcBorders>
            <w:shd w:val="clear" w:color="auto" w:fill="C4BC96" w:themeFill="background2" w:themeFillShade="BF"/>
            <w:vAlign w:val="center"/>
            <w:hideMark/>
          </w:tcPr>
          <w:p w:rsidR="003C66D5" w:rsidRPr="00BB4C59" w:rsidRDefault="003C66D5" w:rsidP="003300CE">
            <w:pPr>
              <w:pStyle w:val="Tabletext"/>
              <w:jc w:val="center"/>
              <w:rPr>
                <w:rFonts w:cs="Arial"/>
                <w:lang w:eastAsia="en-NZ"/>
              </w:rPr>
            </w:pPr>
            <w:r w:rsidRPr="00BB4C59">
              <w:rPr>
                <w:rFonts w:cs="Arial"/>
                <w:lang w:eastAsia="en-NZ"/>
              </w:rPr>
              <w:t>4</w:t>
            </w:r>
          </w:p>
        </w:tc>
        <w:tc>
          <w:tcPr>
            <w:tcW w:w="1984" w:type="dxa"/>
            <w:tcBorders>
              <w:top w:val="nil"/>
              <w:left w:val="nil"/>
              <w:bottom w:val="nil"/>
              <w:right w:val="single" w:sz="8" w:space="0" w:color="7F7F7F"/>
            </w:tcBorders>
            <w:shd w:val="clear" w:color="auto" w:fill="C4BC96" w:themeFill="background2" w:themeFillShade="BF"/>
            <w:vAlign w:val="center"/>
            <w:hideMark/>
          </w:tcPr>
          <w:p w:rsidR="003C66D5" w:rsidRPr="00BB4C59" w:rsidRDefault="003C66D5" w:rsidP="003300CE">
            <w:pPr>
              <w:pStyle w:val="Tabletext"/>
              <w:jc w:val="center"/>
              <w:rPr>
                <w:rFonts w:cs="Arial"/>
                <w:lang w:eastAsia="en-NZ"/>
              </w:rPr>
            </w:pPr>
            <w:r w:rsidRPr="00BB4C59">
              <w:rPr>
                <w:rFonts w:cs="Arial"/>
                <w:lang w:eastAsia="en-NZ"/>
              </w:rPr>
              <w:t>20</w:t>
            </w:r>
            <w:r>
              <w:rPr>
                <w:rFonts w:cs="Arial"/>
                <w:lang w:eastAsia="en-NZ"/>
              </w:rPr>
              <w:t>10</w:t>
            </w:r>
            <w:r w:rsidRPr="00BB4C59">
              <w:rPr>
                <w:rFonts w:cs="Arial"/>
                <w:lang w:eastAsia="en-NZ"/>
              </w:rPr>
              <w:t>/201</w:t>
            </w:r>
            <w:r>
              <w:rPr>
                <w:rFonts w:cs="Arial"/>
                <w:lang w:eastAsia="en-NZ"/>
              </w:rPr>
              <w:t>1</w:t>
            </w:r>
          </w:p>
        </w:tc>
        <w:tc>
          <w:tcPr>
            <w:tcW w:w="2126" w:type="dxa"/>
            <w:tcBorders>
              <w:top w:val="nil"/>
              <w:left w:val="nil"/>
              <w:bottom w:val="nil"/>
              <w:right w:val="single" w:sz="8" w:space="0" w:color="7F7F7F"/>
            </w:tcBorders>
            <w:shd w:val="clear" w:color="auto" w:fill="C4BC96" w:themeFill="background2" w:themeFillShade="BF"/>
            <w:vAlign w:val="center"/>
            <w:hideMark/>
          </w:tcPr>
          <w:p w:rsidR="003C66D5" w:rsidRPr="00BB4C59" w:rsidRDefault="003C66D5" w:rsidP="003300CE">
            <w:pPr>
              <w:pStyle w:val="Tabletext"/>
              <w:jc w:val="center"/>
              <w:rPr>
                <w:rFonts w:cs="Arial"/>
                <w:lang w:eastAsia="en-NZ"/>
              </w:rPr>
            </w:pPr>
            <w:r w:rsidRPr="00BB4C59">
              <w:rPr>
                <w:rFonts w:cs="Arial"/>
                <w:lang w:eastAsia="en-NZ"/>
              </w:rPr>
              <w:t>201</w:t>
            </w:r>
            <w:r>
              <w:rPr>
                <w:rFonts w:cs="Arial"/>
                <w:lang w:eastAsia="en-NZ"/>
              </w:rPr>
              <w:t>1</w:t>
            </w:r>
            <w:r w:rsidRPr="00BB4C59">
              <w:rPr>
                <w:rFonts w:cs="Arial"/>
                <w:lang w:eastAsia="en-NZ"/>
              </w:rPr>
              <w:t>/201</w:t>
            </w:r>
            <w:r>
              <w:rPr>
                <w:rFonts w:cs="Arial"/>
                <w:lang w:eastAsia="en-NZ"/>
              </w:rPr>
              <w:t>2</w:t>
            </w:r>
          </w:p>
        </w:tc>
      </w:tr>
      <w:tr w:rsidR="003C66D5" w:rsidRPr="00BB4C59" w:rsidTr="003300CE">
        <w:trPr>
          <w:trHeight w:val="315"/>
        </w:trPr>
        <w:tc>
          <w:tcPr>
            <w:tcW w:w="760" w:type="dxa"/>
            <w:tcBorders>
              <w:top w:val="nil"/>
              <w:left w:val="single" w:sz="8" w:space="0" w:color="7F7F7F"/>
              <w:right w:val="single" w:sz="8" w:space="0" w:color="7F7F7F"/>
            </w:tcBorders>
            <w:shd w:val="clear" w:color="auto" w:fill="auto"/>
            <w:vAlign w:val="center"/>
            <w:hideMark/>
          </w:tcPr>
          <w:p w:rsidR="003C66D5" w:rsidRPr="00BB4C59" w:rsidRDefault="003C66D5" w:rsidP="003300CE">
            <w:pPr>
              <w:pStyle w:val="Tabletext"/>
              <w:jc w:val="both"/>
              <w:rPr>
                <w:rFonts w:cs="Arial"/>
                <w:lang w:eastAsia="en-NZ"/>
              </w:rPr>
            </w:pPr>
            <w:r w:rsidRPr="00BB4C59">
              <w:rPr>
                <w:rFonts w:cs="Arial"/>
                <w:lang w:eastAsia="en-NZ"/>
              </w:rPr>
              <w:t>05</w:t>
            </w:r>
            <w:r>
              <w:rPr>
                <w:rFonts w:cs="Arial"/>
                <w:lang w:eastAsia="en-NZ"/>
              </w:rPr>
              <w:t>/06</w:t>
            </w:r>
          </w:p>
        </w:tc>
        <w:tc>
          <w:tcPr>
            <w:tcW w:w="1668" w:type="dxa"/>
            <w:tcBorders>
              <w:top w:val="nil"/>
              <w:left w:val="nil"/>
              <w:right w:val="single" w:sz="8" w:space="0" w:color="7F7F7F"/>
            </w:tcBorders>
            <w:shd w:val="clear" w:color="auto" w:fill="auto"/>
            <w:vAlign w:val="center"/>
            <w:hideMark/>
          </w:tcPr>
          <w:p w:rsidR="003C66D5" w:rsidRPr="00BB4C59" w:rsidRDefault="003C66D5" w:rsidP="003300CE">
            <w:pPr>
              <w:pStyle w:val="Tabletext"/>
              <w:jc w:val="center"/>
              <w:rPr>
                <w:rFonts w:cs="Arial"/>
                <w:lang w:eastAsia="en-NZ"/>
              </w:rPr>
            </w:pPr>
            <w:r w:rsidRPr="00BB4C59">
              <w:rPr>
                <w:rFonts w:cs="Arial"/>
                <w:lang w:eastAsia="en-NZ"/>
              </w:rPr>
              <w:t>5</w:t>
            </w:r>
          </w:p>
        </w:tc>
        <w:tc>
          <w:tcPr>
            <w:tcW w:w="1984" w:type="dxa"/>
            <w:tcBorders>
              <w:top w:val="nil"/>
              <w:left w:val="nil"/>
              <w:right w:val="single" w:sz="8" w:space="0" w:color="7F7F7F"/>
            </w:tcBorders>
            <w:shd w:val="clear" w:color="auto" w:fill="auto"/>
            <w:vAlign w:val="center"/>
            <w:hideMark/>
          </w:tcPr>
          <w:p w:rsidR="003C66D5" w:rsidRPr="00BB4C59" w:rsidRDefault="003C66D5" w:rsidP="003300CE">
            <w:pPr>
              <w:pStyle w:val="Tabletext"/>
              <w:jc w:val="center"/>
              <w:rPr>
                <w:rFonts w:cs="Arial"/>
                <w:lang w:eastAsia="en-NZ"/>
              </w:rPr>
            </w:pPr>
            <w:r w:rsidRPr="00BB4C59">
              <w:rPr>
                <w:rFonts w:cs="Arial"/>
                <w:lang w:eastAsia="en-NZ"/>
              </w:rPr>
              <w:t>20</w:t>
            </w:r>
            <w:r>
              <w:rPr>
                <w:rFonts w:cs="Arial"/>
                <w:lang w:eastAsia="en-NZ"/>
              </w:rPr>
              <w:t>10</w:t>
            </w:r>
            <w:r w:rsidRPr="00BB4C59">
              <w:rPr>
                <w:rFonts w:cs="Arial"/>
                <w:lang w:eastAsia="en-NZ"/>
              </w:rPr>
              <w:t>/201</w:t>
            </w:r>
            <w:r>
              <w:rPr>
                <w:rFonts w:cs="Arial"/>
                <w:lang w:eastAsia="en-NZ"/>
              </w:rPr>
              <w:t>1</w:t>
            </w:r>
          </w:p>
        </w:tc>
        <w:tc>
          <w:tcPr>
            <w:tcW w:w="2126" w:type="dxa"/>
            <w:tcBorders>
              <w:top w:val="nil"/>
              <w:left w:val="nil"/>
              <w:right w:val="single" w:sz="8" w:space="0" w:color="7F7F7F"/>
            </w:tcBorders>
            <w:shd w:val="clear" w:color="auto" w:fill="auto"/>
            <w:vAlign w:val="center"/>
            <w:hideMark/>
          </w:tcPr>
          <w:p w:rsidR="003C66D5" w:rsidRPr="00BB4C59" w:rsidRDefault="003C66D5" w:rsidP="003300CE">
            <w:pPr>
              <w:pStyle w:val="Tabletext"/>
              <w:jc w:val="center"/>
              <w:rPr>
                <w:rFonts w:cs="Arial"/>
                <w:lang w:eastAsia="en-NZ"/>
              </w:rPr>
            </w:pPr>
            <w:r w:rsidRPr="00BB4C59">
              <w:rPr>
                <w:rFonts w:cs="Arial"/>
                <w:lang w:eastAsia="en-NZ"/>
              </w:rPr>
              <w:t>201</w:t>
            </w:r>
            <w:r>
              <w:rPr>
                <w:rFonts w:cs="Arial"/>
                <w:lang w:eastAsia="en-NZ"/>
              </w:rPr>
              <w:t>1</w:t>
            </w:r>
            <w:r w:rsidRPr="00BB4C59">
              <w:rPr>
                <w:rFonts w:cs="Arial"/>
                <w:lang w:eastAsia="en-NZ"/>
              </w:rPr>
              <w:t>/201</w:t>
            </w:r>
            <w:r>
              <w:rPr>
                <w:rFonts w:cs="Arial"/>
                <w:lang w:eastAsia="en-NZ"/>
              </w:rPr>
              <w:t>2</w:t>
            </w:r>
          </w:p>
        </w:tc>
      </w:tr>
      <w:tr w:rsidR="003C66D5" w:rsidRPr="00BB4C59" w:rsidTr="003300CE">
        <w:trPr>
          <w:trHeight w:val="315"/>
        </w:trPr>
        <w:tc>
          <w:tcPr>
            <w:tcW w:w="760" w:type="dxa"/>
            <w:tcBorders>
              <w:top w:val="nil"/>
              <w:left w:val="single" w:sz="8" w:space="0" w:color="7F7F7F"/>
              <w:right w:val="single" w:sz="8" w:space="0" w:color="7F7F7F"/>
            </w:tcBorders>
            <w:shd w:val="clear" w:color="auto" w:fill="C4BC96" w:themeFill="background2" w:themeFillShade="BF"/>
            <w:vAlign w:val="center"/>
            <w:hideMark/>
          </w:tcPr>
          <w:p w:rsidR="003C66D5" w:rsidRPr="00BB4C59" w:rsidRDefault="003C66D5" w:rsidP="003300CE">
            <w:pPr>
              <w:pStyle w:val="Tabletext"/>
              <w:jc w:val="both"/>
              <w:rPr>
                <w:rFonts w:cs="Arial"/>
                <w:lang w:eastAsia="en-NZ"/>
              </w:rPr>
            </w:pPr>
            <w:r>
              <w:rPr>
                <w:rFonts w:cs="Arial"/>
                <w:lang w:eastAsia="en-NZ"/>
              </w:rPr>
              <w:t>04/05</w:t>
            </w:r>
          </w:p>
        </w:tc>
        <w:tc>
          <w:tcPr>
            <w:tcW w:w="1668" w:type="dxa"/>
            <w:tcBorders>
              <w:top w:val="nil"/>
              <w:left w:val="nil"/>
              <w:right w:val="single" w:sz="8" w:space="0" w:color="7F7F7F"/>
            </w:tcBorders>
            <w:shd w:val="clear" w:color="auto" w:fill="C4BC96" w:themeFill="background2" w:themeFillShade="BF"/>
            <w:vAlign w:val="center"/>
            <w:hideMark/>
          </w:tcPr>
          <w:p w:rsidR="003C66D5" w:rsidRPr="00BB4C59" w:rsidRDefault="003C66D5" w:rsidP="003300CE">
            <w:pPr>
              <w:pStyle w:val="Tabletext"/>
              <w:jc w:val="center"/>
              <w:rPr>
                <w:rFonts w:cs="Arial"/>
                <w:lang w:eastAsia="en-NZ"/>
              </w:rPr>
            </w:pPr>
            <w:r w:rsidRPr="00BB4C59">
              <w:rPr>
                <w:rFonts w:cs="Arial"/>
                <w:lang w:eastAsia="en-NZ"/>
              </w:rPr>
              <w:t>6</w:t>
            </w:r>
          </w:p>
        </w:tc>
        <w:tc>
          <w:tcPr>
            <w:tcW w:w="1984" w:type="dxa"/>
            <w:tcBorders>
              <w:top w:val="nil"/>
              <w:left w:val="nil"/>
              <w:right w:val="single" w:sz="8" w:space="0" w:color="7F7F7F"/>
            </w:tcBorders>
            <w:shd w:val="clear" w:color="auto" w:fill="C4BC96" w:themeFill="background2" w:themeFillShade="BF"/>
            <w:vAlign w:val="center"/>
            <w:hideMark/>
          </w:tcPr>
          <w:p w:rsidR="003C66D5" w:rsidRPr="00BB4C59" w:rsidRDefault="003C66D5" w:rsidP="003300CE">
            <w:pPr>
              <w:pStyle w:val="Tabletext"/>
              <w:jc w:val="center"/>
              <w:rPr>
                <w:rFonts w:cs="Arial"/>
                <w:lang w:eastAsia="en-NZ"/>
              </w:rPr>
            </w:pPr>
            <w:r w:rsidRPr="00BB4C59">
              <w:rPr>
                <w:rFonts w:cs="Arial"/>
                <w:lang w:eastAsia="en-NZ"/>
              </w:rPr>
              <w:t>20</w:t>
            </w:r>
            <w:r>
              <w:rPr>
                <w:rFonts w:cs="Arial"/>
                <w:lang w:eastAsia="en-NZ"/>
              </w:rPr>
              <w:t>10</w:t>
            </w:r>
            <w:r w:rsidRPr="00BB4C59">
              <w:rPr>
                <w:rFonts w:cs="Arial"/>
                <w:lang w:eastAsia="en-NZ"/>
              </w:rPr>
              <w:t>/201</w:t>
            </w:r>
            <w:r>
              <w:rPr>
                <w:rFonts w:cs="Arial"/>
                <w:lang w:eastAsia="en-NZ"/>
              </w:rPr>
              <w:t>1</w:t>
            </w:r>
          </w:p>
        </w:tc>
        <w:tc>
          <w:tcPr>
            <w:tcW w:w="2126" w:type="dxa"/>
            <w:tcBorders>
              <w:top w:val="nil"/>
              <w:left w:val="nil"/>
              <w:right w:val="single" w:sz="8" w:space="0" w:color="7F7F7F"/>
            </w:tcBorders>
            <w:shd w:val="clear" w:color="auto" w:fill="C4BC96" w:themeFill="background2" w:themeFillShade="BF"/>
            <w:vAlign w:val="center"/>
            <w:hideMark/>
          </w:tcPr>
          <w:p w:rsidR="003C66D5" w:rsidRPr="00BB4C59" w:rsidRDefault="003C66D5" w:rsidP="003300CE">
            <w:pPr>
              <w:pStyle w:val="Tabletext"/>
              <w:jc w:val="center"/>
              <w:rPr>
                <w:rFonts w:cs="Arial"/>
                <w:lang w:eastAsia="en-NZ"/>
              </w:rPr>
            </w:pPr>
            <w:r w:rsidRPr="00BB4C59">
              <w:rPr>
                <w:rFonts w:cs="Arial"/>
                <w:lang w:eastAsia="en-NZ"/>
              </w:rPr>
              <w:t>201</w:t>
            </w:r>
            <w:r>
              <w:rPr>
                <w:rFonts w:cs="Arial"/>
                <w:lang w:eastAsia="en-NZ"/>
              </w:rPr>
              <w:t>1</w:t>
            </w:r>
            <w:r w:rsidRPr="00BB4C59">
              <w:rPr>
                <w:rFonts w:cs="Arial"/>
                <w:lang w:eastAsia="en-NZ"/>
              </w:rPr>
              <w:t>/201</w:t>
            </w:r>
            <w:r>
              <w:rPr>
                <w:rFonts w:cs="Arial"/>
                <w:lang w:eastAsia="en-NZ"/>
              </w:rPr>
              <w:t>2</w:t>
            </w:r>
          </w:p>
        </w:tc>
      </w:tr>
      <w:tr w:rsidR="003C66D5" w:rsidRPr="00BB4C59" w:rsidTr="003300CE">
        <w:trPr>
          <w:trHeight w:val="315"/>
        </w:trPr>
        <w:tc>
          <w:tcPr>
            <w:tcW w:w="760" w:type="dxa"/>
            <w:tcBorders>
              <w:top w:val="nil"/>
              <w:left w:val="single" w:sz="8" w:space="0" w:color="7F7F7F"/>
              <w:bottom w:val="single" w:sz="8" w:space="0" w:color="7F7F7F"/>
              <w:right w:val="single" w:sz="8" w:space="0" w:color="7F7F7F"/>
            </w:tcBorders>
            <w:shd w:val="clear" w:color="auto" w:fill="auto"/>
            <w:vAlign w:val="center"/>
            <w:hideMark/>
          </w:tcPr>
          <w:p w:rsidR="003C66D5" w:rsidRPr="00BB4C59" w:rsidRDefault="003C66D5" w:rsidP="003300CE">
            <w:pPr>
              <w:pStyle w:val="Tabletext"/>
              <w:jc w:val="both"/>
              <w:rPr>
                <w:rFonts w:cs="Arial"/>
                <w:lang w:eastAsia="en-NZ"/>
              </w:rPr>
            </w:pPr>
            <w:r>
              <w:rPr>
                <w:rFonts w:cs="Arial"/>
                <w:lang w:eastAsia="en-NZ"/>
              </w:rPr>
              <w:t>03/04</w:t>
            </w:r>
          </w:p>
        </w:tc>
        <w:tc>
          <w:tcPr>
            <w:tcW w:w="1668" w:type="dxa"/>
            <w:tcBorders>
              <w:top w:val="nil"/>
              <w:left w:val="nil"/>
              <w:bottom w:val="single" w:sz="8" w:space="0" w:color="7F7F7F"/>
              <w:right w:val="single" w:sz="8" w:space="0" w:color="7F7F7F"/>
            </w:tcBorders>
            <w:shd w:val="clear" w:color="auto" w:fill="auto"/>
            <w:vAlign w:val="center"/>
            <w:hideMark/>
          </w:tcPr>
          <w:p w:rsidR="003C66D5" w:rsidRPr="00BB4C59" w:rsidRDefault="003C66D5" w:rsidP="003300CE">
            <w:pPr>
              <w:pStyle w:val="Tabletext"/>
              <w:jc w:val="center"/>
              <w:rPr>
                <w:rFonts w:cs="Arial"/>
                <w:lang w:eastAsia="en-NZ"/>
              </w:rPr>
            </w:pPr>
            <w:r>
              <w:rPr>
                <w:rFonts w:cs="Arial"/>
                <w:lang w:eastAsia="en-NZ"/>
              </w:rPr>
              <w:t>7</w:t>
            </w:r>
          </w:p>
        </w:tc>
        <w:tc>
          <w:tcPr>
            <w:tcW w:w="1984" w:type="dxa"/>
            <w:tcBorders>
              <w:top w:val="nil"/>
              <w:left w:val="nil"/>
              <w:bottom w:val="single" w:sz="8" w:space="0" w:color="7F7F7F"/>
              <w:right w:val="single" w:sz="8" w:space="0" w:color="7F7F7F"/>
            </w:tcBorders>
            <w:shd w:val="clear" w:color="auto" w:fill="auto"/>
            <w:vAlign w:val="center"/>
            <w:hideMark/>
          </w:tcPr>
          <w:p w:rsidR="003C66D5" w:rsidRPr="00BB4C59" w:rsidRDefault="003C66D5" w:rsidP="003300CE">
            <w:pPr>
              <w:pStyle w:val="Tabletext"/>
              <w:jc w:val="center"/>
              <w:rPr>
                <w:rFonts w:cs="Arial"/>
                <w:lang w:eastAsia="en-NZ"/>
              </w:rPr>
            </w:pPr>
            <w:r w:rsidRPr="00BB4C59">
              <w:rPr>
                <w:rFonts w:cs="Arial"/>
                <w:lang w:eastAsia="en-NZ"/>
              </w:rPr>
              <w:t>20</w:t>
            </w:r>
            <w:r>
              <w:rPr>
                <w:rFonts w:cs="Arial"/>
                <w:lang w:eastAsia="en-NZ"/>
              </w:rPr>
              <w:t>10</w:t>
            </w:r>
            <w:r w:rsidRPr="00BB4C59">
              <w:rPr>
                <w:rFonts w:cs="Arial"/>
                <w:lang w:eastAsia="en-NZ"/>
              </w:rPr>
              <w:t>/201</w:t>
            </w:r>
            <w:r>
              <w:rPr>
                <w:rFonts w:cs="Arial"/>
                <w:lang w:eastAsia="en-NZ"/>
              </w:rPr>
              <w:t>1</w:t>
            </w:r>
          </w:p>
        </w:tc>
        <w:tc>
          <w:tcPr>
            <w:tcW w:w="2126" w:type="dxa"/>
            <w:tcBorders>
              <w:top w:val="nil"/>
              <w:left w:val="nil"/>
              <w:bottom w:val="single" w:sz="8" w:space="0" w:color="7F7F7F"/>
              <w:right w:val="single" w:sz="8" w:space="0" w:color="7F7F7F"/>
            </w:tcBorders>
            <w:shd w:val="clear" w:color="auto" w:fill="auto"/>
            <w:vAlign w:val="center"/>
            <w:hideMark/>
          </w:tcPr>
          <w:p w:rsidR="003C66D5" w:rsidRPr="00BB4C59" w:rsidRDefault="003C66D5" w:rsidP="003300CE">
            <w:pPr>
              <w:pStyle w:val="Tabletext"/>
              <w:jc w:val="center"/>
              <w:rPr>
                <w:rFonts w:cs="Arial"/>
                <w:lang w:eastAsia="en-NZ"/>
              </w:rPr>
            </w:pPr>
            <w:r w:rsidRPr="00BB4C59">
              <w:rPr>
                <w:rFonts w:cs="Arial"/>
                <w:lang w:eastAsia="en-NZ"/>
              </w:rPr>
              <w:t>201</w:t>
            </w:r>
            <w:r>
              <w:rPr>
                <w:rFonts w:cs="Arial"/>
                <w:lang w:eastAsia="en-NZ"/>
              </w:rPr>
              <w:t>1</w:t>
            </w:r>
            <w:r w:rsidRPr="00BB4C59">
              <w:rPr>
                <w:rFonts w:cs="Arial"/>
                <w:lang w:eastAsia="en-NZ"/>
              </w:rPr>
              <w:t>/201</w:t>
            </w:r>
            <w:r>
              <w:rPr>
                <w:rFonts w:cs="Arial"/>
                <w:lang w:eastAsia="en-NZ"/>
              </w:rPr>
              <w:t>2</w:t>
            </w:r>
          </w:p>
        </w:tc>
      </w:tr>
    </w:tbl>
    <w:p w:rsidR="003C66D5" w:rsidRDefault="003C66D5" w:rsidP="006255C2">
      <w:pPr>
        <w:jc w:val="both"/>
      </w:pPr>
    </w:p>
    <w:p w:rsidR="00031DC7" w:rsidRPr="00532087" w:rsidRDefault="00086B44" w:rsidP="00031DC7">
      <w:pPr>
        <w:pStyle w:val="BodyText"/>
      </w:pPr>
      <w:r>
        <w:t xml:space="preserve">Knowing what graduates do after they complete their studies is important as it lets us know </w:t>
      </w:r>
      <w:r w:rsidR="00532571">
        <w:t xml:space="preserve">what types of graduates </w:t>
      </w:r>
      <w:r>
        <w:t>go overseas and how long for</w:t>
      </w:r>
      <w:r w:rsidR="00532571">
        <w:t xml:space="preserve">, while also looking at who does further study, enters employment or </w:t>
      </w:r>
      <w:r w:rsidR="00D629E7">
        <w:t>receives</w:t>
      </w:r>
      <w:r w:rsidR="00532571">
        <w:t xml:space="preserve"> a benefit.  This sort of analysis is fundamental to an assessment of how the tertiary education system serves New Zealand. </w:t>
      </w:r>
      <w:r w:rsidR="00031DC7">
        <w:t>This is important as t</w:t>
      </w:r>
      <w:r w:rsidR="00031DC7" w:rsidRPr="00532087">
        <w:t xml:space="preserve">he Government makes a very large investment in tertiary education each year – funding tertiary education providers, providing subsidised student loans and granting student allowances.  One major purpose of the Government’s investment is to help </w:t>
      </w:r>
      <w:r w:rsidR="00031DC7">
        <w:t>raise</w:t>
      </w:r>
      <w:r w:rsidR="00031DC7" w:rsidRPr="00532087">
        <w:t xml:space="preserve"> the level of skill in the population – which helps make our society more productive, contributes to the creation of wealth and leads to better social outcomes. </w:t>
      </w:r>
    </w:p>
    <w:p w:rsidR="00086B44" w:rsidRDefault="00086B44" w:rsidP="00086B44">
      <w:pPr>
        <w:pStyle w:val="BodyText"/>
      </w:pPr>
      <w:r>
        <w:t xml:space="preserve">We also investigate whether trends in what graduates do after they complete their studies have changed in the last </w:t>
      </w:r>
      <w:r w:rsidR="006377F6">
        <w:t xml:space="preserve">eight </w:t>
      </w:r>
      <w:r w:rsidR="00E41567">
        <w:t>years or not (looking in detail</w:t>
      </w:r>
      <w:r>
        <w:t xml:space="preserve"> at cohor</w:t>
      </w:r>
      <w:r w:rsidR="00BD1C46">
        <w:t>ts who graduated in 2003 to 2010</w:t>
      </w:r>
      <w:r>
        <w:t>)</w:t>
      </w:r>
      <w:r w:rsidR="006377F6">
        <w:rPr>
          <w:rStyle w:val="FootnoteReference"/>
        </w:rPr>
        <w:footnoteReference w:id="3"/>
      </w:r>
      <w:r>
        <w:t xml:space="preserve">. Comparing current figures to </w:t>
      </w:r>
      <w:r w:rsidR="00E41567">
        <w:t xml:space="preserve">these historical ones </w:t>
      </w:r>
      <w:r>
        <w:t>helps to put current rates in perspective.</w:t>
      </w:r>
    </w:p>
    <w:p w:rsidR="0054501C" w:rsidRDefault="00086B44">
      <w:pPr>
        <w:pStyle w:val="BodyText"/>
      </w:pPr>
      <w:r>
        <w:t xml:space="preserve">The detailed analyses in </w:t>
      </w:r>
      <w:r w:rsidR="00C509B9">
        <w:t>this report</w:t>
      </w:r>
      <w:r>
        <w:t xml:space="preserve"> and associated tables (available </w:t>
      </w:r>
      <w:r w:rsidR="00A157A1">
        <w:t xml:space="preserve">on the </w:t>
      </w:r>
      <w:hyperlink r:id="rId15" w:history="1">
        <w:r w:rsidR="00A157A1" w:rsidRPr="006A0DF5">
          <w:rPr>
            <w:rStyle w:val="Hyperlink"/>
          </w:rPr>
          <w:t>Education Counts</w:t>
        </w:r>
      </w:hyperlink>
      <w:r w:rsidR="00A157A1">
        <w:t xml:space="preserve"> website</w:t>
      </w:r>
      <w:r w:rsidR="006A0DF5">
        <w:t>)</w:t>
      </w:r>
      <w:r>
        <w:t xml:space="preserve"> provide useful information, not only about the percentage of graduates who gain employment after study but the percentage who go </w:t>
      </w:r>
      <w:r w:rsidR="00A157A1">
        <w:t>overseas, go on to do further study or receive a benefit.</w:t>
      </w:r>
      <w:r>
        <w:t xml:space="preserve">  </w:t>
      </w:r>
    </w:p>
    <w:p w:rsidR="00946B0B" w:rsidRDefault="00031DC7">
      <w:pPr>
        <w:pStyle w:val="Heading2"/>
      </w:pPr>
      <w:bookmarkStart w:id="4" w:name="_Toc387305276"/>
      <w:r>
        <w:t>Categorising the destinations of graduates</w:t>
      </w:r>
      <w:bookmarkEnd w:id="4"/>
    </w:p>
    <w:p w:rsidR="00BB0861" w:rsidRDefault="00086B44" w:rsidP="00086B44">
      <w:pPr>
        <w:pStyle w:val="BodyText"/>
      </w:pPr>
      <w:r w:rsidRPr="00DF67E9">
        <w:t xml:space="preserve">In </w:t>
      </w:r>
      <w:r>
        <w:t>look</w:t>
      </w:r>
      <w:r w:rsidR="0013727D">
        <w:t>ing</w:t>
      </w:r>
      <w:r>
        <w:t xml:space="preserve"> at graduate</w:t>
      </w:r>
      <w:r w:rsidR="0013727D">
        <w:t xml:space="preserve"> destination</w:t>
      </w:r>
      <w:r>
        <w:t>s</w:t>
      </w:r>
      <w:r w:rsidR="0013727D">
        <w:t>, w</w:t>
      </w:r>
      <w:r w:rsidR="00B74215">
        <w:t>here possible w</w:t>
      </w:r>
      <w:r w:rsidR="0013727D">
        <w:t>e assign each graduate in each year to one of</w:t>
      </w:r>
      <w:r w:rsidR="00031DC7">
        <w:t xml:space="preserve"> four main destinations: further study, e</w:t>
      </w:r>
      <w:r w:rsidR="00967D8E">
        <w:t>mployment, overseas and receiving</w:t>
      </w:r>
      <w:r w:rsidR="00031DC7">
        <w:t xml:space="preserve"> a benefit.  </w:t>
      </w:r>
      <w:r w:rsidR="00570918">
        <w:t xml:space="preserve">Although many graduates undertake more than one activity in a year, </w:t>
      </w:r>
      <w:r w:rsidR="00D332E1">
        <w:t xml:space="preserve">in each year after completing a qualification, </w:t>
      </w:r>
      <w:r w:rsidR="00570918" w:rsidRPr="00F559CB">
        <w:t xml:space="preserve">graduates are assigned to a single destination using the </w:t>
      </w:r>
      <w:r w:rsidR="00570918">
        <w:t>rules</w:t>
      </w:r>
      <w:r w:rsidR="00B828E0">
        <w:t xml:space="preserve"> outlined below</w:t>
      </w:r>
      <w:r w:rsidR="008F7B39">
        <w:t xml:space="preserve"> and as shown in the flow diagram below (Figure 1)</w:t>
      </w:r>
      <w:r w:rsidR="00570918" w:rsidRPr="00F559CB">
        <w:t xml:space="preserve">.  These rules take account of ‘substantiveness’ – how long a graduate is pursuing an activity – and a ‘predominance’ test – what is the ‘main’ activity.  </w:t>
      </w:r>
    </w:p>
    <w:p w:rsidR="00086B44" w:rsidRPr="00D61B65" w:rsidRDefault="00086B44" w:rsidP="00086B44">
      <w:pPr>
        <w:pStyle w:val="BodyText"/>
      </w:pPr>
      <w:r w:rsidRPr="00D61B65">
        <w:rPr>
          <w:i/>
        </w:rPr>
        <w:t xml:space="preserve">Overseas – </w:t>
      </w:r>
      <w:r w:rsidRPr="00D61B65">
        <w:t>9 months or more overseas overall in a year.</w:t>
      </w:r>
    </w:p>
    <w:p w:rsidR="00086B44" w:rsidRPr="00D61B65" w:rsidRDefault="00086B44" w:rsidP="00086B44">
      <w:pPr>
        <w:pStyle w:val="BodyText"/>
      </w:pPr>
      <w:r w:rsidRPr="00BB4C59">
        <w:rPr>
          <w:i/>
        </w:rPr>
        <w:t>Further study</w:t>
      </w:r>
      <w:r w:rsidRPr="00D61B65">
        <w:rPr>
          <w:i/>
        </w:rPr>
        <w:t xml:space="preserve"> – </w:t>
      </w:r>
      <w:r w:rsidRPr="00D61B65">
        <w:t xml:space="preserve">graduates who </w:t>
      </w:r>
      <w:r>
        <w:t xml:space="preserve">are not classified in the </w:t>
      </w:r>
      <w:r w:rsidRPr="00D61B65">
        <w:rPr>
          <w:i/>
        </w:rPr>
        <w:t>Overseas</w:t>
      </w:r>
      <w:r>
        <w:t xml:space="preserve"> category and </w:t>
      </w:r>
      <w:r w:rsidRPr="00D61B65">
        <w:t>do any tertiary study in a calendar year.</w:t>
      </w:r>
    </w:p>
    <w:p w:rsidR="00086B44" w:rsidRPr="00BB4C59" w:rsidRDefault="00086B44" w:rsidP="00086B44">
      <w:pPr>
        <w:pStyle w:val="BodyText"/>
      </w:pPr>
      <w:r w:rsidRPr="00BB4C59">
        <w:rPr>
          <w:i/>
        </w:rPr>
        <w:lastRenderedPageBreak/>
        <w:t>Receiving a benefit</w:t>
      </w:r>
      <w:r w:rsidRPr="00D61B65">
        <w:rPr>
          <w:i/>
        </w:rPr>
        <w:t xml:space="preserve"> – </w:t>
      </w:r>
      <w:r w:rsidRPr="00D61B65">
        <w:t xml:space="preserve">graduates who are not classified in either the </w:t>
      </w:r>
      <w:r w:rsidRPr="00D61B65">
        <w:rPr>
          <w:i/>
        </w:rPr>
        <w:t xml:space="preserve">Overseas </w:t>
      </w:r>
      <w:r w:rsidRPr="00A84E71">
        <w:t>or</w:t>
      </w:r>
      <w:r w:rsidRPr="00D61B65">
        <w:rPr>
          <w:i/>
        </w:rPr>
        <w:t xml:space="preserve"> Further study </w:t>
      </w:r>
      <w:r w:rsidRPr="00D61B65">
        <w:t xml:space="preserve">categories and who are on a benefit for at least 4 months in a tax year </w:t>
      </w:r>
      <w:r w:rsidRPr="00BB4C59">
        <w:t xml:space="preserve">and who are not in employment for a longer time than this. </w:t>
      </w:r>
    </w:p>
    <w:p w:rsidR="00086B44" w:rsidRPr="00BB4C59" w:rsidRDefault="00086B44" w:rsidP="00086B44">
      <w:pPr>
        <w:pStyle w:val="BodyText"/>
      </w:pPr>
      <w:r w:rsidRPr="00BB4C59">
        <w:rPr>
          <w:i/>
        </w:rPr>
        <w:t>Employment</w:t>
      </w:r>
      <w:r w:rsidR="00A56A39" w:rsidRPr="005572C5">
        <w:rPr>
          <w:rStyle w:val="FootnoteReference"/>
        </w:rPr>
        <w:footnoteReference w:id="4"/>
      </w:r>
      <w:r w:rsidRPr="00BB4C59">
        <w:t xml:space="preserve"> – graduates who are not classified in any of the above categories and who receive wages and salary</w:t>
      </w:r>
      <w:r w:rsidR="00555F62">
        <w:t>, paid parental leave and/or accident</w:t>
      </w:r>
      <w:r w:rsidRPr="00BB4C59">
        <w:t xml:space="preserve"> compensation for at least four months or more in a tax year and/or receive any self-employment income</w:t>
      </w:r>
      <w:r w:rsidR="00CF3955">
        <w:t xml:space="preserve"> (excluding rental income)</w:t>
      </w:r>
      <w:r w:rsidRPr="00BB4C59">
        <w:t>.</w:t>
      </w:r>
    </w:p>
    <w:p w:rsidR="00086B44" w:rsidRPr="00BB4C59" w:rsidRDefault="00086B44" w:rsidP="00086B44">
      <w:pPr>
        <w:pStyle w:val="BodyText"/>
      </w:pPr>
      <w:r w:rsidRPr="00BB4C59">
        <w:rPr>
          <w:i/>
        </w:rPr>
        <w:t>Other/Unknown</w:t>
      </w:r>
      <w:r w:rsidRPr="00BB4C59">
        <w:t xml:space="preserve"> – </w:t>
      </w:r>
      <w:r w:rsidR="004B062C">
        <w:t xml:space="preserve">graduates who are involved in more than one activity during the year and </w:t>
      </w:r>
      <w:r w:rsidR="003E155E">
        <w:t xml:space="preserve">who </w:t>
      </w:r>
      <w:r w:rsidR="004B062C">
        <w:t>do not meet the criteria for any of the above four destinations</w:t>
      </w:r>
      <w:r w:rsidRPr="00BB4C59">
        <w:t>, or for whom no matchi</w:t>
      </w:r>
      <w:r w:rsidR="00A84E71">
        <w:t>ng data can be found in the Integrated Data Infrastructure.</w:t>
      </w:r>
    </w:p>
    <w:p w:rsidR="0013727D" w:rsidRDefault="008D1B38" w:rsidP="0078562F">
      <w:pPr>
        <w:pStyle w:val="BodyText"/>
      </w:pPr>
      <w:r w:rsidRPr="00F559CB">
        <w:t xml:space="preserve">Where a graduate meets the criteria for more than one destination, the destination is determined using the order of precedence: </w:t>
      </w:r>
      <w:r>
        <w:t xml:space="preserve">overseas, </w:t>
      </w:r>
      <w:r w:rsidRPr="00F559CB">
        <w:t>further study, receiving a ben</w:t>
      </w:r>
      <w:r>
        <w:t>efit, employment</w:t>
      </w:r>
      <w:r w:rsidR="004B062C">
        <w:t>.</w:t>
      </w:r>
      <w:r>
        <w:t xml:space="preserve">  </w:t>
      </w:r>
      <w:r w:rsidR="004007FA">
        <w:t xml:space="preserve">For example, if an individual works for 3 months after completing their qualification, and then goes overseas for 9 months, they will be classified in the “overseas” destination. </w:t>
      </w:r>
      <w:r w:rsidR="00C11393">
        <w:t>This is regardless whether the graduate works overseas.</w:t>
      </w:r>
      <w:r w:rsidR="004007FA">
        <w:t xml:space="preserve"> </w:t>
      </w:r>
      <w:r w:rsidR="00C11393">
        <w:t xml:space="preserve"> </w:t>
      </w:r>
      <w:r w:rsidR="004007FA">
        <w:t>Or if</w:t>
      </w:r>
      <w:r w:rsidR="000D018D">
        <w:t xml:space="preserve"> a student </w:t>
      </w:r>
      <w:r w:rsidR="004007FA">
        <w:t>complete</w:t>
      </w:r>
      <w:r w:rsidR="000D018D">
        <w:t xml:space="preserve">s </w:t>
      </w:r>
      <w:r w:rsidR="0013727D">
        <w:t xml:space="preserve">(for instance) </w:t>
      </w:r>
      <w:r w:rsidR="004007FA">
        <w:t>a bach</w:t>
      </w:r>
      <w:r w:rsidR="008F7B39">
        <w:t>elors degree in law in one year and then</w:t>
      </w:r>
      <w:r w:rsidR="004007FA">
        <w:t xml:space="preserve"> stud</w:t>
      </w:r>
      <w:r w:rsidR="000D018D">
        <w:t>ies</w:t>
      </w:r>
      <w:r w:rsidR="004007FA">
        <w:t xml:space="preserve"> for their </w:t>
      </w:r>
      <w:r w:rsidR="0013727D">
        <w:t xml:space="preserve">law </w:t>
      </w:r>
      <w:r w:rsidR="004007FA">
        <w:t>professionals in the next year whilst also working</w:t>
      </w:r>
      <w:r w:rsidR="008F7B39">
        <w:t>, they would be classified in the “further study” destinat</w:t>
      </w:r>
      <w:r w:rsidR="00FC4B93">
        <w:t>ion rather than in the “employment</w:t>
      </w:r>
      <w:r w:rsidR="008F7B39">
        <w:t>” destination</w:t>
      </w:r>
      <w:r w:rsidR="008F7B39">
        <w:rPr>
          <w:rStyle w:val="FootnoteReference"/>
        </w:rPr>
        <w:footnoteReference w:id="5"/>
      </w:r>
      <w:r w:rsidR="008F7B39">
        <w:t>.</w:t>
      </w:r>
      <w:r w:rsidR="003F53AE">
        <w:t xml:space="preserve">  This order of precedence means that that employment rate is conservative and is not inflated by including those who do multiple activities throughout a year.</w:t>
      </w:r>
      <w:r w:rsidR="000D018D">
        <w:t xml:space="preserve"> </w:t>
      </w:r>
    </w:p>
    <w:p w:rsidR="009E02D8" w:rsidRDefault="008D1B38" w:rsidP="008D1B38">
      <w:pPr>
        <w:pStyle w:val="BodyText"/>
      </w:pPr>
      <w:r>
        <w:t>A small proportion of graduates may also ‘disappear’ from the administrative data – we can’t find what they are doing, perhaps because they were doing unpaid work or caregiving and were supported by family or partners, or were working for a family business</w:t>
      </w:r>
      <w:r w:rsidR="0013727D">
        <w:t xml:space="preserve"> without pay</w:t>
      </w:r>
      <w:r>
        <w:t xml:space="preserve">.  These graduates </w:t>
      </w:r>
      <w:r w:rsidR="003F53AE">
        <w:t xml:space="preserve">of unknown destination </w:t>
      </w:r>
      <w:r>
        <w:t xml:space="preserve">are included in the Other/Unknown category.  </w:t>
      </w:r>
      <w:r w:rsidR="00BD1C46">
        <w:t xml:space="preserve">The fraction of graduates in the Other/Unknown </w:t>
      </w:r>
      <w:r>
        <w:t>category is very small – around 4 percent in the first year after study, increasing to around 6 percent in the seventh year after study.</w:t>
      </w:r>
    </w:p>
    <w:p w:rsidR="009E02D8" w:rsidRDefault="009E02D8">
      <w:pPr>
        <w:rPr>
          <w:szCs w:val="20"/>
        </w:rPr>
      </w:pPr>
      <w:r>
        <w:br w:type="page"/>
      </w:r>
    </w:p>
    <w:p w:rsidR="006D268A" w:rsidRDefault="006D268A" w:rsidP="006D268A">
      <w:pPr>
        <w:pStyle w:val="Caption"/>
      </w:pPr>
      <w:r w:rsidRPr="009E02D8">
        <w:lastRenderedPageBreak/>
        <w:t xml:space="preserve">Figure </w:t>
      </w:r>
      <w:r>
        <w:t>1</w:t>
      </w:r>
    </w:p>
    <w:p w:rsidR="006D268A" w:rsidRPr="009E02D8" w:rsidRDefault="006D268A" w:rsidP="006D268A">
      <w:pPr>
        <w:pStyle w:val="Figurelabel"/>
      </w:pPr>
      <w:bookmarkStart w:id="5" w:name="_Toc385923096"/>
      <w:bookmarkStart w:id="6" w:name="_Toc387305350"/>
      <w:r w:rsidRPr="009E02D8">
        <w:t>Flowchart showing the rules used to assign graduates to a destination.  Graduates are assigned to a single destination in each year after they complete a qualification</w:t>
      </w:r>
      <w:bookmarkEnd w:id="5"/>
      <w:bookmarkEnd w:id="6"/>
    </w:p>
    <w:p w:rsidR="008D1B38" w:rsidRDefault="008D1B38" w:rsidP="008D1B38">
      <w:pPr>
        <w:pStyle w:val="BodyText"/>
      </w:pPr>
    </w:p>
    <w:p w:rsidR="009E02D8" w:rsidRDefault="00291118" w:rsidP="009E02D8">
      <w:r w:rsidRPr="00291118">
        <w:rPr>
          <w:rFonts w:asciiTheme="minorHAnsi" w:hAnsiTheme="minorHAnsi" w:cstheme="minorHAnsi"/>
          <w:noProof/>
          <w:szCs w:val="22"/>
          <w:lang w:eastAsia="en-NZ"/>
        </w:rPr>
        <w:pict>
          <v:group id="_x0000_s1026" style="position:absolute;margin-left:21.25pt;margin-top:4.1pt;width:347.75pt;height:476.8pt;z-index:251661312" coordorigin="1640,3481" coordsize="6955,9536">
            <v:group id="_x0000_s1027" style="position:absolute;left:1655;top:3481;width:6940;height:2069" coordorigin="1670,2675" coordsize="6940,2069">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8" type="#_x0000_t34" style="position:absolute;left:2967;top:4380;width:727;height:1;rotation:90" o:connectortype="elbow" adj="10785,-88149600,-98968">
                <v:stroke endarrow="block"/>
              </v:shape>
              <v:shapetype id="_x0000_t202" coordsize="21600,21600" o:spt="202" path="m,l,21600r21600,l21600,xe">
                <v:stroke joinstyle="miter"/>
                <v:path gradientshapeok="t" o:connecttype="rect"/>
              </v:shapetype>
              <v:shape id="_x0000_s1029" type="#_x0000_t202" style="position:absolute;left:3348;top:4166;width:659;height:374;mso-height-percent:200;mso-height-percent:200;mso-width-relative:margin;mso-height-relative:margin" stroked="f">
                <v:textbox style="mso-next-textbox:#_x0000_s1029;mso-fit-shape-to-text:t">
                  <w:txbxContent>
                    <w:p w:rsidR="00E96354" w:rsidRPr="00FB4645" w:rsidRDefault="00E96354" w:rsidP="009E02D8">
                      <w:pPr>
                        <w:rPr>
                          <w:rFonts w:ascii="Arial" w:hAnsi="Arial" w:cs="Arial"/>
                          <w:sz w:val="20"/>
                          <w:szCs w:val="20"/>
                        </w:rPr>
                      </w:pPr>
                      <w:r w:rsidRPr="00FB4645">
                        <w:rPr>
                          <w:rFonts w:ascii="Arial" w:hAnsi="Arial" w:cs="Arial"/>
                          <w:sz w:val="20"/>
                          <w:szCs w:val="20"/>
                        </w:rPr>
                        <w:t>No</w:t>
                      </w:r>
                    </w:p>
                  </w:txbxContent>
                </v:textbox>
              </v:shape>
              <v:shapetype id="_x0000_t32" coordsize="21600,21600" o:spt="32" o:oned="t" path="m,l21600,21600e" filled="f">
                <v:path arrowok="t" fillok="f" o:connecttype="none"/>
                <o:lock v:ext="edit" shapetype="t"/>
              </v:shapetype>
              <v:shape id="_x0000_s1030" type="#_x0000_t32" style="position:absolute;left:4959;top:3356;width:1186;height:0" o:connectortype="elbow" adj="-90316,-1,-90316">
                <v:stroke endarrow="block"/>
              </v:shape>
              <v:shape id="_x0000_s1031" type="#_x0000_t202" style="position:absolute;left:5163;top:2966;width:659;height:374;mso-height-percent:200;mso-height-percent:200;mso-width-relative:margin;mso-height-relative:margin" stroked="f">
                <v:textbox style="mso-next-textbox:#_x0000_s1031;mso-fit-shape-to-text:t">
                  <w:txbxContent>
                    <w:p w:rsidR="00E96354" w:rsidRPr="00FB4645" w:rsidRDefault="00E96354" w:rsidP="009E02D8">
                      <w:pPr>
                        <w:rPr>
                          <w:rFonts w:ascii="Arial" w:hAnsi="Arial" w:cs="Arial"/>
                          <w:sz w:val="20"/>
                          <w:szCs w:val="20"/>
                        </w:rPr>
                      </w:pPr>
                      <w:r w:rsidRPr="00FB4645">
                        <w:rPr>
                          <w:rFonts w:ascii="Arial" w:hAnsi="Arial" w:cs="Arial"/>
                          <w:sz w:val="20"/>
                          <w:szCs w:val="20"/>
                        </w:rPr>
                        <w:t>Yes</w:t>
                      </w:r>
                    </w:p>
                  </w:txbxContent>
                </v:textbox>
              </v:shape>
              <v:shape id="_x0000_s1032" type="#_x0000_t202" style="position:absolute;left:1670;top:2706;width:3305;height:1327;mso-width-percent:400;mso-width-percent:400;mso-width-relative:margin;mso-height-relative:margin">
                <v:textbox style="mso-next-textbox:#_x0000_s1032">
                  <w:txbxContent>
                    <w:p w:rsidR="00E96354" w:rsidRDefault="00E96354" w:rsidP="009E02D8">
                      <w:pPr>
                        <w:jc w:val="center"/>
                        <w:rPr>
                          <w:rFonts w:ascii="Arial" w:hAnsi="Arial" w:cs="Arial"/>
                          <w:sz w:val="20"/>
                          <w:szCs w:val="20"/>
                        </w:rPr>
                      </w:pPr>
                    </w:p>
                    <w:p w:rsidR="00E96354" w:rsidRPr="00817B3C" w:rsidRDefault="00E96354" w:rsidP="009E02D8">
                      <w:pPr>
                        <w:jc w:val="center"/>
                        <w:rPr>
                          <w:rFonts w:ascii="Arial" w:hAnsi="Arial" w:cs="Arial"/>
                          <w:sz w:val="20"/>
                          <w:szCs w:val="20"/>
                        </w:rPr>
                      </w:pPr>
                      <w:r w:rsidRPr="00817B3C">
                        <w:rPr>
                          <w:rFonts w:ascii="Arial" w:hAnsi="Arial" w:cs="Arial"/>
                          <w:sz w:val="20"/>
                          <w:szCs w:val="20"/>
                        </w:rPr>
                        <w:t>Was the graduate overseas for 9 months or more overall in the year?</w:t>
                      </w:r>
                    </w:p>
                  </w:txbxContent>
                </v:textbox>
              </v:shape>
              <v:oval id="_x0000_s1033" style="position:absolute;left:6145;top:2675;width:2465;height:1335;mso-width-relative:margin;mso-height-relative:margin">
                <v:textbox style="mso-next-textbox:#_x0000_s1033">
                  <w:txbxContent>
                    <w:p w:rsidR="00E96354" w:rsidRDefault="00E96354" w:rsidP="009E02D8">
                      <w:pPr>
                        <w:rPr>
                          <w:rFonts w:ascii="Arial" w:hAnsi="Arial" w:cs="Arial"/>
                          <w:szCs w:val="22"/>
                        </w:rPr>
                      </w:pPr>
                    </w:p>
                    <w:p w:rsidR="00E96354" w:rsidRPr="00FB4645" w:rsidRDefault="00E96354" w:rsidP="009E02D8">
                      <w:pPr>
                        <w:jc w:val="center"/>
                        <w:rPr>
                          <w:rFonts w:ascii="Arial" w:hAnsi="Arial" w:cs="Arial"/>
                          <w:sz w:val="20"/>
                          <w:szCs w:val="20"/>
                        </w:rPr>
                      </w:pPr>
                      <w:r w:rsidRPr="00FB4645">
                        <w:rPr>
                          <w:rFonts w:ascii="Arial" w:hAnsi="Arial" w:cs="Arial"/>
                          <w:sz w:val="20"/>
                          <w:szCs w:val="20"/>
                        </w:rPr>
                        <w:t>Overseas</w:t>
                      </w:r>
                    </w:p>
                  </w:txbxContent>
                </v:textbox>
              </v:oval>
            </v:group>
            <v:group id="_x0000_s1034" style="position:absolute;left:1655;top:5521;width:6940;height:2069" coordorigin="1670,4715" coordsize="6940,2069">
              <v:shape id="_x0000_s1035" type="#_x0000_t34" style="position:absolute;left:2967;top:6420;width:727;height:1;rotation:90" o:connectortype="elbow" adj="10785,-88149600,-98968">
                <v:stroke endarrow="block"/>
              </v:shape>
              <v:shape id="_x0000_s1036" type="#_x0000_t202" style="position:absolute;left:3348;top:6206;width:659;height:374;mso-height-percent:200;mso-height-percent:200;mso-width-relative:margin;mso-height-relative:margin" stroked="f">
                <v:textbox style="mso-next-textbox:#_x0000_s1036;mso-fit-shape-to-text:t">
                  <w:txbxContent>
                    <w:p w:rsidR="00E96354" w:rsidRPr="00FB4645" w:rsidRDefault="00E96354" w:rsidP="009E02D8">
                      <w:pPr>
                        <w:rPr>
                          <w:rFonts w:ascii="Arial" w:hAnsi="Arial" w:cs="Arial"/>
                          <w:sz w:val="20"/>
                          <w:szCs w:val="20"/>
                        </w:rPr>
                      </w:pPr>
                      <w:r w:rsidRPr="00FB4645">
                        <w:rPr>
                          <w:rFonts w:ascii="Arial" w:hAnsi="Arial" w:cs="Arial"/>
                          <w:sz w:val="20"/>
                          <w:szCs w:val="20"/>
                        </w:rPr>
                        <w:t>No</w:t>
                      </w:r>
                    </w:p>
                  </w:txbxContent>
                </v:textbox>
              </v:shape>
              <v:shape id="_x0000_s1037" type="#_x0000_t32" style="position:absolute;left:4959;top:5396;width:1186;height:0" o:connectortype="elbow" adj="-90316,-1,-90316">
                <v:stroke endarrow="block"/>
              </v:shape>
              <v:shape id="_x0000_s1038" type="#_x0000_t202" style="position:absolute;left:5163;top:5006;width:659;height:374;mso-height-percent:200;mso-height-percent:200;mso-width-relative:margin;mso-height-relative:margin" stroked="f">
                <v:textbox style="mso-next-textbox:#_x0000_s1038;mso-fit-shape-to-text:t">
                  <w:txbxContent>
                    <w:p w:rsidR="00E96354" w:rsidRPr="00FB4645" w:rsidRDefault="00E96354" w:rsidP="009E02D8">
                      <w:pPr>
                        <w:rPr>
                          <w:rFonts w:ascii="Arial" w:hAnsi="Arial" w:cs="Arial"/>
                          <w:sz w:val="20"/>
                          <w:szCs w:val="20"/>
                        </w:rPr>
                      </w:pPr>
                      <w:r w:rsidRPr="00FB4645">
                        <w:rPr>
                          <w:rFonts w:ascii="Arial" w:hAnsi="Arial" w:cs="Arial"/>
                          <w:sz w:val="20"/>
                          <w:szCs w:val="20"/>
                        </w:rPr>
                        <w:t>Yes</w:t>
                      </w:r>
                    </w:p>
                  </w:txbxContent>
                </v:textbox>
              </v:shape>
              <v:shape id="_x0000_s1039" type="#_x0000_t202" style="position:absolute;left:1670;top:4746;width:3305;height:1327;mso-width-percent:400;mso-width-percent:400;mso-width-relative:margin;mso-height-relative:margin">
                <v:textbox style="mso-next-textbox:#_x0000_s1039">
                  <w:txbxContent>
                    <w:p w:rsidR="00E96354" w:rsidRDefault="00E96354" w:rsidP="009E02D8">
                      <w:pPr>
                        <w:jc w:val="center"/>
                        <w:rPr>
                          <w:rFonts w:ascii="Arial" w:hAnsi="Arial" w:cs="Arial"/>
                          <w:sz w:val="20"/>
                          <w:szCs w:val="20"/>
                        </w:rPr>
                      </w:pPr>
                    </w:p>
                    <w:p w:rsidR="00E96354" w:rsidRPr="00817B3C" w:rsidRDefault="00E96354" w:rsidP="009E02D8">
                      <w:pPr>
                        <w:jc w:val="center"/>
                        <w:rPr>
                          <w:rFonts w:ascii="Arial" w:hAnsi="Arial" w:cs="Arial"/>
                          <w:sz w:val="20"/>
                          <w:szCs w:val="20"/>
                        </w:rPr>
                      </w:pPr>
                      <w:r>
                        <w:rPr>
                          <w:rFonts w:ascii="Arial" w:hAnsi="Arial" w:cs="Arial"/>
                          <w:sz w:val="20"/>
                          <w:szCs w:val="20"/>
                        </w:rPr>
                        <w:t>Did the graduate do any further tertiary study?</w:t>
                      </w:r>
                    </w:p>
                  </w:txbxContent>
                </v:textbox>
              </v:shape>
              <v:oval id="_x0000_s1040" style="position:absolute;left:6145;top:4715;width:2465;height:1335;mso-width-relative:margin;mso-height-relative:margin">
                <v:textbox style="mso-next-textbox:#_x0000_s1040">
                  <w:txbxContent>
                    <w:p w:rsidR="00E96354" w:rsidRDefault="00E96354" w:rsidP="009E02D8">
                      <w:pPr>
                        <w:rPr>
                          <w:rFonts w:ascii="Arial" w:hAnsi="Arial" w:cs="Arial"/>
                          <w:szCs w:val="22"/>
                        </w:rPr>
                      </w:pPr>
                    </w:p>
                    <w:p w:rsidR="00E96354" w:rsidRPr="00FB4645" w:rsidRDefault="00E96354" w:rsidP="009E02D8">
                      <w:pPr>
                        <w:jc w:val="center"/>
                        <w:rPr>
                          <w:rFonts w:ascii="Arial" w:hAnsi="Arial" w:cs="Arial"/>
                          <w:sz w:val="20"/>
                          <w:szCs w:val="20"/>
                        </w:rPr>
                      </w:pPr>
                      <w:r>
                        <w:rPr>
                          <w:rFonts w:ascii="Arial" w:hAnsi="Arial" w:cs="Arial"/>
                          <w:sz w:val="20"/>
                          <w:szCs w:val="20"/>
                        </w:rPr>
                        <w:t>Further study</w:t>
                      </w:r>
                    </w:p>
                  </w:txbxContent>
                </v:textbox>
              </v:oval>
            </v:group>
            <v:group id="_x0000_s1041" style="position:absolute;left:1655;top:7561;width:6940;height:2069" coordorigin="1670,4715" coordsize="6940,2069">
              <v:shape id="_x0000_s1042" type="#_x0000_t34" style="position:absolute;left:2967;top:6420;width:727;height:1;rotation:90" o:connectortype="elbow" adj="10785,-88149600,-98968">
                <v:stroke endarrow="block"/>
              </v:shape>
              <v:shape id="_x0000_s1043" type="#_x0000_t202" style="position:absolute;left:3348;top:6206;width:659;height:374;mso-height-percent:200;mso-height-percent:200;mso-width-relative:margin;mso-height-relative:margin" stroked="f">
                <v:textbox style="mso-next-textbox:#_x0000_s1043;mso-fit-shape-to-text:t">
                  <w:txbxContent>
                    <w:p w:rsidR="00E96354" w:rsidRPr="00FB4645" w:rsidRDefault="00E96354" w:rsidP="009E02D8">
                      <w:pPr>
                        <w:rPr>
                          <w:rFonts w:ascii="Arial" w:hAnsi="Arial" w:cs="Arial"/>
                          <w:sz w:val="20"/>
                          <w:szCs w:val="20"/>
                        </w:rPr>
                      </w:pPr>
                      <w:r w:rsidRPr="00FB4645">
                        <w:rPr>
                          <w:rFonts w:ascii="Arial" w:hAnsi="Arial" w:cs="Arial"/>
                          <w:sz w:val="20"/>
                          <w:szCs w:val="20"/>
                        </w:rPr>
                        <w:t>No</w:t>
                      </w:r>
                    </w:p>
                  </w:txbxContent>
                </v:textbox>
              </v:shape>
              <v:shape id="_x0000_s1044" type="#_x0000_t32" style="position:absolute;left:4959;top:5396;width:1186;height:0" o:connectortype="elbow" adj="-90316,-1,-90316">
                <v:stroke endarrow="block"/>
              </v:shape>
              <v:shape id="_x0000_s1045" type="#_x0000_t202" style="position:absolute;left:5163;top:5006;width:659;height:374;mso-height-percent:200;mso-height-percent:200;mso-width-relative:margin;mso-height-relative:margin" stroked="f">
                <v:textbox style="mso-next-textbox:#_x0000_s1045;mso-fit-shape-to-text:t">
                  <w:txbxContent>
                    <w:p w:rsidR="00E96354" w:rsidRPr="00FB4645" w:rsidRDefault="00E96354" w:rsidP="009E02D8">
                      <w:pPr>
                        <w:rPr>
                          <w:rFonts w:ascii="Arial" w:hAnsi="Arial" w:cs="Arial"/>
                          <w:sz w:val="20"/>
                          <w:szCs w:val="20"/>
                        </w:rPr>
                      </w:pPr>
                      <w:r w:rsidRPr="00FB4645">
                        <w:rPr>
                          <w:rFonts w:ascii="Arial" w:hAnsi="Arial" w:cs="Arial"/>
                          <w:sz w:val="20"/>
                          <w:szCs w:val="20"/>
                        </w:rPr>
                        <w:t>Yes</w:t>
                      </w:r>
                    </w:p>
                  </w:txbxContent>
                </v:textbox>
              </v:shape>
              <v:shape id="_x0000_s1046" type="#_x0000_t202" style="position:absolute;left:1670;top:4746;width:3305;height:1327;mso-width-percent:400;mso-width-percent:400;mso-width-relative:margin;mso-height-relative:margin">
                <v:textbox style="mso-next-textbox:#_x0000_s1046">
                  <w:txbxContent>
                    <w:p w:rsidR="00E96354" w:rsidRDefault="00E96354" w:rsidP="009E02D8">
                      <w:pPr>
                        <w:jc w:val="center"/>
                        <w:rPr>
                          <w:rFonts w:ascii="Arial" w:hAnsi="Arial" w:cs="Arial"/>
                          <w:sz w:val="20"/>
                          <w:szCs w:val="20"/>
                        </w:rPr>
                      </w:pPr>
                    </w:p>
                    <w:p w:rsidR="00E96354" w:rsidRPr="00817B3C" w:rsidRDefault="00E96354" w:rsidP="009E02D8">
                      <w:pPr>
                        <w:jc w:val="center"/>
                        <w:rPr>
                          <w:rFonts w:ascii="Arial" w:hAnsi="Arial" w:cs="Arial"/>
                          <w:sz w:val="20"/>
                          <w:szCs w:val="20"/>
                        </w:rPr>
                      </w:pPr>
                      <w:r>
                        <w:rPr>
                          <w:rFonts w:ascii="Arial" w:hAnsi="Arial" w:cs="Arial"/>
                          <w:sz w:val="20"/>
                          <w:szCs w:val="20"/>
                        </w:rPr>
                        <w:t>Did the graduate receive a benefit for 4 months or more?</w:t>
                      </w:r>
                    </w:p>
                  </w:txbxContent>
                </v:textbox>
              </v:shape>
              <v:oval id="_x0000_s1047" style="position:absolute;left:6145;top:4715;width:2465;height:1335;mso-width-relative:margin;mso-height-relative:margin">
                <v:textbox style="mso-next-textbox:#_x0000_s1047">
                  <w:txbxContent>
                    <w:p w:rsidR="00E96354" w:rsidRDefault="00E96354" w:rsidP="009E02D8">
                      <w:pPr>
                        <w:rPr>
                          <w:rFonts w:ascii="Arial" w:hAnsi="Arial" w:cs="Arial"/>
                          <w:szCs w:val="22"/>
                        </w:rPr>
                      </w:pPr>
                    </w:p>
                    <w:p w:rsidR="00E96354" w:rsidRPr="00FB4645" w:rsidRDefault="00E96354" w:rsidP="009E02D8">
                      <w:pPr>
                        <w:jc w:val="center"/>
                        <w:rPr>
                          <w:rFonts w:ascii="Arial" w:hAnsi="Arial" w:cs="Arial"/>
                          <w:sz w:val="20"/>
                          <w:szCs w:val="20"/>
                        </w:rPr>
                      </w:pPr>
                      <w:r>
                        <w:rPr>
                          <w:rFonts w:ascii="Arial" w:hAnsi="Arial" w:cs="Arial"/>
                          <w:sz w:val="20"/>
                          <w:szCs w:val="20"/>
                        </w:rPr>
                        <w:t>Receiving a benefit</w:t>
                      </w:r>
                    </w:p>
                  </w:txbxContent>
                </v:textbox>
              </v:oval>
            </v:group>
            <v:group id="_x0000_s1048" style="position:absolute;left:1640;top:9601;width:6940;height:2069" coordorigin="1670,4715" coordsize="6940,2069">
              <v:shape id="_x0000_s1049" type="#_x0000_t34" style="position:absolute;left:2967;top:6420;width:727;height:1;rotation:90" o:connectortype="elbow" adj="10785,-88149600,-98968">
                <v:stroke endarrow="block"/>
              </v:shape>
              <v:shape id="_x0000_s1050" type="#_x0000_t202" style="position:absolute;left:3348;top:6206;width:659;height:374;mso-height-percent:200;mso-height-percent:200;mso-width-relative:margin;mso-height-relative:margin" stroked="f">
                <v:textbox style="mso-next-textbox:#_x0000_s1050;mso-fit-shape-to-text:t">
                  <w:txbxContent>
                    <w:p w:rsidR="00E96354" w:rsidRPr="00FB4645" w:rsidRDefault="00E96354" w:rsidP="009E02D8">
                      <w:pPr>
                        <w:rPr>
                          <w:rFonts w:ascii="Arial" w:hAnsi="Arial" w:cs="Arial"/>
                          <w:sz w:val="20"/>
                          <w:szCs w:val="20"/>
                        </w:rPr>
                      </w:pPr>
                      <w:r w:rsidRPr="00FB4645">
                        <w:rPr>
                          <w:rFonts w:ascii="Arial" w:hAnsi="Arial" w:cs="Arial"/>
                          <w:sz w:val="20"/>
                          <w:szCs w:val="20"/>
                        </w:rPr>
                        <w:t>No</w:t>
                      </w:r>
                    </w:p>
                  </w:txbxContent>
                </v:textbox>
              </v:shape>
              <v:shape id="_x0000_s1051" type="#_x0000_t32" style="position:absolute;left:4959;top:5396;width:1186;height:0" o:connectortype="elbow" adj="-90316,-1,-90316">
                <v:stroke endarrow="block"/>
              </v:shape>
              <v:shape id="_x0000_s1052" type="#_x0000_t202" style="position:absolute;left:5163;top:5006;width:659;height:374;mso-height-percent:200;mso-height-percent:200;mso-width-relative:margin;mso-height-relative:margin" stroked="f">
                <v:textbox style="mso-next-textbox:#_x0000_s1052;mso-fit-shape-to-text:t">
                  <w:txbxContent>
                    <w:p w:rsidR="00E96354" w:rsidRPr="00FB4645" w:rsidRDefault="00E96354" w:rsidP="009E02D8">
                      <w:pPr>
                        <w:rPr>
                          <w:rFonts w:ascii="Arial" w:hAnsi="Arial" w:cs="Arial"/>
                          <w:sz w:val="20"/>
                          <w:szCs w:val="20"/>
                        </w:rPr>
                      </w:pPr>
                      <w:r w:rsidRPr="00FB4645">
                        <w:rPr>
                          <w:rFonts w:ascii="Arial" w:hAnsi="Arial" w:cs="Arial"/>
                          <w:sz w:val="20"/>
                          <w:szCs w:val="20"/>
                        </w:rPr>
                        <w:t>Yes</w:t>
                      </w:r>
                    </w:p>
                  </w:txbxContent>
                </v:textbox>
              </v:shape>
              <v:shape id="_x0000_s1053" type="#_x0000_t202" style="position:absolute;left:1670;top:4746;width:3305;height:1327;mso-width-percent:400;mso-width-percent:400;mso-width-relative:margin;mso-height-relative:margin">
                <v:textbox style="mso-next-textbox:#_x0000_s1053">
                  <w:txbxContent>
                    <w:p w:rsidR="00E96354" w:rsidRPr="00BA1C68" w:rsidRDefault="00E96354" w:rsidP="009E02D8">
                      <w:pPr>
                        <w:jc w:val="center"/>
                        <w:rPr>
                          <w:rFonts w:ascii="Arial" w:hAnsi="Arial" w:cs="Arial"/>
                          <w:sz w:val="8"/>
                          <w:szCs w:val="8"/>
                        </w:rPr>
                      </w:pPr>
                    </w:p>
                    <w:p w:rsidR="00E96354" w:rsidRDefault="00E96354" w:rsidP="009E02D8">
                      <w:pPr>
                        <w:jc w:val="center"/>
                        <w:rPr>
                          <w:rFonts w:ascii="Arial" w:hAnsi="Arial" w:cs="Arial"/>
                          <w:sz w:val="20"/>
                          <w:szCs w:val="20"/>
                        </w:rPr>
                      </w:pPr>
                      <w:r w:rsidRPr="00436566">
                        <w:rPr>
                          <w:rFonts w:ascii="Arial" w:hAnsi="Arial" w:cs="Arial"/>
                          <w:sz w:val="20"/>
                          <w:szCs w:val="20"/>
                        </w:rPr>
                        <w:t xml:space="preserve">Did the graduate receive any earnings for 4 months or more or receive any </w:t>
                      </w:r>
                      <w:r>
                        <w:rPr>
                          <w:rFonts w:ascii="Arial" w:hAnsi="Arial" w:cs="Arial"/>
                          <w:sz w:val="20"/>
                          <w:szCs w:val="20"/>
                        </w:rPr>
                        <w:t>income from</w:t>
                      </w:r>
                    </w:p>
                    <w:p w:rsidR="00E96354" w:rsidRPr="00436566" w:rsidRDefault="00E96354" w:rsidP="009E02D8">
                      <w:pPr>
                        <w:jc w:val="center"/>
                        <w:rPr>
                          <w:rFonts w:ascii="Arial" w:hAnsi="Arial" w:cs="Arial"/>
                          <w:sz w:val="20"/>
                          <w:szCs w:val="20"/>
                        </w:rPr>
                      </w:pPr>
                      <w:r w:rsidRPr="00436566">
                        <w:rPr>
                          <w:rFonts w:ascii="Arial" w:hAnsi="Arial" w:cs="Arial"/>
                          <w:sz w:val="20"/>
                          <w:szCs w:val="20"/>
                        </w:rPr>
                        <w:t>self-employment?</w:t>
                      </w:r>
                    </w:p>
                  </w:txbxContent>
                </v:textbox>
              </v:shape>
              <v:oval id="_x0000_s1054" style="position:absolute;left:6145;top:4715;width:2465;height:1335;mso-width-relative:margin;mso-height-relative:margin">
                <v:textbox style="mso-next-textbox:#_x0000_s1054">
                  <w:txbxContent>
                    <w:p w:rsidR="00E96354" w:rsidRDefault="00E96354" w:rsidP="009E02D8">
                      <w:pPr>
                        <w:rPr>
                          <w:rFonts w:ascii="Arial" w:hAnsi="Arial" w:cs="Arial"/>
                          <w:szCs w:val="22"/>
                        </w:rPr>
                      </w:pPr>
                    </w:p>
                    <w:p w:rsidR="00E96354" w:rsidRPr="00FB4645" w:rsidRDefault="00E96354" w:rsidP="009E02D8">
                      <w:pPr>
                        <w:jc w:val="center"/>
                        <w:rPr>
                          <w:rFonts w:ascii="Arial" w:hAnsi="Arial" w:cs="Arial"/>
                          <w:sz w:val="20"/>
                          <w:szCs w:val="20"/>
                        </w:rPr>
                      </w:pPr>
                      <w:r>
                        <w:rPr>
                          <w:rFonts w:ascii="Arial" w:hAnsi="Arial" w:cs="Arial"/>
                          <w:sz w:val="20"/>
                          <w:szCs w:val="20"/>
                        </w:rPr>
                        <w:t>Employment</w:t>
                      </w:r>
                    </w:p>
                  </w:txbxContent>
                </v:textbox>
              </v:oval>
            </v:group>
            <v:oval id="_x0000_s1055" style="position:absolute;left:2065;top:11682;width:2465;height:1335;mso-width-relative:margin;mso-height-relative:margin">
              <v:textbox style="mso-next-textbox:#_x0000_s1055">
                <w:txbxContent>
                  <w:p w:rsidR="00E96354" w:rsidRDefault="00E96354" w:rsidP="009E02D8">
                    <w:pPr>
                      <w:rPr>
                        <w:rFonts w:ascii="Arial" w:hAnsi="Arial" w:cs="Arial"/>
                        <w:szCs w:val="22"/>
                      </w:rPr>
                    </w:pPr>
                  </w:p>
                  <w:p w:rsidR="00E96354" w:rsidRPr="00FB4645" w:rsidRDefault="00E96354" w:rsidP="009E02D8">
                    <w:pPr>
                      <w:jc w:val="center"/>
                      <w:rPr>
                        <w:rFonts w:ascii="Arial" w:hAnsi="Arial" w:cs="Arial"/>
                        <w:sz w:val="20"/>
                        <w:szCs w:val="20"/>
                      </w:rPr>
                    </w:pPr>
                    <w:r>
                      <w:rPr>
                        <w:rFonts w:ascii="Arial" w:hAnsi="Arial" w:cs="Arial"/>
                        <w:sz w:val="20"/>
                        <w:szCs w:val="20"/>
                      </w:rPr>
                      <w:t>Other/Unknown</w:t>
                    </w:r>
                  </w:p>
                </w:txbxContent>
              </v:textbox>
            </v:oval>
          </v:group>
        </w:pict>
      </w:r>
    </w:p>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 w:rsidR="009E02D8" w:rsidRDefault="009E02D8" w:rsidP="009E02D8">
      <w:pPr>
        <w:rPr>
          <w:rFonts w:asciiTheme="minorHAnsi" w:hAnsiTheme="minorHAnsi" w:cstheme="minorHAnsi"/>
          <w:szCs w:val="22"/>
        </w:rPr>
      </w:pPr>
    </w:p>
    <w:p w:rsidR="009E02D8" w:rsidRDefault="009E02D8" w:rsidP="009E02D8">
      <w:pPr>
        <w:rPr>
          <w:rFonts w:asciiTheme="minorHAnsi" w:hAnsiTheme="minorHAnsi" w:cstheme="minorHAnsi"/>
          <w:szCs w:val="22"/>
        </w:rPr>
      </w:pPr>
    </w:p>
    <w:p w:rsidR="009E02D8" w:rsidRDefault="009E02D8" w:rsidP="009E02D8">
      <w:pPr>
        <w:rPr>
          <w:rFonts w:asciiTheme="minorHAnsi" w:hAnsiTheme="minorHAnsi" w:cstheme="minorHAnsi"/>
          <w:szCs w:val="22"/>
        </w:rPr>
      </w:pPr>
    </w:p>
    <w:p w:rsidR="009E02D8" w:rsidRDefault="009E02D8" w:rsidP="009E02D8">
      <w:pPr>
        <w:rPr>
          <w:rFonts w:asciiTheme="minorHAnsi" w:hAnsiTheme="minorHAnsi" w:cstheme="minorHAnsi"/>
          <w:szCs w:val="22"/>
        </w:rPr>
      </w:pPr>
    </w:p>
    <w:p w:rsidR="009E02D8" w:rsidRDefault="009E02D8" w:rsidP="009E02D8"/>
    <w:p w:rsidR="009E02D8" w:rsidRDefault="009E02D8" w:rsidP="008D1B38">
      <w:pPr>
        <w:pStyle w:val="BodyText"/>
      </w:pPr>
    </w:p>
    <w:p w:rsidR="00095610" w:rsidRDefault="00095610">
      <w:pPr>
        <w:rPr>
          <w:b/>
          <w:szCs w:val="20"/>
        </w:rPr>
      </w:pPr>
      <w:r>
        <w:rPr>
          <w:b/>
        </w:rPr>
        <w:br w:type="page"/>
      </w:r>
    </w:p>
    <w:p w:rsidR="00086B44" w:rsidRPr="008D397F" w:rsidRDefault="00086B44" w:rsidP="00095610">
      <w:pPr>
        <w:pStyle w:val="Heading1"/>
        <w:rPr>
          <w:lang w:eastAsia="en-NZ"/>
        </w:rPr>
      </w:pPr>
      <w:bookmarkStart w:id="7" w:name="_Toc387305277"/>
      <w:r>
        <w:lastRenderedPageBreak/>
        <w:t>Does your level of study affect what you do?</w:t>
      </w:r>
      <w:bookmarkEnd w:id="7"/>
    </w:p>
    <w:p w:rsidR="0019440C" w:rsidRDefault="0019440C" w:rsidP="0019440C">
      <w:pPr>
        <w:pStyle w:val="Heading2"/>
      </w:pPr>
      <w:bookmarkStart w:id="8" w:name="_Toc387305278"/>
      <w:r>
        <w:t>General patterns</w:t>
      </w:r>
      <w:bookmarkEnd w:id="8"/>
    </w:p>
    <w:p w:rsidR="00086B44" w:rsidRDefault="00086B44" w:rsidP="00086B44">
      <w:pPr>
        <w:pStyle w:val="BodyText"/>
      </w:pPr>
      <w:r>
        <w:t>Looking at graduates who complete qualifications at different levels, we see that there are clear differences in what graduates tend to do after they complete a qualification (see Figure</w:t>
      </w:r>
      <w:r w:rsidR="00AD6143">
        <w:t>s</w:t>
      </w:r>
      <w:r w:rsidR="001502AD">
        <w:t xml:space="preserve"> 2a and 2</w:t>
      </w:r>
      <w:r w:rsidR="00AD6143">
        <w:t>b</w:t>
      </w:r>
      <w:r>
        <w:t>).  For example:</w:t>
      </w:r>
    </w:p>
    <w:p w:rsidR="00145B2B" w:rsidRDefault="00145B2B" w:rsidP="00145B2B">
      <w:pPr>
        <w:pStyle w:val="Bullet1"/>
        <w:tabs>
          <w:tab w:val="num" w:pos="284"/>
        </w:tabs>
        <w:rPr>
          <w:lang w:eastAsia="en-NZ"/>
        </w:rPr>
      </w:pPr>
      <w:r w:rsidRPr="00AD6143">
        <w:rPr>
          <w:lang w:eastAsia="en-NZ"/>
        </w:rPr>
        <w:t xml:space="preserve">The percentage of young, domestic graduates who do further study is highest in the first year after study and then decreases in each subsequent year for all qualification levels except doctorates who have </w:t>
      </w:r>
      <w:r w:rsidR="00994CA5">
        <w:rPr>
          <w:lang w:eastAsia="en-NZ"/>
        </w:rPr>
        <w:t xml:space="preserve">very </w:t>
      </w:r>
      <w:r w:rsidRPr="00AD6143">
        <w:rPr>
          <w:lang w:eastAsia="en-NZ"/>
        </w:rPr>
        <w:t>low initial rates</w:t>
      </w:r>
      <w:r w:rsidR="00994CA5">
        <w:rPr>
          <w:lang w:eastAsia="en-NZ"/>
        </w:rPr>
        <w:t xml:space="preserve"> of further study</w:t>
      </w:r>
      <w:r w:rsidRPr="00AD6143">
        <w:rPr>
          <w:lang w:eastAsia="en-NZ"/>
        </w:rPr>
        <w:t>.  Further study rates are highest for those who do level 1-4 certificates or level 5-7 diplomas.  Around half of these young domestic graduates do further study in the first year after study</w:t>
      </w:r>
      <w:r w:rsidR="00994CA5">
        <w:rPr>
          <w:lang w:eastAsia="en-NZ"/>
        </w:rPr>
        <w:t xml:space="preserve"> – as would be expected, given that many qualifications at those levels are designed to help people advance to study at higher levels</w:t>
      </w:r>
      <w:r w:rsidRPr="00AD6143">
        <w:rPr>
          <w:lang w:eastAsia="en-NZ"/>
        </w:rPr>
        <w:t>.  By seven years after graduation, these rates have dropped to around 16 to 18 percent.</w:t>
      </w:r>
    </w:p>
    <w:p w:rsidR="00145B2B" w:rsidRPr="00C051A9" w:rsidRDefault="00145B2B" w:rsidP="00145B2B">
      <w:pPr>
        <w:pStyle w:val="Bullet1"/>
        <w:tabs>
          <w:tab w:val="num" w:pos="284"/>
        </w:tabs>
        <w:rPr>
          <w:lang w:eastAsia="en-NZ"/>
        </w:rPr>
      </w:pPr>
      <w:r w:rsidRPr="00AD6143">
        <w:rPr>
          <w:lang w:eastAsia="en-NZ"/>
        </w:rPr>
        <w:t>Further study rates are reasonably high</w:t>
      </w:r>
      <w:r w:rsidR="00B74215" w:rsidRPr="00AD6143">
        <w:rPr>
          <w:lang w:eastAsia="en-NZ"/>
        </w:rPr>
        <w:t xml:space="preserve"> </w:t>
      </w:r>
      <w:r w:rsidR="00B74215">
        <w:rPr>
          <w:lang w:eastAsia="en-NZ"/>
        </w:rPr>
        <w:t xml:space="preserve">– </w:t>
      </w:r>
      <w:r w:rsidRPr="00AD6143">
        <w:rPr>
          <w:lang w:eastAsia="en-NZ"/>
        </w:rPr>
        <w:t xml:space="preserve">just over one third of graduates in the first year after study </w:t>
      </w:r>
      <w:r w:rsidR="00994CA5">
        <w:rPr>
          <w:lang w:eastAsia="en-NZ"/>
        </w:rPr>
        <w:t xml:space="preserve">– </w:t>
      </w:r>
      <w:r w:rsidRPr="00AD6143">
        <w:rPr>
          <w:lang w:eastAsia="en-NZ"/>
        </w:rPr>
        <w:t xml:space="preserve">for </w:t>
      </w:r>
      <w:r w:rsidR="00994CA5">
        <w:rPr>
          <w:lang w:eastAsia="en-NZ"/>
        </w:rPr>
        <w:t>young domestic graduates with</w:t>
      </w:r>
      <w:r w:rsidR="00994CA5" w:rsidRPr="00AD6143">
        <w:rPr>
          <w:lang w:eastAsia="en-NZ"/>
        </w:rPr>
        <w:t xml:space="preserve"> </w:t>
      </w:r>
      <w:r w:rsidRPr="00AD6143">
        <w:rPr>
          <w:lang w:eastAsia="en-NZ"/>
        </w:rPr>
        <w:t xml:space="preserve">bachelors and </w:t>
      </w:r>
      <w:r w:rsidR="00FD067A">
        <w:rPr>
          <w:lang w:eastAsia="en-NZ"/>
        </w:rPr>
        <w:t xml:space="preserve">bachelors with </w:t>
      </w:r>
      <w:r w:rsidRPr="00AD6143">
        <w:rPr>
          <w:lang w:eastAsia="en-NZ"/>
        </w:rPr>
        <w:t>honours</w:t>
      </w:r>
      <w:r w:rsidR="00FD067A">
        <w:rPr>
          <w:lang w:eastAsia="en-NZ"/>
        </w:rPr>
        <w:t xml:space="preserve"> or postgraduate certificate or diploma</w:t>
      </w:r>
      <w:r w:rsidRPr="00AD6143">
        <w:rPr>
          <w:lang w:eastAsia="en-NZ"/>
        </w:rPr>
        <w:t xml:space="preserve"> </w:t>
      </w:r>
      <w:r w:rsidR="00994CA5">
        <w:rPr>
          <w:lang w:eastAsia="en-NZ"/>
        </w:rPr>
        <w:t>qualifications</w:t>
      </w:r>
      <w:r w:rsidRPr="00AD6143">
        <w:rPr>
          <w:lang w:eastAsia="en-NZ"/>
        </w:rPr>
        <w:t xml:space="preserve">. </w:t>
      </w:r>
      <w:r w:rsidR="00994CA5">
        <w:rPr>
          <w:lang w:eastAsia="en-NZ"/>
        </w:rPr>
        <w:t>F</w:t>
      </w:r>
      <w:r w:rsidRPr="00AD6143">
        <w:rPr>
          <w:lang w:eastAsia="en-NZ"/>
        </w:rPr>
        <w:t xml:space="preserve">urther study rates are around half this for masters and graduate certificate </w:t>
      </w:r>
      <w:r w:rsidR="00FD067A">
        <w:rPr>
          <w:lang w:eastAsia="en-NZ"/>
        </w:rPr>
        <w:t xml:space="preserve">or diploma </w:t>
      </w:r>
      <w:r w:rsidRPr="00AD6143">
        <w:rPr>
          <w:lang w:eastAsia="en-NZ"/>
        </w:rPr>
        <w:t xml:space="preserve">young domestic graduates (16 </w:t>
      </w:r>
      <w:r w:rsidRPr="00C051A9">
        <w:rPr>
          <w:lang w:eastAsia="en-NZ"/>
        </w:rPr>
        <w:t>and 14 percent respectively), and only around 5 percent for those who complete doctorates.</w:t>
      </w:r>
    </w:p>
    <w:p w:rsidR="00AD6143" w:rsidRPr="00AD6143" w:rsidRDefault="00AD6143" w:rsidP="00AD6143">
      <w:pPr>
        <w:pStyle w:val="Bullet1"/>
        <w:tabs>
          <w:tab w:val="num" w:pos="284"/>
        </w:tabs>
        <w:rPr>
          <w:lang w:eastAsia="en-NZ"/>
        </w:rPr>
      </w:pPr>
      <w:r w:rsidRPr="00AD6143">
        <w:rPr>
          <w:lang w:eastAsia="en-NZ"/>
        </w:rPr>
        <w:t xml:space="preserve">The employment rate in the first year after study for young, domestic graduates increases steadily with increasing qualification level, from 34 percent for </w:t>
      </w:r>
      <w:r w:rsidR="00FD067A">
        <w:rPr>
          <w:lang w:eastAsia="en-NZ"/>
        </w:rPr>
        <w:t xml:space="preserve">level 1-3 </w:t>
      </w:r>
      <w:r w:rsidRPr="00AD6143">
        <w:rPr>
          <w:lang w:eastAsia="en-NZ"/>
        </w:rPr>
        <w:t xml:space="preserve">certificate graduates to 35 percent for </w:t>
      </w:r>
      <w:r w:rsidR="00FD067A">
        <w:rPr>
          <w:lang w:eastAsia="en-NZ"/>
        </w:rPr>
        <w:t xml:space="preserve">level 4 </w:t>
      </w:r>
      <w:r w:rsidRPr="00AD6143">
        <w:rPr>
          <w:lang w:eastAsia="en-NZ"/>
        </w:rPr>
        <w:t>certificate grad</w:t>
      </w:r>
      <w:r>
        <w:rPr>
          <w:lang w:eastAsia="en-NZ"/>
        </w:rPr>
        <w:t>u</w:t>
      </w:r>
      <w:r w:rsidRPr="00AD6143">
        <w:rPr>
          <w:lang w:eastAsia="en-NZ"/>
        </w:rPr>
        <w:t>ates to 41</w:t>
      </w:r>
      <w:r w:rsidR="00AF7AD4">
        <w:rPr>
          <w:lang w:eastAsia="en-NZ"/>
        </w:rPr>
        <w:t xml:space="preserve"> percent</w:t>
      </w:r>
      <w:r w:rsidR="00AF7AD4" w:rsidRPr="00AD6143">
        <w:rPr>
          <w:lang w:eastAsia="en-NZ"/>
        </w:rPr>
        <w:t xml:space="preserve"> </w:t>
      </w:r>
      <w:r w:rsidRPr="00AD6143">
        <w:rPr>
          <w:lang w:eastAsia="en-NZ"/>
        </w:rPr>
        <w:t xml:space="preserve">for diploma graduates to around half of all bachelors and </w:t>
      </w:r>
      <w:r w:rsidR="005839EA">
        <w:rPr>
          <w:lang w:eastAsia="en-NZ"/>
        </w:rPr>
        <w:t xml:space="preserve">bachelors with </w:t>
      </w:r>
      <w:r w:rsidRPr="00AD6143">
        <w:rPr>
          <w:lang w:eastAsia="en-NZ"/>
        </w:rPr>
        <w:t>honours</w:t>
      </w:r>
      <w:r w:rsidR="005839EA">
        <w:rPr>
          <w:lang w:eastAsia="en-NZ"/>
        </w:rPr>
        <w:t xml:space="preserve"> or postgraduate certificate or diploma</w:t>
      </w:r>
      <w:r w:rsidRPr="00AD6143">
        <w:rPr>
          <w:lang w:eastAsia="en-NZ"/>
        </w:rPr>
        <w:t xml:space="preserve"> graduates, and 55</w:t>
      </w:r>
      <w:r w:rsidR="00AF7AD4">
        <w:rPr>
          <w:lang w:eastAsia="en-NZ"/>
        </w:rPr>
        <w:t xml:space="preserve"> percent</w:t>
      </w:r>
      <w:r w:rsidR="00AF7AD4" w:rsidRPr="00AD6143">
        <w:rPr>
          <w:lang w:eastAsia="en-NZ"/>
        </w:rPr>
        <w:t xml:space="preserve"> </w:t>
      </w:r>
      <w:r w:rsidRPr="00AD6143">
        <w:rPr>
          <w:lang w:eastAsia="en-NZ"/>
        </w:rPr>
        <w:t>for masters and doctorate graduates.</w:t>
      </w:r>
    </w:p>
    <w:p w:rsidR="00AD6143" w:rsidRPr="00AD6143" w:rsidRDefault="00AD6143" w:rsidP="00AD6143">
      <w:pPr>
        <w:pStyle w:val="Bullet1"/>
        <w:tabs>
          <w:tab w:val="num" w:pos="284"/>
        </w:tabs>
        <w:rPr>
          <w:lang w:eastAsia="en-NZ"/>
        </w:rPr>
      </w:pPr>
      <w:r w:rsidRPr="00AD6143">
        <w:rPr>
          <w:lang w:eastAsia="en-NZ"/>
        </w:rPr>
        <w:t xml:space="preserve">Graduate certificate and diploma graduates are an exception to this </w:t>
      </w:r>
      <w:r w:rsidR="00A27DC6">
        <w:rPr>
          <w:lang w:eastAsia="en-NZ"/>
        </w:rPr>
        <w:t>pattern</w:t>
      </w:r>
      <w:r w:rsidRPr="00AD6143">
        <w:rPr>
          <w:lang w:eastAsia="en-NZ"/>
        </w:rPr>
        <w:t xml:space="preserve"> as they have the highest employment rates of all qualification levels with 74 percent of these young, domestic graduates in employment one year after completion.  </w:t>
      </w:r>
      <w:r w:rsidR="00E663DF">
        <w:rPr>
          <w:lang w:eastAsia="en-NZ"/>
        </w:rPr>
        <w:t xml:space="preserve">Part of the reason for this is that </w:t>
      </w:r>
      <w:r w:rsidR="00AF7AD4">
        <w:rPr>
          <w:lang w:eastAsia="en-NZ"/>
        </w:rPr>
        <w:t xml:space="preserve">many of </w:t>
      </w:r>
      <w:r w:rsidR="00E663DF">
        <w:rPr>
          <w:lang w:eastAsia="en-NZ"/>
        </w:rPr>
        <w:t>these qualifications are vocationally based and completed in order to meet the requirements for a particular occupation.  Many</w:t>
      </w:r>
      <w:r w:rsidRPr="00AD6143">
        <w:rPr>
          <w:lang w:eastAsia="en-NZ"/>
        </w:rPr>
        <w:t xml:space="preserve"> of these graduates have studied either teacher education or law and so may have completed this qualification as a way of </w:t>
      </w:r>
      <w:r w:rsidR="00AF7AD4">
        <w:rPr>
          <w:lang w:eastAsia="en-NZ"/>
        </w:rPr>
        <w:t xml:space="preserve">meeting </w:t>
      </w:r>
      <w:r w:rsidR="005839EA">
        <w:rPr>
          <w:lang w:eastAsia="en-NZ"/>
        </w:rPr>
        <w:t xml:space="preserve">part of </w:t>
      </w:r>
      <w:r w:rsidR="00AF7AD4">
        <w:rPr>
          <w:lang w:eastAsia="en-NZ"/>
        </w:rPr>
        <w:t>the requirements of entry to a profession</w:t>
      </w:r>
      <w:r w:rsidR="00E663DF">
        <w:rPr>
          <w:lang w:eastAsia="en-NZ"/>
        </w:rPr>
        <w:t>.</w:t>
      </w:r>
    </w:p>
    <w:p w:rsidR="00AD6143" w:rsidRPr="00AD6143" w:rsidRDefault="00AD6143" w:rsidP="00AD6143">
      <w:pPr>
        <w:pStyle w:val="Bullet1"/>
        <w:tabs>
          <w:tab w:val="num" w:pos="284"/>
        </w:tabs>
        <w:rPr>
          <w:lang w:eastAsia="en-NZ"/>
        </w:rPr>
      </w:pPr>
      <w:r w:rsidRPr="00AD6143">
        <w:rPr>
          <w:lang w:eastAsia="en-NZ"/>
        </w:rPr>
        <w:t>In general, employment rates increase over each of the first seven years after study for young domestic graduates who complete a level 1-4 certificate or level 5-7 diploma. Many of these graduates do additional study after their first qualification</w:t>
      </w:r>
      <w:r w:rsidR="00AF7AD4">
        <w:rPr>
          <w:lang w:eastAsia="en-NZ"/>
        </w:rPr>
        <w:t>,</w:t>
      </w:r>
      <w:r w:rsidRPr="00AD6143">
        <w:rPr>
          <w:lang w:eastAsia="en-NZ"/>
        </w:rPr>
        <w:t xml:space="preserve"> so increasing their skill level and enhancing their prospects of employment.</w:t>
      </w:r>
    </w:p>
    <w:p w:rsidR="00AF7AD4" w:rsidRPr="00CF55C4" w:rsidRDefault="00AD6143" w:rsidP="000360D5">
      <w:pPr>
        <w:pStyle w:val="Bullet1"/>
        <w:tabs>
          <w:tab w:val="num" w:pos="284"/>
        </w:tabs>
        <w:rPr>
          <w:rFonts w:ascii="Arial" w:hAnsi="Arial"/>
          <w:color w:val="303030"/>
          <w:szCs w:val="22"/>
          <w:lang w:eastAsia="en-NZ"/>
        </w:rPr>
        <w:sectPr w:rsidR="00AF7AD4" w:rsidRPr="00CF55C4" w:rsidSect="00D63A35">
          <w:footerReference w:type="even" r:id="rId16"/>
          <w:footerReference w:type="default" r:id="rId17"/>
          <w:pgSz w:w="11906" w:h="16838"/>
          <w:pgMar w:top="1440" w:right="1800" w:bottom="1440" w:left="1800" w:header="708" w:footer="708" w:gutter="0"/>
          <w:pgNumType w:start="1"/>
          <w:cols w:space="708"/>
          <w:docGrid w:linePitch="360"/>
        </w:sectPr>
      </w:pPr>
      <w:r w:rsidRPr="00AD6143">
        <w:rPr>
          <w:lang w:eastAsia="en-NZ"/>
        </w:rPr>
        <w:t xml:space="preserve">In contrast, </w:t>
      </w:r>
      <w:r w:rsidR="00AA4F21">
        <w:rPr>
          <w:lang w:eastAsia="en-NZ"/>
        </w:rPr>
        <w:t xml:space="preserve">employment </w:t>
      </w:r>
      <w:r w:rsidRPr="00AD6143">
        <w:rPr>
          <w:lang w:eastAsia="en-NZ"/>
        </w:rPr>
        <w:t xml:space="preserve">rates tend to decline over time for young domestic graduates who do a bachelors qualification or higher as the percentage of graduates who go overseas increases with time.  The exception is doctorate graduates whose </w:t>
      </w:r>
    </w:p>
    <w:p w:rsidR="006D268A" w:rsidRDefault="00BC4ED1" w:rsidP="006D268A">
      <w:pPr>
        <w:pStyle w:val="Caption"/>
      </w:pPr>
      <w:r>
        <w:lastRenderedPageBreak/>
        <w:t>Figure 2a</w:t>
      </w:r>
    </w:p>
    <w:p w:rsidR="006D268A" w:rsidRPr="006D268A" w:rsidRDefault="006D268A" w:rsidP="006D268A">
      <w:pPr>
        <w:pStyle w:val="Figurelabel"/>
        <w:rPr>
          <w:b/>
        </w:rPr>
      </w:pPr>
      <w:bookmarkStart w:id="9" w:name="_Toc385923097"/>
      <w:bookmarkStart w:id="10" w:name="_Toc387305351"/>
      <w:r w:rsidRPr="002076A0">
        <w:t>Destinations for young d</w:t>
      </w:r>
      <w:r>
        <w:t>omestic graduates in the first seven</w:t>
      </w:r>
      <w:r w:rsidRPr="002076A0">
        <w:t xml:space="preserve"> years</w:t>
      </w:r>
      <w:r>
        <w:t xml:space="preserve"> after qualification completion by qualification level</w:t>
      </w:r>
      <w:bookmarkEnd w:id="9"/>
      <w:bookmarkEnd w:id="10"/>
    </w:p>
    <w:p w:rsidR="006D268A" w:rsidRPr="006D268A" w:rsidRDefault="006D268A" w:rsidP="006D268A">
      <w:pPr>
        <w:pStyle w:val="BodyText"/>
      </w:pPr>
      <w:r w:rsidRPr="006D268A">
        <w:rPr>
          <w:noProof/>
          <w:lang w:eastAsia="en-NZ"/>
        </w:rPr>
        <w:drawing>
          <wp:inline distT="0" distB="0" distL="0" distR="0">
            <wp:extent cx="8863330" cy="429292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8863330" cy="4292920"/>
                    </a:xfrm>
                    <a:prstGeom prst="rect">
                      <a:avLst/>
                    </a:prstGeom>
                    <a:noFill/>
                    <a:ln w="9525">
                      <a:noFill/>
                      <a:miter lim="800000"/>
                      <a:headEnd/>
                      <a:tailEnd/>
                    </a:ln>
                  </pic:spPr>
                </pic:pic>
              </a:graphicData>
            </a:graphic>
          </wp:inline>
        </w:drawing>
      </w:r>
    </w:p>
    <w:p w:rsidR="00C051A9" w:rsidRDefault="00C051A9" w:rsidP="00C051A9">
      <w:pPr>
        <w:rPr>
          <w:color w:val="303030"/>
          <w:sz w:val="16"/>
          <w:szCs w:val="16"/>
        </w:rPr>
      </w:pPr>
      <w:r>
        <w:rPr>
          <w:color w:val="303030"/>
          <w:sz w:val="16"/>
          <w:szCs w:val="16"/>
        </w:rPr>
        <w:br w:type="page"/>
      </w:r>
    </w:p>
    <w:p w:rsidR="006D268A" w:rsidRDefault="00BC4ED1" w:rsidP="006D268A">
      <w:pPr>
        <w:pStyle w:val="Caption"/>
      </w:pPr>
      <w:r>
        <w:lastRenderedPageBreak/>
        <w:t>Figure 2b</w:t>
      </w:r>
    </w:p>
    <w:p w:rsidR="006D268A" w:rsidRDefault="00EC26EF" w:rsidP="006D268A">
      <w:pPr>
        <w:pStyle w:val="Figurelabel"/>
      </w:pPr>
      <w:bookmarkStart w:id="11" w:name="_Toc385923098"/>
      <w:r>
        <w:rPr>
          <w:noProof/>
          <w:lang w:eastAsia="en-NZ"/>
        </w:rPr>
        <w:drawing>
          <wp:anchor distT="0" distB="0" distL="114300" distR="114300" simplePos="0" relativeHeight="251668480" behindDoc="0" locked="0" layoutInCell="1" allowOverlap="1">
            <wp:simplePos x="0" y="0"/>
            <wp:positionH relativeFrom="column">
              <wp:posOffset>47625</wp:posOffset>
            </wp:positionH>
            <wp:positionV relativeFrom="paragraph">
              <wp:posOffset>298450</wp:posOffset>
            </wp:positionV>
            <wp:extent cx="8867775" cy="4429125"/>
            <wp:effectExtent l="19050" t="0" r="9525" b="0"/>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8867775" cy="4429125"/>
                    </a:xfrm>
                    <a:prstGeom prst="rect">
                      <a:avLst/>
                    </a:prstGeom>
                    <a:noFill/>
                    <a:ln w="9525">
                      <a:noFill/>
                      <a:miter lim="800000"/>
                      <a:headEnd/>
                      <a:tailEnd/>
                    </a:ln>
                  </pic:spPr>
                </pic:pic>
              </a:graphicData>
            </a:graphic>
          </wp:anchor>
        </w:drawing>
      </w:r>
      <w:bookmarkStart w:id="12" w:name="_Toc387305352"/>
      <w:r w:rsidR="006D268A" w:rsidRPr="002076A0">
        <w:t>Destinations for young d</w:t>
      </w:r>
      <w:r w:rsidR="006D268A">
        <w:t>omestic graduates in the first seven</w:t>
      </w:r>
      <w:r w:rsidR="006D268A" w:rsidRPr="002076A0">
        <w:t xml:space="preserve"> years</w:t>
      </w:r>
      <w:r w:rsidR="006D268A">
        <w:t xml:space="preserve"> after qualification completion by qualification level</w:t>
      </w:r>
      <w:bookmarkEnd w:id="11"/>
      <w:bookmarkEnd w:id="12"/>
    </w:p>
    <w:p w:rsidR="005461A9" w:rsidRDefault="005461A9" w:rsidP="004A6DB3">
      <w:pPr>
        <w:pStyle w:val="Note"/>
      </w:pPr>
    </w:p>
    <w:p w:rsidR="006D268A" w:rsidRDefault="006D268A" w:rsidP="004A6DB3">
      <w:pPr>
        <w:pStyle w:val="Note"/>
        <w:rPr>
          <w:rFonts w:cs="Arial"/>
          <w:b/>
          <w:color w:val="303030"/>
          <w:sz w:val="16"/>
          <w:szCs w:val="16"/>
        </w:rPr>
      </w:pPr>
      <w:r>
        <w:t>Note that this data is identical to that shown in Figure 2a but the qualification levels are now shown along the horizontal axis instead of years</w:t>
      </w:r>
      <w:r w:rsidR="004E0362">
        <w:t xml:space="preserve"> after study</w:t>
      </w:r>
      <w:r>
        <w:t xml:space="preserve">, and the panels are years </w:t>
      </w:r>
      <w:r w:rsidR="004E0362">
        <w:t xml:space="preserve">after study </w:t>
      </w:r>
      <w:r>
        <w:t>instead of qualification levels.</w:t>
      </w:r>
    </w:p>
    <w:p w:rsidR="00C051A9" w:rsidRDefault="00C051A9" w:rsidP="00C051A9">
      <w:pPr>
        <w:pStyle w:val="NormalWeb"/>
        <w:shd w:val="clear" w:color="auto" w:fill="FFFFFF"/>
        <w:jc w:val="both"/>
        <w:rPr>
          <w:rFonts w:ascii="Arial" w:hAnsi="Arial"/>
          <w:b/>
          <w:color w:val="303030"/>
          <w:sz w:val="22"/>
          <w:szCs w:val="22"/>
        </w:rPr>
        <w:sectPr w:rsidR="00C051A9" w:rsidSect="00683432">
          <w:pgSz w:w="16838" w:h="11906" w:orient="landscape"/>
          <w:pgMar w:top="1800" w:right="1440" w:bottom="1800" w:left="1440" w:header="708" w:footer="708" w:gutter="0"/>
          <w:cols w:space="708"/>
          <w:docGrid w:linePitch="360"/>
        </w:sectPr>
      </w:pPr>
    </w:p>
    <w:p w:rsidR="000360D5" w:rsidRDefault="000360D5" w:rsidP="000360D5">
      <w:pPr>
        <w:pStyle w:val="Bullet1"/>
        <w:numPr>
          <w:ilvl w:val="0"/>
          <w:numId w:val="0"/>
        </w:numPr>
        <w:tabs>
          <w:tab w:val="clear" w:pos="284"/>
        </w:tabs>
        <w:ind w:left="680"/>
        <w:rPr>
          <w:lang w:eastAsia="en-NZ"/>
        </w:rPr>
      </w:pPr>
      <w:r w:rsidRPr="00AD6143">
        <w:rPr>
          <w:lang w:eastAsia="en-NZ"/>
        </w:rPr>
        <w:lastRenderedPageBreak/>
        <w:t>employment rate drops in the second year after study (due to a jump in the number of graduates going overseas) but then the rate increases again in most subsequent years</w:t>
      </w:r>
      <w:r w:rsidRPr="00C91420">
        <w:rPr>
          <w:vertAlign w:val="superscript"/>
          <w:lang w:eastAsia="en-NZ"/>
        </w:rPr>
        <w:footnoteReference w:id="6"/>
      </w:r>
      <w:r w:rsidRPr="00AD6143">
        <w:rPr>
          <w:lang w:eastAsia="en-NZ"/>
        </w:rPr>
        <w:t>.</w:t>
      </w:r>
    </w:p>
    <w:p w:rsidR="000360D5" w:rsidRDefault="000360D5" w:rsidP="000360D5">
      <w:pPr>
        <w:pStyle w:val="Bullet1"/>
        <w:tabs>
          <w:tab w:val="num" w:pos="284"/>
        </w:tabs>
        <w:rPr>
          <w:lang w:eastAsia="en-NZ"/>
        </w:rPr>
      </w:pPr>
      <w:r>
        <w:rPr>
          <w:lang w:eastAsia="en-NZ"/>
        </w:rPr>
        <w:t>In general, employment rates for young, domestic graduates with different levels of qualification achievement become more consistent over time (see Figure 2b).  This is mostly due to employment rates increasing for those who complete qualifications at lower levels (</w:t>
      </w:r>
      <w:r w:rsidR="005839EA">
        <w:rPr>
          <w:lang w:eastAsia="en-NZ"/>
        </w:rPr>
        <w:t xml:space="preserve">level 1-4 certificates </w:t>
      </w:r>
      <w:r>
        <w:rPr>
          <w:lang w:eastAsia="en-NZ"/>
        </w:rPr>
        <w:t xml:space="preserve">and </w:t>
      </w:r>
      <w:r w:rsidR="005839EA">
        <w:rPr>
          <w:lang w:eastAsia="en-NZ"/>
        </w:rPr>
        <w:t>level 5-7 diplomas</w:t>
      </w:r>
      <w:r>
        <w:rPr>
          <w:lang w:eastAsia="en-NZ"/>
        </w:rPr>
        <w:t>) and due to employment rates decreasing markedly for those who complete a graduate certificate or diploma.  However, despite employment rates moderating over time, it is important to not</w:t>
      </w:r>
      <w:r w:rsidR="005839EA">
        <w:rPr>
          <w:lang w:eastAsia="en-NZ"/>
        </w:rPr>
        <w:t>e that the earnings premium which</w:t>
      </w:r>
      <w:r>
        <w:rPr>
          <w:lang w:eastAsia="en-NZ"/>
        </w:rPr>
        <w:t xml:space="preserve"> those who complete higher qualifications enjoy, remains consistent over time (see Figure 3).</w:t>
      </w:r>
    </w:p>
    <w:p w:rsidR="000360D5" w:rsidRPr="00145B2B" w:rsidRDefault="000360D5" w:rsidP="000360D5">
      <w:pPr>
        <w:pStyle w:val="Bullet1"/>
        <w:rPr>
          <w:rFonts w:ascii="Arial" w:hAnsi="Arial"/>
          <w:color w:val="303030"/>
          <w:szCs w:val="22"/>
          <w:lang w:eastAsia="en-NZ"/>
        </w:rPr>
      </w:pPr>
      <w:r w:rsidRPr="00C051A9">
        <w:rPr>
          <w:lang w:eastAsia="en-NZ"/>
        </w:rPr>
        <w:t xml:space="preserve">The percentage of young, domestic graduates who receive a benefit for four or more months in a year is around 12 percent in each of the first seven years after study for those who complete a level 1-3 certificate.  Whereas the percentage drops consistently for each higher level of qualification gained, from around 8 percent for young domestic level 4 certificate graduates, to around 5 percent for level 5-7 diploma graduates to around 1 percent for bachelors graduates.  Benefit rates are very low, 1 percent or lower, in almost all </w:t>
      </w:r>
      <w:r w:rsidR="0086005C">
        <w:rPr>
          <w:lang w:eastAsia="en-NZ"/>
        </w:rPr>
        <w:t xml:space="preserve">of the first seven </w:t>
      </w:r>
      <w:r w:rsidRPr="00C051A9">
        <w:rPr>
          <w:lang w:eastAsia="en-NZ"/>
        </w:rPr>
        <w:t xml:space="preserve">years </w:t>
      </w:r>
      <w:r w:rsidR="005839EA">
        <w:rPr>
          <w:lang w:eastAsia="en-NZ"/>
        </w:rPr>
        <w:t xml:space="preserve">after study </w:t>
      </w:r>
      <w:r w:rsidRPr="00C051A9">
        <w:rPr>
          <w:lang w:eastAsia="en-NZ"/>
        </w:rPr>
        <w:t>for graduates who complete post-graduate qualifications.</w:t>
      </w:r>
    </w:p>
    <w:p w:rsidR="00145B2B" w:rsidRPr="00C051A9" w:rsidRDefault="00145B2B" w:rsidP="00145B2B">
      <w:pPr>
        <w:pStyle w:val="Bullet1"/>
        <w:numPr>
          <w:ilvl w:val="0"/>
          <w:numId w:val="0"/>
        </w:numPr>
        <w:ind w:left="680" w:hanging="397"/>
        <w:rPr>
          <w:rFonts w:ascii="Arial" w:hAnsi="Arial"/>
          <w:color w:val="303030"/>
          <w:szCs w:val="22"/>
          <w:lang w:eastAsia="en-NZ"/>
        </w:rPr>
      </w:pPr>
    </w:p>
    <w:p w:rsidR="00E663DF" w:rsidRDefault="00145B2B" w:rsidP="00E663DF">
      <w:pPr>
        <w:pStyle w:val="Caption"/>
      </w:pPr>
      <w:r>
        <w:t>Figure 3</w:t>
      </w:r>
    </w:p>
    <w:p w:rsidR="00946B0B" w:rsidRDefault="00E663DF">
      <w:pPr>
        <w:pStyle w:val="Figurelabel"/>
      </w:pPr>
      <w:bookmarkStart w:id="13" w:name="_Toc387305353"/>
      <w:r w:rsidRPr="00B60256">
        <w:t>Young, domestic graduate earnings by qualification level i</w:t>
      </w:r>
      <w:r>
        <w:t>n the 2011 and 2012 tax years</w:t>
      </w:r>
      <w:bookmarkEnd w:id="13"/>
    </w:p>
    <w:p w:rsidR="00145B2B" w:rsidRDefault="00145B2B" w:rsidP="00145B2B">
      <w:r>
        <w:rPr>
          <w:noProof/>
          <w:lang w:eastAsia="en-NZ"/>
        </w:rPr>
        <w:drawing>
          <wp:anchor distT="0" distB="0" distL="114300" distR="114300" simplePos="0" relativeHeight="251666432" behindDoc="0" locked="0" layoutInCell="1" allowOverlap="1">
            <wp:simplePos x="0" y="0"/>
            <wp:positionH relativeFrom="column">
              <wp:posOffset>62865</wp:posOffset>
            </wp:positionH>
            <wp:positionV relativeFrom="paragraph">
              <wp:posOffset>142240</wp:posOffset>
            </wp:positionV>
            <wp:extent cx="4762500" cy="2295525"/>
            <wp:effectExtent l="19050" t="0" r="0" b="0"/>
            <wp:wrapSquare wrapText="bothSides"/>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r="45055"/>
                    <a:stretch>
                      <a:fillRect/>
                    </a:stretch>
                  </pic:blipFill>
                  <pic:spPr bwMode="auto">
                    <a:xfrm>
                      <a:off x="0" y="0"/>
                      <a:ext cx="4762500" cy="2295525"/>
                    </a:xfrm>
                    <a:prstGeom prst="rect">
                      <a:avLst/>
                    </a:prstGeom>
                    <a:noFill/>
                    <a:ln w="9525">
                      <a:noFill/>
                      <a:miter lim="800000"/>
                      <a:headEnd/>
                      <a:tailEnd/>
                    </a:ln>
                  </pic:spPr>
                </pic:pic>
              </a:graphicData>
            </a:graphic>
          </wp:anchor>
        </w:drawing>
      </w:r>
    </w:p>
    <w:p w:rsidR="00145B2B" w:rsidRDefault="00145B2B" w:rsidP="00145B2B"/>
    <w:p w:rsidR="00145B2B" w:rsidRDefault="00145B2B" w:rsidP="00145B2B"/>
    <w:p w:rsidR="00145B2B" w:rsidRDefault="00145B2B" w:rsidP="00145B2B"/>
    <w:p w:rsidR="00145B2B" w:rsidRDefault="00145B2B" w:rsidP="00145B2B"/>
    <w:p w:rsidR="00145B2B" w:rsidRDefault="00145B2B" w:rsidP="00145B2B"/>
    <w:p w:rsidR="00145B2B" w:rsidRDefault="00145B2B" w:rsidP="00145B2B"/>
    <w:p w:rsidR="00145B2B" w:rsidRDefault="00145B2B" w:rsidP="00145B2B"/>
    <w:p w:rsidR="00145B2B" w:rsidRPr="00145B2B" w:rsidRDefault="00145B2B" w:rsidP="00145B2B"/>
    <w:p w:rsidR="00E663DF" w:rsidRDefault="00E663DF" w:rsidP="00E663DF">
      <w:pPr>
        <w:pStyle w:val="Bullet1"/>
        <w:numPr>
          <w:ilvl w:val="0"/>
          <w:numId w:val="0"/>
        </w:numPr>
        <w:tabs>
          <w:tab w:val="clear" w:pos="284"/>
        </w:tabs>
        <w:ind w:left="680"/>
        <w:rPr>
          <w:highlight w:val="yellow"/>
          <w:lang w:eastAsia="en-NZ"/>
        </w:rPr>
      </w:pPr>
    </w:p>
    <w:p w:rsidR="00145B2B" w:rsidRDefault="00145B2B" w:rsidP="00E663DF">
      <w:pPr>
        <w:pStyle w:val="Bullet1"/>
        <w:numPr>
          <w:ilvl w:val="0"/>
          <w:numId w:val="0"/>
        </w:numPr>
        <w:tabs>
          <w:tab w:val="clear" w:pos="284"/>
        </w:tabs>
        <w:ind w:left="680"/>
        <w:rPr>
          <w:highlight w:val="yellow"/>
          <w:lang w:eastAsia="en-NZ"/>
        </w:rPr>
      </w:pPr>
    </w:p>
    <w:p w:rsidR="00145B2B" w:rsidRDefault="00145B2B" w:rsidP="00E663DF">
      <w:pPr>
        <w:pStyle w:val="Bullet1"/>
        <w:numPr>
          <w:ilvl w:val="0"/>
          <w:numId w:val="0"/>
        </w:numPr>
        <w:tabs>
          <w:tab w:val="clear" w:pos="284"/>
        </w:tabs>
        <w:ind w:left="680"/>
        <w:rPr>
          <w:highlight w:val="yellow"/>
          <w:lang w:eastAsia="en-NZ"/>
        </w:rPr>
      </w:pPr>
      <w:r>
        <w:rPr>
          <w:noProof/>
          <w:lang w:eastAsia="en-NZ"/>
        </w:rPr>
        <w:drawing>
          <wp:anchor distT="0" distB="0" distL="114300" distR="114300" simplePos="0" relativeHeight="251664384" behindDoc="0" locked="0" layoutInCell="1" allowOverlap="1">
            <wp:simplePos x="0" y="0"/>
            <wp:positionH relativeFrom="column">
              <wp:posOffset>-3571875</wp:posOffset>
            </wp:positionH>
            <wp:positionV relativeFrom="paragraph">
              <wp:posOffset>262255</wp:posOffset>
            </wp:positionV>
            <wp:extent cx="2952750" cy="1800225"/>
            <wp:effectExtent l="19050" t="0" r="0" b="0"/>
            <wp:wrapSquare wrapText="bothSides"/>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54286" r="11648" b="21577"/>
                    <a:stretch>
                      <a:fillRect/>
                    </a:stretch>
                  </pic:blipFill>
                  <pic:spPr bwMode="auto">
                    <a:xfrm>
                      <a:off x="0" y="0"/>
                      <a:ext cx="2952750" cy="1800225"/>
                    </a:xfrm>
                    <a:prstGeom prst="rect">
                      <a:avLst/>
                    </a:prstGeom>
                    <a:noFill/>
                    <a:ln w="9525">
                      <a:noFill/>
                      <a:miter lim="800000"/>
                      <a:headEnd/>
                      <a:tailEnd/>
                    </a:ln>
                  </pic:spPr>
                </pic:pic>
              </a:graphicData>
            </a:graphic>
          </wp:anchor>
        </w:drawing>
      </w:r>
    </w:p>
    <w:p w:rsidR="00145B2B" w:rsidRDefault="00145B2B" w:rsidP="00E663DF">
      <w:pPr>
        <w:pStyle w:val="Bullet1"/>
        <w:numPr>
          <w:ilvl w:val="0"/>
          <w:numId w:val="0"/>
        </w:numPr>
        <w:tabs>
          <w:tab w:val="clear" w:pos="284"/>
        </w:tabs>
        <w:ind w:left="680"/>
        <w:rPr>
          <w:highlight w:val="yellow"/>
          <w:lang w:eastAsia="en-NZ"/>
        </w:rPr>
      </w:pPr>
    </w:p>
    <w:p w:rsidR="00145B2B" w:rsidRDefault="00145B2B" w:rsidP="00E663DF">
      <w:pPr>
        <w:pStyle w:val="Bullet1"/>
        <w:numPr>
          <w:ilvl w:val="0"/>
          <w:numId w:val="0"/>
        </w:numPr>
        <w:tabs>
          <w:tab w:val="clear" w:pos="284"/>
        </w:tabs>
        <w:ind w:left="680"/>
        <w:rPr>
          <w:highlight w:val="yellow"/>
          <w:lang w:eastAsia="en-NZ"/>
        </w:rPr>
      </w:pPr>
    </w:p>
    <w:p w:rsidR="00145B2B" w:rsidRDefault="00145B2B" w:rsidP="00E663DF">
      <w:pPr>
        <w:pStyle w:val="Bullet1"/>
        <w:numPr>
          <w:ilvl w:val="0"/>
          <w:numId w:val="0"/>
        </w:numPr>
        <w:tabs>
          <w:tab w:val="clear" w:pos="284"/>
        </w:tabs>
        <w:ind w:left="680"/>
        <w:rPr>
          <w:highlight w:val="yellow"/>
          <w:lang w:eastAsia="en-NZ"/>
        </w:rPr>
      </w:pPr>
    </w:p>
    <w:p w:rsidR="00145B2B" w:rsidRDefault="00145B2B" w:rsidP="00E663DF">
      <w:pPr>
        <w:pStyle w:val="Bullet1"/>
        <w:numPr>
          <w:ilvl w:val="0"/>
          <w:numId w:val="0"/>
        </w:numPr>
        <w:tabs>
          <w:tab w:val="clear" w:pos="284"/>
        </w:tabs>
        <w:ind w:left="680"/>
        <w:rPr>
          <w:highlight w:val="yellow"/>
          <w:lang w:eastAsia="en-NZ"/>
        </w:rPr>
      </w:pPr>
    </w:p>
    <w:p w:rsidR="00145B2B" w:rsidRDefault="00145B2B" w:rsidP="00E663DF">
      <w:pPr>
        <w:pStyle w:val="Bullet1"/>
        <w:numPr>
          <w:ilvl w:val="0"/>
          <w:numId w:val="0"/>
        </w:numPr>
        <w:tabs>
          <w:tab w:val="clear" w:pos="284"/>
        </w:tabs>
        <w:ind w:left="680"/>
        <w:rPr>
          <w:highlight w:val="yellow"/>
          <w:lang w:eastAsia="en-NZ"/>
        </w:rPr>
      </w:pPr>
    </w:p>
    <w:p w:rsidR="00145B2B" w:rsidRDefault="00145B2B" w:rsidP="00E663DF">
      <w:pPr>
        <w:pStyle w:val="Bullet1"/>
        <w:numPr>
          <w:ilvl w:val="0"/>
          <w:numId w:val="0"/>
        </w:numPr>
        <w:tabs>
          <w:tab w:val="clear" w:pos="284"/>
        </w:tabs>
        <w:ind w:left="680"/>
        <w:rPr>
          <w:highlight w:val="yellow"/>
          <w:lang w:eastAsia="en-NZ"/>
        </w:rPr>
      </w:pPr>
    </w:p>
    <w:p w:rsidR="00145B2B" w:rsidRDefault="00145B2B" w:rsidP="00E663DF">
      <w:pPr>
        <w:pStyle w:val="Bullet1"/>
        <w:numPr>
          <w:ilvl w:val="0"/>
          <w:numId w:val="0"/>
        </w:numPr>
        <w:tabs>
          <w:tab w:val="clear" w:pos="284"/>
        </w:tabs>
        <w:ind w:left="680"/>
        <w:rPr>
          <w:highlight w:val="yellow"/>
          <w:lang w:eastAsia="en-NZ"/>
        </w:rPr>
      </w:pPr>
    </w:p>
    <w:p w:rsidR="009C074B" w:rsidRPr="00ED03E8" w:rsidRDefault="009C074B" w:rsidP="009C074B">
      <w:pPr>
        <w:pStyle w:val="Heading2"/>
        <w:rPr>
          <w:lang w:eastAsia="en-NZ"/>
        </w:rPr>
      </w:pPr>
      <w:bookmarkStart w:id="14" w:name="_Toc387305279"/>
      <w:r w:rsidRPr="00ED03E8">
        <w:rPr>
          <w:lang w:eastAsia="en-NZ"/>
        </w:rPr>
        <w:lastRenderedPageBreak/>
        <w:t>Going overseas</w:t>
      </w:r>
      <w:bookmarkEnd w:id="14"/>
    </w:p>
    <w:p w:rsidR="009C074B" w:rsidRDefault="009C074B" w:rsidP="009C074B">
      <w:pPr>
        <w:pStyle w:val="BodyText"/>
        <w:rPr>
          <w:lang w:eastAsia="en-NZ"/>
        </w:rPr>
      </w:pPr>
      <w:r w:rsidRPr="00ED03E8">
        <w:rPr>
          <w:lang w:eastAsia="en-NZ"/>
        </w:rPr>
        <w:t>The OE – or ‘overseas experience’ – is a rite of passage for many young New Zealanders.  Many graduates take an OE soon after completing study. Some will return after a period of three years or less, having had some time in the workforce in another country and having acquired skills and experience beyond what would have been available to them in the New Zealand labour force.  Some will stay much longer overseas and some won’t ever return to the New Zealand labour market.</w:t>
      </w:r>
    </w:p>
    <w:p w:rsidR="009C074B" w:rsidRDefault="00AF7AD4" w:rsidP="009C074B">
      <w:pPr>
        <w:pStyle w:val="Bullet1"/>
        <w:numPr>
          <w:ilvl w:val="0"/>
          <w:numId w:val="0"/>
        </w:numPr>
        <w:tabs>
          <w:tab w:val="clear" w:pos="284"/>
        </w:tabs>
        <w:spacing w:after="0" w:line="240" w:lineRule="auto"/>
        <w:rPr>
          <w:lang w:eastAsia="en-NZ"/>
        </w:rPr>
      </w:pPr>
      <w:r>
        <w:rPr>
          <w:lang w:eastAsia="en-NZ"/>
        </w:rPr>
        <w:t xml:space="preserve">The findings in this report </w:t>
      </w:r>
      <w:r w:rsidR="009C074B" w:rsidRPr="00923746">
        <w:rPr>
          <w:lang w:eastAsia="en-NZ"/>
        </w:rPr>
        <w:t>on young gradu</w:t>
      </w:r>
      <w:r w:rsidR="009C074B">
        <w:rPr>
          <w:lang w:eastAsia="en-NZ"/>
        </w:rPr>
        <w:t>ates who go overseas complement</w:t>
      </w:r>
      <w:r w:rsidR="009C074B" w:rsidRPr="00923746">
        <w:rPr>
          <w:lang w:eastAsia="en-NZ"/>
        </w:rPr>
        <w:t xml:space="preserve"> data published by the Ministry of Business, Innovation and Employment </w:t>
      </w:r>
      <w:r w:rsidR="009C074B">
        <w:rPr>
          <w:lang w:eastAsia="en-NZ"/>
        </w:rPr>
        <w:t xml:space="preserve">(Papadopoulos, 2012) </w:t>
      </w:r>
      <w:r w:rsidR="009C074B" w:rsidRPr="00923746">
        <w:rPr>
          <w:lang w:eastAsia="en-NZ"/>
        </w:rPr>
        <w:t>and by the Ministry of Education</w:t>
      </w:r>
      <w:r w:rsidR="009C074B">
        <w:rPr>
          <w:lang w:eastAsia="en-NZ"/>
        </w:rPr>
        <w:t xml:space="preserve"> (Smyth and Spackman, 2012)</w:t>
      </w:r>
      <w:r w:rsidR="009C074B" w:rsidRPr="00923746">
        <w:rPr>
          <w:lang w:eastAsia="en-NZ"/>
        </w:rPr>
        <w:t>.  Those reports are available at:</w:t>
      </w:r>
    </w:p>
    <w:p w:rsidR="009C074B" w:rsidRDefault="009C074B" w:rsidP="009C074B">
      <w:pPr>
        <w:pStyle w:val="Bullet1"/>
        <w:numPr>
          <w:ilvl w:val="0"/>
          <w:numId w:val="0"/>
        </w:numPr>
        <w:tabs>
          <w:tab w:val="clear" w:pos="284"/>
        </w:tabs>
        <w:spacing w:after="0" w:line="240" w:lineRule="auto"/>
        <w:rPr>
          <w:lang w:eastAsia="en-NZ"/>
        </w:rPr>
      </w:pPr>
    </w:p>
    <w:p w:rsidR="009C074B" w:rsidRDefault="00291118" w:rsidP="009C074B">
      <w:pPr>
        <w:pStyle w:val="Bullet1"/>
        <w:numPr>
          <w:ilvl w:val="0"/>
          <w:numId w:val="0"/>
        </w:numPr>
        <w:tabs>
          <w:tab w:val="clear" w:pos="284"/>
        </w:tabs>
        <w:spacing w:after="0" w:line="240" w:lineRule="auto"/>
        <w:rPr>
          <w:lang w:eastAsia="en-NZ"/>
        </w:rPr>
      </w:pPr>
      <w:hyperlink r:id="rId21" w:history="1">
        <w:r w:rsidR="006A0DF5" w:rsidRPr="00CD691C">
          <w:rPr>
            <w:rStyle w:val="Hyperlink"/>
            <w:lang w:eastAsia="en-NZ"/>
          </w:rPr>
          <w:t>http://dol.govt.nz/publications/research/who-left/</w:t>
        </w:r>
      </w:hyperlink>
      <w:r w:rsidR="009C074B">
        <w:rPr>
          <w:lang w:eastAsia="en-NZ"/>
        </w:rPr>
        <w:t xml:space="preserve"> </w:t>
      </w:r>
      <w:r w:rsidR="009C074B" w:rsidRPr="00923746">
        <w:rPr>
          <w:lang w:eastAsia="en-NZ"/>
        </w:rPr>
        <w:t xml:space="preserve"> </w:t>
      </w:r>
      <w:r w:rsidR="009C074B">
        <w:rPr>
          <w:lang w:eastAsia="en-NZ"/>
        </w:rPr>
        <w:t xml:space="preserve"> </w:t>
      </w:r>
      <w:r w:rsidR="009C074B" w:rsidRPr="00923746">
        <w:rPr>
          <w:lang w:eastAsia="en-NZ"/>
        </w:rPr>
        <w:t xml:space="preserve">and </w:t>
      </w:r>
    </w:p>
    <w:p w:rsidR="009C074B" w:rsidRDefault="009C074B" w:rsidP="009C074B">
      <w:pPr>
        <w:pStyle w:val="Bullet1"/>
        <w:numPr>
          <w:ilvl w:val="0"/>
          <w:numId w:val="0"/>
        </w:numPr>
        <w:tabs>
          <w:tab w:val="clear" w:pos="284"/>
        </w:tabs>
        <w:spacing w:after="0" w:line="240" w:lineRule="auto"/>
        <w:rPr>
          <w:lang w:eastAsia="en-NZ"/>
        </w:rPr>
      </w:pPr>
    </w:p>
    <w:p w:rsidR="009C074B" w:rsidRDefault="00291118" w:rsidP="009C074B">
      <w:pPr>
        <w:pStyle w:val="Bullet1"/>
        <w:numPr>
          <w:ilvl w:val="0"/>
          <w:numId w:val="0"/>
        </w:numPr>
        <w:tabs>
          <w:tab w:val="clear" w:pos="284"/>
        </w:tabs>
        <w:spacing w:after="0" w:line="240" w:lineRule="auto"/>
        <w:rPr>
          <w:lang w:eastAsia="en-NZ"/>
        </w:rPr>
      </w:pPr>
      <w:hyperlink r:id="rId22" w:history="1">
        <w:r w:rsidR="009C074B" w:rsidRPr="009B65AA">
          <w:rPr>
            <w:rStyle w:val="Hyperlink"/>
            <w:lang w:eastAsia="en-NZ"/>
          </w:rPr>
          <w:t>http://www.educationcounts.govt.nz/publications/tertiary_education/going-abroad-what-do-we-know-about-people-going-overseas-after-tertiary-study</w:t>
        </w:r>
      </w:hyperlink>
      <w:r w:rsidR="009C074B">
        <w:rPr>
          <w:lang w:eastAsia="en-NZ"/>
        </w:rPr>
        <w:t xml:space="preserve"> </w:t>
      </w:r>
    </w:p>
    <w:p w:rsidR="009C074B" w:rsidRPr="00923746" w:rsidRDefault="009C074B" w:rsidP="009C074B">
      <w:pPr>
        <w:pStyle w:val="Bullet1"/>
        <w:numPr>
          <w:ilvl w:val="0"/>
          <w:numId w:val="0"/>
        </w:numPr>
        <w:tabs>
          <w:tab w:val="clear" w:pos="284"/>
        </w:tabs>
        <w:spacing w:after="0" w:line="240" w:lineRule="auto"/>
        <w:rPr>
          <w:lang w:eastAsia="en-NZ"/>
        </w:rPr>
      </w:pPr>
    </w:p>
    <w:p w:rsidR="009C074B" w:rsidRDefault="00AF7AD4" w:rsidP="009C074B">
      <w:pPr>
        <w:pStyle w:val="Bullet1"/>
        <w:numPr>
          <w:ilvl w:val="0"/>
          <w:numId w:val="0"/>
        </w:numPr>
        <w:tabs>
          <w:tab w:val="clear" w:pos="284"/>
        </w:tabs>
        <w:spacing w:after="0" w:line="240" w:lineRule="auto"/>
        <w:rPr>
          <w:lang w:eastAsia="en-NZ"/>
        </w:rPr>
      </w:pPr>
      <w:r>
        <w:rPr>
          <w:lang w:eastAsia="en-NZ"/>
        </w:rPr>
        <w:t>T</w:t>
      </w:r>
      <w:r w:rsidR="009C074B">
        <w:rPr>
          <w:lang w:eastAsia="en-NZ"/>
        </w:rPr>
        <w:t>hese reports show that:</w:t>
      </w:r>
    </w:p>
    <w:p w:rsidR="009C074B" w:rsidRDefault="009C074B" w:rsidP="009C074B">
      <w:pPr>
        <w:pStyle w:val="Bullet1"/>
        <w:numPr>
          <w:ilvl w:val="0"/>
          <w:numId w:val="0"/>
        </w:numPr>
        <w:tabs>
          <w:tab w:val="clear" w:pos="284"/>
        </w:tabs>
        <w:spacing w:after="0" w:line="240" w:lineRule="auto"/>
        <w:rPr>
          <w:lang w:eastAsia="en-NZ"/>
        </w:rPr>
      </w:pPr>
    </w:p>
    <w:p w:rsidR="009C074B" w:rsidRDefault="00622602" w:rsidP="009C074B">
      <w:pPr>
        <w:pStyle w:val="Bullet1"/>
        <w:numPr>
          <w:ilvl w:val="6"/>
          <w:numId w:val="33"/>
        </w:numPr>
        <w:tabs>
          <w:tab w:val="clear" w:pos="284"/>
          <w:tab w:val="clear" w:pos="5777"/>
        </w:tabs>
        <w:spacing w:after="0" w:line="240" w:lineRule="auto"/>
        <w:ind w:left="567" w:hanging="567"/>
        <w:rPr>
          <w:lang w:eastAsia="en-NZ"/>
        </w:rPr>
      </w:pPr>
      <w:r w:rsidRPr="00622602">
        <w:rPr>
          <w:i/>
          <w:lang w:eastAsia="en-NZ"/>
        </w:rPr>
        <w:t>The likelihood that a graduate goes overseas increases with increasing qualification level.</w:t>
      </w:r>
      <w:r w:rsidR="009C074B">
        <w:rPr>
          <w:lang w:eastAsia="en-NZ"/>
        </w:rPr>
        <w:t xml:space="preserve">  For example, Papadopoulos found t</w:t>
      </w:r>
      <w:r w:rsidR="009C074B">
        <w:t>hat</w:t>
      </w:r>
      <w:r w:rsidR="00AF7AD4">
        <w:t>,</w:t>
      </w:r>
      <w:r w:rsidR="009C074B">
        <w:t xml:space="preserve"> of those who graduated in 2003, the percentage </w:t>
      </w:r>
      <w:r w:rsidR="00AF7AD4">
        <w:t xml:space="preserve">who </w:t>
      </w:r>
      <w:r w:rsidR="009C074B" w:rsidRPr="00E04A58">
        <w:t xml:space="preserve">left New Zealand over the following seven years </w:t>
      </w:r>
      <w:r w:rsidR="009C074B">
        <w:t xml:space="preserve">was strongly associated with the level of their qualification and varied from </w:t>
      </w:r>
      <w:r w:rsidR="009C074B">
        <w:rPr>
          <w:lang w:eastAsia="en-NZ"/>
        </w:rPr>
        <w:t>19 percent of</w:t>
      </w:r>
      <w:r w:rsidR="009C074B" w:rsidRPr="00E04A58">
        <w:rPr>
          <w:lang w:eastAsia="en-NZ"/>
        </w:rPr>
        <w:t xml:space="preserve"> those graduating with a </w:t>
      </w:r>
      <w:r w:rsidR="009C074B">
        <w:rPr>
          <w:lang w:eastAsia="en-NZ"/>
        </w:rPr>
        <w:t>level 1–3 certificate to 48</w:t>
      </w:r>
      <w:r w:rsidR="009C074B" w:rsidRPr="00E04A58">
        <w:rPr>
          <w:lang w:eastAsia="en-NZ"/>
        </w:rPr>
        <w:t xml:space="preserve"> percent of those graduating with a doctorate</w:t>
      </w:r>
      <w:r w:rsidR="00B23888">
        <w:rPr>
          <w:rStyle w:val="FootnoteReference"/>
          <w:lang w:eastAsia="en-NZ"/>
        </w:rPr>
        <w:footnoteReference w:id="7"/>
      </w:r>
      <w:r w:rsidR="00AF7AD4">
        <w:rPr>
          <w:lang w:eastAsia="en-NZ"/>
        </w:rPr>
        <w:t>.</w:t>
      </w:r>
    </w:p>
    <w:p w:rsidR="009C074B" w:rsidRDefault="009C074B" w:rsidP="009C074B">
      <w:pPr>
        <w:pStyle w:val="Bullet1"/>
        <w:numPr>
          <w:ilvl w:val="0"/>
          <w:numId w:val="0"/>
        </w:numPr>
        <w:tabs>
          <w:tab w:val="clear" w:pos="284"/>
        </w:tabs>
        <w:spacing w:after="0" w:line="240" w:lineRule="auto"/>
        <w:ind w:left="567"/>
        <w:rPr>
          <w:lang w:eastAsia="en-NZ"/>
        </w:rPr>
      </w:pPr>
    </w:p>
    <w:p w:rsidR="009C074B" w:rsidRPr="00AF7AD4" w:rsidRDefault="00622602" w:rsidP="009C074B">
      <w:pPr>
        <w:pStyle w:val="Bullet1"/>
        <w:numPr>
          <w:ilvl w:val="6"/>
          <w:numId w:val="33"/>
        </w:numPr>
        <w:tabs>
          <w:tab w:val="clear" w:pos="284"/>
          <w:tab w:val="clear" w:pos="5777"/>
        </w:tabs>
        <w:spacing w:after="0" w:line="240" w:lineRule="auto"/>
        <w:ind w:left="567" w:hanging="567"/>
        <w:rPr>
          <w:i/>
          <w:lang w:eastAsia="en-NZ"/>
        </w:rPr>
      </w:pPr>
      <w:r w:rsidRPr="00622602">
        <w:rPr>
          <w:i/>
          <w:lang w:eastAsia="en-NZ"/>
        </w:rPr>
        <w:t xml:space="preserve">Graduates </w:t>
      </w:r>
      <w:r w:rsidR="00AF7AD4">
        <w:rPr>
          <w:i/>
          <w:lang w:eastAsia="en-NZ"/>
        </w:rPr>
        <w:t>with</w:t>
      </w:r>
      <w:r w:rsidRPr="00622602">
        <w:rPr>
          <w:i/>
          <w:lang w:eastAsia="en-NZ"/>
        </w:rPr>
        <w:t xml:space="preserve"> bachelor</w:t>
      </w:r>
      <w:r w:rsidR="00AF7AD4">
        <w:rPr>
          <w:i/>
          <w:lang w:eastAsia="en-NZ"/>
        </w:rPr>
        <w:t>s</w:t>
      </w:r>
      <w:r w:rsidRPr="00622602">
        <w:rPr>
          <w:i/>
          <w:lang w:eastAsia="en-NZ"/>
        </w:rPr>
        <w:t xml:space="preserve"> and po</w:t>
      </w:r>
      <w:r w:rsidR="00A146E0">
        <w:rPr>
          <w:i/>
          <w:lang w:eastAsia="en-NZ"/>
        </w:rPr>
        <w:t>stgraduate qualifications tend</w:t>
      </w:r>
      <w:r w:rsidRPr="00622602">
        <w:rPr>
          <w:i/>
          <w:lang w:eastAsia="en-NZ"/>
        </w:rPr>
        <w:t xml:space="preserve"> to go overseas</w:t>
      </w:r>
    </w:p>
    <w:p w:rsidR="009C074B" w:rsidRPr="00913905" w:rsidRDefault="00622602" w:rsidP="009C074B">
      <w:pPr>
        <w:autoSpaceDE w:val="0"/>
        <w:autoSpaceDN w:val="0"/>
        <w:adjustRightInd w:val="0"/>
        <w:ind w:left="567"/>
        <w:rPr>
          <w:szCs w:val="20"/>
          <w:lang w:eastAsia="en-NZ"/>
        </w:rPr>
      </w:pPr>
      <w:r w:rsidRPr="00622602">
        <w:rPr>
          <w:i/>
          <w:szCs w:val="20"/>
          <w:lang w:eastAsia="en-NZ"/>
        </w:rPr>
        <w:t>straight after graduation or after a few years in the workforce.</w:t>
      </w:r>
      <w:r w:rsidR="009C074B" w:rsidRPr="00913905">
        <w:rPr>
          <w:szCs w:val="20"/>
          <w:lang w:eastAsia="en-NZ"/>
        </w:rPr>
        <w:t xml:space="preserve"> In comparison,</w:t>
      </w:r>
    </w:p>
    <w:p w:rsidR="009C074B" w:rsidRDefault="009C074B" w:rsidP="009C074B">
      <w:pPr>
        <w:autoSpaceDE w:val="0"/>
        <w:autoSpaceDN w:val="0"/>
        <w:adjustRightInd w:val="0"/>
        <w:ind w:left="567"/>
        <w:rPr>
          <w:szCs w:val="20"/>
          <w:lang w:eastAsia="en-NZ"/>
        </w:rPr>
      </w:pPr>
      <w:r w:rsidRPr="00913905">
        <w:rPr>
          <w:szCs w:val="20"/>
          <w:lang w:eastAsia="en-NZ"/>
        </w:rPr>
        <w:t>graduates in l</w:t>
      </w:r>
      <w:r w:rsidR="00A146E0">
        <w:rPr>
          <w:szCs w:val="20"/>
          <w:lang w:eastAsia="en-NZ"/>
        </w:rPr>
        <w:t>ower level qualifications tend</w:t>
      </w:r>
      <w:r w:rsidRPr="00913905">
        <w:rPr>
          <w:szCs w:val="20"/>
          <w:lang w:eastAsia="en-NZ"/>
        </w:rPr>
        <w:t xml:space="preserve"> to leave at a more consistent rate</w:t>
      </w:r>
      <w:r w:rsidR="00043666">
        <w:rPr>
          <w:szCs w:val="20"/>
          <w:lang w:eastAsia="en-NZ"/>
        </w:rPr>
        <w:t>.</w:t>
      </w:r>
    </w:p>
    <w:p w:rsidR="009C074B" w:rsidRPr="00913905" w:rsidRDefault="009C074B" w:rsidP="009C074B">
      <w:pPr>
        <w:autoSpaceDE w:val="0"/>
        <w:autoSpaceDN w:val="0"/>
        <w:adjustRightInd w:val="0"/>
        <w:ind w:left="567"/>
        <w:rPr>
          <w:szCs w:val="20"/>
          <w:lang w:eastAsia="en-NZ"/>
        </w:rPr>
      </w:pPr>
    </w:p>
    <w:p w:rsidR="009C074B" w:rsidRPr="00AF7AD4" w:rsidRDefault="00622602" w:rsidP="009C074B">
      <w:pPr>
        <w:pStyle w:val="Bullet1"/>
        <w:numPr>
          <w:ilvl w:val="6"/>
          <w:numId w:val="33"/>
        </w:numPr>
        <w:tabs>
          <w:tab w:val="clear" w:pos="284"/>
          <w:tab w:val="clear" w:pos="5777"/>
        </w:tabs>
        <w:spacing w:after="0" w:line="240" w:lineRule="auto"/>
        <w:ind w:left="567" w:hanging="567"/>
        <w:rPr>
          <w:i/>
          <w:lang w:eastAsia="en-NZ"/>
        </w:rPr>
      </w:pPr>
      <w:r w:rsidRPr="00622602">
        <w:rPr>
          <w:i/>
          <w:lang w:eastAsia="en-NZ"/>
        </w:rPr>
        <w:t>The proportion of graduates who go overseas flattens off over time, with signs that a peak has been reached or nearly reached around five to six years after graduation.</w:t>
      </w:r>
      <w:r w:rsidR="00043666">
        <w:rPr>
          <w:i/>
          <w:lang w:eastAsia="en-NZ"/>
        </w:rPr>
        <w:t xml:space="preserve">  </w:t>
      </w:r>
      <w:r w:rsidR="00043666">
        <w:rPr>
          <w:lang w:eastAsia="en-NZ"/>
        </w:rPr>
        <w:t>Papadopoulos also found that of those graduates who went overseas in the first two years post study, around a quarter were back in New Zealand four years after leaving.</w:t>
      </w:r>
    </w:p>
    <w:p w:rsidR="009C074B" w:rsidRDefault="009C074B" w:rsidP="009C074B">
      <w:pPr>
        <w:pStyle w:val="Bullet1"/>
        <w:numPr>
          <w:ilvl w:val="0"/>
          <w:numId w:val="0"/>
        </w:numPr>
        <w:tabs>
          <w:tab w:val="clear" w:pos="284"/>
        </w:tabs>
        <w:spacing w:after="0" w:line="240" w:lineRule="auto"/>
        <w:rPr>
          <w:lang w:eastAsia="en-NZ"/>
        </w:rPr>
      </w:pPr>
    </w:p>
    <w:p w:rsidR="009C074B" w:rsidRDefault="009C074B" w:rsidP="009C074B">
      <w:pPr>
        <w:pStyle w:val="Bullet1"/>
        <w:numPr>
          <w:ilvl w:val="0"/>
          <w:numId w:val="0"/>
        </w:numPr>
        <w:tabs>
          <w:tab w:val="clear" w:pos="284"/>
        </w:tabs>
        <w:spacing w:after="0" w:line="240" w:lineRule="auto"/>
        <w:rPr>
          <w:lang w:eastAsia="en-NZ"/>
        </w:rPr>
      </w:pPr>
      <w:r>
        <w:rPr>
          <w:lang w:eastAsia="en-NZ"/>
        </w:rPr>
        <w:t xml:space="preserve">These reports also show that 25-34 year olds with student loans </w:t>
      </w:r>
      <w:r w:rsidR="00AF7AD4">
        <w:rPr>
          <w:lang w:eastAsia="en-NZ"/>
        </w:rPr>
        <w:t>are more likely to go</w:t>
      </w:r>
      <w:r>
        <w:rPr>
          <w:lang w:eastAsia="en-NZ"/>
        </w:rPr>
        <w:t xml:space="preserve"> overseas than </w:t>
      </w:r>
      <w:r w:rsidR="00AF7AD4">
        <w:rPr>
          <w:lang w:eastAsia="en-NZ"/>
        </w:rPr>
        <w:t xml:space="preserve">graduates </w:t>
      </w:r>
      <w:r>
        <w:rPr>
          <w:lang w:eastAsia="en-NZ"/>
        </w:rPr>
        <w:t>of other ages (Smyth and Spackman, 2012), and the likelihood of going overseas is higher for younger graduates (Papadopoulos, 2012).  Because the data in our tables is for young graduates only, t</w:t>
      </w:r>
      <w:r w:rsidRPr="00ED03E8">
        <w:rPr>
          <w:lang w:eastAsia="en-NZ"/>
        </w:rPr>
        <w:t xml:space="preserve">he overseas rates will </w:t>
      </w:r>
      <w:r>
        <w:rPr>
          <w:lang w:eastAsia="en-NZ"/>
        </w:rPr>
        <w:t xml:space="preserve">thus </w:t>
      </w:r>
      <w:r w:rsidRPr="00ED03E8">
        <w:rPr>
          <w:lang w:eastAsia="en-NZ"/>
        </w:rPr>
        <w:t xml:space="preserve">be higher than those for graduates of all ages.  </w:t>
      </w:r>
    </w:p>
    <w:p w:rsidR="009C074B" w:rsidRPr="00ED03E8" w:rsidRDefault="009C074B" w:rsidP="009C074B">
      <w:pPr>
        <w:pStyle w:val="Bullet1"/>
        <w:numPr>
          <w:ilvl w:val="0"/>
          <w:numId w:val="0"/>
        </w:numPr>
        <w:tabs>
          <w:tab w:val="clear" w:pos="284"/>
        </w:tabs>
        <w:spacing w:after="0" w:line="240" w:lineRule="auto"/>
        <w:rPr>
          <w:lang w:eastAsia="en-NZ"/>
        </w:rPr>
      </w:pPr>
    </w:p>
    <w:p w:rsidR="00DE508E" w:rsidRPr="00ED03E8" w:rsidRDefault="00DE508E" w:rsidP="00DE508E">
      <w:pPr>
        <w:pStyle w:val="BodyText"/>
        <w:rPr>
          <w:lang w:eastAsia="en-NZ"/>
        </w:rPr>
      </w:pPr>
      <w:r w:rsidRPr="00ED03E8">
        <w:rPr>
          <w:lang w:eastAsia="en-NZ"/>
        </w:rPr>
        <w:t xml:space="preserve">Table </w:t>
      </w:r>
      <w:r w:rsidR="0027120B">
        <w:rPr>
          <w:lang w:eastAsia="en-NZ"/>
        </w:rPr>
        <w:t>2</w:t>
      </w:r>
      <w:r>
        <w:rPr>
          <w:lang w:eastAsia="en-NZ"/>
        </w:rPr>
        <w:t xml:space="preserve"> (see next page</w:t>
      </w:r>
      <w:r w:rsidRPr="00ED03E8">
        <w:rPr>
          <w:lang w:eastAsia="en-NZ"/>
        </w:rPr>
        <w:t xml:space="preserve">) </w:t>
      </w:r>
      <w:r>
        <w:rPr>
          <w:lang w:eastAsia="en-NZ"/>
        </w:rPr>
        <w:t>and Figure</w:t>
      </w:r>
      <w:r w:rsidR="0027120B">
        <w:rPr>
          <w:lang w:eastAsia="en-NZ"/>
        </w:rPr>
        <w:t>s</w:t>
      </w:r>
      <w:r>
        <w:rPr>
          <w:lang w:eastAsia="en-NZ"/>
        </w:rPr>
        <w:t xml:space="preserve"> 2</w:t>
      </w:r>
      <w:r w:rsidR="0027120B">
        <w:rPr>
          <w:lang w:eastAsia="en-NZ"/>
        </w:rPr>
        <w:t>a and 2b</w:t>
      </w:r>
      <w:r>
        <w:rPr>
          <w:lang w:eastAsia="en-NZ"/>
        </w:rPr>
        <w:t xml:space="preserve"> </w:t>
      </w:r>
      <w:r w:rsidRPr="00ED03E8">
        <w:rPr>
          <w:lang w:eastAsia="en-NZ"/>
        </w:rPr>
        <w:t xml:space="preserve">show the proportion of graduates who are overseas for 9 months or more in a year at any point of time.  If we look at those recorded as overseas </w:t>
      </w:r>
      <w:r w:rsidR="002C52ED">
        <w:rPr>
          <w:lang w:eastAsia="en-NZ"/>
        </w:rPr>
        <w:t xml:space="preserve">in any particular year, some people will have been overseas for </w:t>
      </w:r>
      <w:r w:rsidRPr="00ED03E8">
        <w:rPr>
          <w:lang w:eastAsia="en-NZ"/>
        </w:rPr>
        <w:t xml:space="preserve">several years </w:t>
      </w:r>
      <w:r w:rsidR="002C52ED">
        <w:rPr>
          <w:lang w:eastAsia="en-NZ"/>
        </w:rPr>
        <w:t xml:space="preserve">and may be considering returning </w:t>
      </w:r>
      <w:r w:rsidRPr="00ED03E8">
        <w:rPr>
          <w:lang w:eastAsia="en-NZ"/>
        </w:rPr>
        <w:t xml:space="preserve">while others will be at the start of their OE. </w:t>
      </w:r>
      <w:r w:rsidR="002C52ED">
        <w:rPr>
          <w:lang w:eastAsia="en-NZ"/>
        </w:rPr>
        <w:t xml:space="preserve"> In other words, there is movement both ways in the graduate population that is overseas </w:t>
      </w:r>
      <w:r w:rsidR="00A54D60">
        <w:rPr>
          <w:lang w:eastAsia="en-NZ"/>
        </w:rPr>
        <w:t>at any parti</w:t>
      </w:r>
      <w:r w:rsidR="006F3F16">
        <w:rPr>
          <w:lang w:eastAsia="en-NZ"/>
        </w:rPr>
        <w:t>c</w:t>
      </w:r>
      <w:r w:rsidR="00A54D60">
        <w:rPr>
          <w:lang w:eastAsia="en-NZ"/>
        </w:rPr>
        <w:t>u</w:t>
      </w:r>
      <w:r w:rsidR="006F3F16">
        <w:rPr>
          <w:lang w:eastAsia="en-NZ"/>
        </w:rPr>
        <w:t>lar point</w:t>
      </w:r>
      <w:r w:rsidR="00A54D60">
        <w:rPr>
          <w:lang w:eastAsia="en-NZ"/>
        </w:rPr>
        <w:t xml:space="preserve"> as graduates both leave and return to New Zealand.</w:t>
      </w:r>
    </w:p>
    <w:p w:rsidR="00B612FC" w:rsidRDefault="00B612FC">
      <w:pPr>
        <w:rPr>
          <w:szCs w:val="20"/>
          <w:lang w:eastAsia="en-NZ"/>
        </w:rPr>
      </w:pPr>
      <w:r>
        <w:rPr>
          <w:lang w:eastAsia="en-NZ"/>
        </w:rPr>
        <w:br w:type="page"/>
      </w:r>
    </w:p>
    <w:p w:rsidR="009C074B" w:rsidRPr="003A1A2E" w:rsidRDefault="009C074B" w:rsidP="009C074B">
      <w:pPr>
        <w:pStyle w:val="Caption"/>
      </w:pPr>
      <w:r>
        <w:lastRenderedPageBreak/>
        <w:t>T</w:t>
      </w:r>
      <w:r w:rsidRPr="003A1A2E">
        <w:t xml:space="preserve">able </w:t>
      </w:r>
      <w:r w:rsidR="0027120B">
        <w:t>2</w:t>
      </w:r>
    </w:p>
    <w:p w:rsidR="009C074B" w:rsidRPr="00CF0181" w:rsidRDefault="009C074B" w:rsidP="009C074B">
      <w:pPr>
        <w:pStyle w:val="Tablelabel"/>
      </w:pPr>
      <w:bookmarkStart w:id="15" w:name="_Toc387134516"/>
      <w:r w:rsidRPr="00CF0181">
        <w:t>Percentage of young domestic graduates who were overseas for 9 months or more in a year, in the first to seventh years afte</w:t>
      </w:r>
      <w:r>
        <w:t>r study by qualification level</w:t>
      </w:r>
      <w:bookmarkEnd w:id="15"/>
    </w:p>
    <w:tbl>
      <w:tblPr>
        <w:tblW w:w="5000" w:type="pct"/>
        <w:tblLook w:val="04A0"/>
      </w:tblPr>
      <w:tblGrid>
        <w:gridCol w:w="3817"/>
        <w:gridCol w:w="699"/>
        <w:gridCol w:w="699"/>
        <w:gridCol w:w="699"/>
        <w:gridCol w:w="701"/>
        <w:gridCol w:w="701"/>
        <w:gridCol w:w="703"/>
        <w:gridCol w:w="701"/>
      </w:tblGrid>
      <w:tr w:rsidR="009C074B" w:rsidRPr="00AA6192" w:rsidTr="009C074B">
        <w:trPr>
          <w:trHeight w:val="235"/>
        </w:trPr>
        <w:tc>
          <w:tcPr>
            <w:tcW w:w="2188" w:type="pct"/>
            <w:vMerge w:val="restart"/>
            <w:tcBorders>
              <w:top w:val="single" w:sz="4" w:space="0" w:color="auto"/>
              <w:left w:val="single" w:sz="4" w:space="0" w:color="auto"/>
              <w:right w:val="single" w:sz="4" w:space="0" w:color="auto"/>
            </w:tcBorders>
            <w:vAlign w:val="center"/>
          </w:tcPr>
          <w:p w:rsidR="009C074B" w:rsidRDefault="009C074B" w:rsidP="009C074B">
            <w:pPr>
              <w:pStyle w:val="Tableheading"/>
              <w:rPr>
                <w:lang w:eastAsia="en-NZ"/>
              </w:rPr>
            </w:pPr>
            <w:r>
              <w:rPr>
                <w:lang w:eastAsia="en-NZ"/>
              </w:rPr>
              <w:t>Qualification level</w:t>
            </w:r>
          </w:p>
        </w:tc>
        <w:tc>
          <w:tcPr>
            <w:tcW w:w="2812" w:type="pct"/>
            <w:gridSpan w:val="7"/>
            <w:tcBorders>
              <w:top w:val="single" w:sz="4" w:space="0" w:color="auto"/>
              <w:left w:val="single" w:sz="4" w:space="0" w:color="auto"/>
              <w:bottom w:val="single" w:sz="4" w:space="0" w:color="auto"/>
              <w:right w:val="single" w:sz="4" w:space="0" w:color="auto"/>
            </w:tcBorders>
            <w:shd w:val="clear" w:color="auto" w:fill="auto"/>
            <w:noWrap/>
            <w:hideMark/>
          </w:tcPr>
          <w:p w:rsidR="009C074B" w:rsidRDefault="009C074B" w:rsidP="009C074B">
            <w:pPr>
              <w:pStyle w:val="Tableheading"/>
              <w:rPr>
                <w:lang w:eastAsia="en-NZ"/>
              </w:rPr>
            </w:pPr>
            <w:r>
              <w:rPr>
                <w:lang w:eastAsia="en-NZ"/>
              </w:rPr>
              <w:t>Years after study</w:t>
            </w:r>
          </w:p>
        </w:tc>
      </w:tr>
      <w:tr w:rsidR="009C074B" w:rsidRPr="00AA6192" w:rsidTr="009C074B">
        <w:trPr>
          <w:trHeight w:val="235"/>
        </w:trPr>
        <w:tc>
          <w:tcPr>
            <w:tcW w:w="2188" w:type="pct"/>
            <w:vMerge/>
            <w:tcBorders>
              <w:left w:val="single" w:sz="4" w:space="0" w:color="auto"/>
              <w:bottom w:val="single" w:sz="4" w:space="0" w:color="auto"/>
              <w:right w:val="single" w:sz="4" w:space="0" w:color="auto"/>
            </w:tcBorders>
          </w:tcPr>
          <w:p w:rsidR="009C074B" w:rsidRPr="00987837" w:rsidRDefault="009C074B" w:rsidP="009C074B">
            <w:pPr>
              <w:pStyle w:val="Tableheading"/>
              <w:rPr>
                <w:lang w:eastAsia="en-NZ"/>
              </w:rPr>
            </w:pP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074B" w:rsidRPr="00604DDD" w:rsidRDefault="009C074B" w:rsidP="009C074B">
            <w:pPr>
              <w:pStyle w:val="Tableheading"/>
              <w:rPr>
                <w:sz w:val="14"/>
                <w:szCs w:val="14"/>
                <w:lang w:eastAsia="en-NZ"/>
              </w:rPr>
            </w:pPr>
            <w:r>
              <w:rPr>
                <w:sz w:val="14"/>
                <w:szCs w:val="14"/>
                <w:lang w:eastAsia="en-NZ"/>
              </w:rPr>
              <w:t>One</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074B" w:rsidRPr="00604DDD" w:rsidRDefault="009C074B" w:rsidP="009C074B">
            <w:pPr>
              <w:pStyle w:val="Tableheading"/>
              <w:rPr>
                <w:sz w:val="14"/>
                <w:szCs w:val="14"/>
                <w:lang w:eastAsia="en-NZ"/>
              </w:rPr>
            </w:pPr>
            <w:r>
              <w:rPr>
                <w:sz w:val="14"/>
                <w:szCs w:val="14"/>
                <w:lang w:eastAsia="en-NZ"/>
              </w:rPr>
              <w:t>Two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074B" w:rsidRPr="00604DDD" w:rsidRDefault="009C074B" w:rsidP="009C074B">
            <w:pPr>
              <w:pStyle w:val="Tableheading"/>
              <w:rPr>
                <w:sz w:val="14"/>
                <w:szCs w:val="14"/>
                <w:lang w:eastAsia="en-NZ"/>
              </w:rPr>
            </w:pPr>
            <w:r>
              <w:rPr>
                <w:sz w:val="14"/>
                <w:szCs w:val="14"/>
                <w:lang w:eastAsia="en-NZ"/>
              </w:rPr>
              <w:t>Three</w:t>
            </w:r>
          </w:p>
        </w:tc>
        <w:tc>
          <w:tcPr>
            <w:tcW w:w="402" w:type="pct"/>
            <w:tcBorders>
              <w:top w:val="single" w:sz="4" w:space="0" w:color="auto"/>
              <w:left w:val="single" w:sz="4" w:space="0" w:color="auto"/>
              <w:bottom w:val="single" w:sz="4" w:space="0" w:color="auto"/>
              <w:right w:val="single" w:sz="4" w:space="0" w:color="auto"/>
            </w:tcBorders>
            <w:vAlign w:val="center"/>
          </w:tcPr>
          <w:p w:rsidR="009C074B" w:rsidRPr="00604DDD" w:rsidRDefault="009C074B" w:rsidP="009C074B">
            <w:pPr>
              <w:pStyle w:val="Tableheading"/>
              <w:rPr>
                <w:sz w:val="14"/>
                <w:szCs w:val="14"/>
                <w:lang w:eastAsia="en-NZ"/>
              </w:rPr>
            </w:pPr>
            <w:r>
              <w:rPr>
                <w:sz w:val="14"/>
                <w:szCs w:val="14"/>
                <w:lang w:eastAsia="en-NZ"/>
              </w:rPr>
              <w:t>Four</w:t>
            </w:r>
          </w:p>
        </w:tc>
        <w:tc>
          <w:tcPr>
            <w:tcW w:w="402" w:type="pct"/>
            <w:tcBorders>
              <w:top w:val="single" w:sz="4" w:space="0" w:color="auto"/>
              <w:left w:val="single" w:sz="4" w:space="0" w:color="auto"/>
              <w:bottom w:val="single" w:sz="4" w:space="0" w:color="auto"/>
              <w:right w:val="single" w:sz="4" w:space="0" w:color="auto"/>
            </w:tcBorders>
          </w:tcPr>
          <w:p w:rsidR="009C074B" w:rsidRPr="00604DDD" w:rsidRDefault="009C074B" w:rsidP="009C074B">
            <w:pPr>
              <w:pStyle w:val="Tableheading"/>
              <w:rPr>
                <w:sz w:val="14"/>
                <w:szCs w:val="14"/>
                <w:lang w:eastAsia="en-NZ"/>
              </w:rPr>
            </w:pPr>
            <w:r>
              <w:rPr>
                <w:sz w:val="14"/>
                <w:szCs w:val="14"/>
                <w:lang w:eastAsia="en-NZ"/>
              </w:rPr>
              <w:t>Five</w:t>
            </w:r>
          </w:p>
        </w:tc>
        <w:tc>
          <w:tcPr>
            <w:tcW w:w="403" w:type="pct"/>
            <w:tcBorders>
              <w:top w:val="single" w:sz="4" w:space="0" w:color="auto"/>
              <w:left w:val="single" w:sz="4" w:space="0" w:color="auto"/>
              <w:bottom w:val="single" w:sz="4" w:space="0" w:color="auto"/>
              <w:right w:val="single" w:sz="4" w:space="0" w:color="auto"/>
            </w:tcBorders>
          </w:tcPr>
          <w:p w:rsidR="009C074B" w:rsidRPr="00604DDD" w:rsidRDefault="009C074B" w:rsidP="009C074B">
            <w:pPr>
              <w:pStyle w:val="Tableheading"/>
              <w:rPr>
                <w:sz w:val="14"/>
                <w:szCs w:val="14"/>
                <w:lang w:eastAsia="en-NZ"/>
              </w:rPr>
            </w:pPr>
            <w:r>
              <w:rPr>
                <w:sz w:val="14"/>
                <w:szCs w:val="14"/>
                <w:lang w:eastAsia="en-NZ"/>
              </w:rPr>
              <w:t>Six</w:t>
            </w:r>
          </w:p>
        </w:tc>
        <w:tc>
          <w:tcPr>
            <w:tcW w:w="402" w:type="pct"/>
            <w:tcBorders>
              <w:top w:val="single" w:sz="4" w:space="0" w:color="auto"/>
              <w:left w:val="single" w:sz="4" w:space="0" w:color="auto"/>
              <w:bottom w:val="single" w:sz="4" w:space="0" w:color="auto"/>
              <w:right w:val="single" w:sz="4" w:space="0" w:color="auto"/>
            </w:tcBorders>
          </w:tcPr>
          <w:p w:rsidR="009C074B" w:rsidRDefault="009C074B" w:rsidP="009C074B">
            <w:pPr>
              <w:pStyle w:val="Tableheading"/>
              <w:rPr>
                <w:sz w:val="14"/>
                <w:szCs w:val="14"/>
                <w:lang w:eastAsia="en-NZ"/>
              </w:rPr>
            </w:pPr>
            <w:r>
              <w:rPr>
                <w:sz w:val="14"/>
                <w:szCs w:val="14"/>
                <w:lang w:eastAsia="en-NZ"/>
              </w:rPr>
              <w:t>Seven</w:t>
            </w:r>
          </w:p>
        </w:tc>
      </w:tr>
      <w:tr w:rsidR="009C074B" w:rsidRPr="00AA6192" w:rsidTr="009C074B">
        <w:trPr>
          <w:trHeight w:val="235"/>
        </w:trPr>
        <w:tc>
          <w:tcPr>
            <w:tcW w:w="2188" w:type="pct"/>
            <w:tcBorders>
              <w:top w:val="single" w:sz="4" w:space="0" w:color="auto"/>
              <w:left w:val="single" w:sz="4" w:space="0" w:color="auto"/>
              <w:bottom w:val="nil"/>
              <w:right w:val="single" w:sz="4" w:space="0" w:color="auto"/>
            </w:tcBorders>
            <w:vAlign w:val="center"/>
          </w:tcPr>
          <w:p w:rsidR="009C074B" w:rsidRDefault="009C074B" w:rsidP="009C074B">
            <w:pPr>
              <w:rPr>
                <w:sz w:val="15"/>
                <w:szCs w:val="15"/>
              </w:rPr>
            </w:pPr>
            <w:r>
              <w:rPr>
                <w:sz w:val="15"/>
                <w:szCs w:val="15"/>
              </w:rPr>
              <w:t>Certificate at levels 1-3</w:t>
            </w:r>
          </w:p>
        </w:tc>
        <w:tc>
          <w:tcPr>
            <w:tcW w:w="401" w:type="pct"/>
            <w:tcBorders>
              <w:top w:val="single" w:sz="4" w:space="0" w:color="auto"/>
              <w:left w:val="single" w:sz="4" w:space="0" w:color="auto"/>
            </w:tcBorders>
            <w:shd w:val="clear" w:color="auto" w:fill="auto"/>
            <w:noWrap/>
            <w:vAlign w:val="center"/>
            <w:hideMark/>
          </w:tcPr>
          <w:p w:rsidR="009C074B" w:rsidRDefault="009C074B" w:rsidP="009C074B">
            <w:pPr>
              <w:jc w:val="center"/>
              <w:rPr>
                <w:sz w:val="15"/>
                <w:szCs w:val="15"/>
              </w:rPr>
            </w:pPr>
            <w:r>
              <w:rPr>
                <w:sz w:val="15"/>
                <w:szCs w:val="15"/>
              </w:rPr>
              <w:t>3%</w:t>
            </w:r>
          </w:p>
        </w:tc>
        <w:tc>
          <w:tcPr>
            <w:tcW w:w="401" w:type="pct"/>
            <w:tcBorders>
              <w:top w:val="single" w:sz="4" w:space="0" w:color="auto"/>
            </w:tcBorders>
            <w:shd w:val="clear" w:color="auto" w:fill="auto"/>
            <w:noWrap/>
            <w:vAlign w:val="center"/>
            <w:hideMark/>
          </w:tcPr>
          <w:p w:rsidR="009C074B" w:rsidRDefault="009C074B" w:rsidP="009C074B">
            <w:pPr>
              <w:jc w:val="center"/>
              <w:rPr>
                <w:sz w:val="15"/>
                <w:szCs w:val="15"/>
              </w:rPr>
            </w:pPr>
            <w:r>
              <w:rPr>
                <w:sz w:val="15"/>
                <w:szCs w:val="15"/>
              </w:rPr>
              <w:t>5%</w:t>
            </w:r>
          </w:p>
        </w:tc>
        <w:tc>
          <w:tcPr>
            <w:tcW w:w="401" w:type="pct"/>
            <w:tcBorders>
              <w:top w:val="single" w:sz="4" w:space="0" w:color="auto"/>
            </w:tcBorders>
            <w:shd w:val="clear" w:color="auto" w:fill="auto"/>
            <w:noWrap/>
            <w:vAlign w:val="center"/>
            <w:hideMark/>
          </w:tcPr>
          <w:p w:rsidR="009C074B" w:rsidRDefault="009C074B" w:rsidP="009C074B">
            <w:pPr>
              <w:jc w:val="center"/>
              <w:rPr>
                <w:sz w:val="15"/>
                <w:szCs w:val="15"/>
              </w:rPr>
            </w:pPr>
            <w:r>
              <w:rPr>
                <w:sz w:val="15"/>
                <w:szCs w:val="15"/>
              </w:rPr>
              <w:t>8%</w:t>
            </w:r>
          </w:p>
        </w:tc>
        <w:tc>
          <w:tcPr>
            <w:tcW w:w="402" w:type="pct"/>
            <w:tcBorders>
              <w:top w:val="single" w:sz="4" w:space="0" w:color="auto"/>
            </w:tcBorders>
            <w:vAlign w:val="center"/>
          </w:tcPr>
          <w:p w:rsidR="009C074B" w:rsidRDefault="009C074B" w:rsidP="009C074B">
            <w:pPr>
              <w:jc w:val="center"/>
              <w:rPr>
                <w:sz w:val="15"/>
                <w:szCs w:val="15"/>
              </w:rPr>
            </w:pPr>
            <w:r>
              <w:rPr>
                <w:sz w:val="15"/>
                <w:szCs w:val="15"/>
              </w:rPr>
              <w:t>10%</w:t>
            </w:r>
          </w:p>
        </w:tc>
        <w:tc>
          <w:tcPr>
            <w:tcW w:w="402" w:type="pct"/>
            <w:tcBorders>
              <w:top w:val="single" w:sz="4" w:space="0" w:color="auto"/>
            </w:tcBorders>
            <w:vAlign w:val="center"/>
          </w:tcPr>
          <w:p w:rsidR="009C074B" w:rsidRDefault="009C074B" w:rsidP="009C074B">
            <w:pPr>
              <w:jc w:val="center"/>
              <w:rPr>
                <w:sz w:val="15"/>
                <w:szCs w:val="15"/>
              </w:rPr>
            </w:pPr>
            <w:r>
              <w:rPr>
                <w:sz w:val="15"/>
                <w:szCs w:val="15"/>
              </w:rPr>
              <w:t>12%</w:t>
            </w:r>
          </w:p>
        </w:tc>
        <w:tc>
          <w:tcPr>
            <w:tcW w:w="403" w:type="pct"/>
            <w:tcBorders>
              <w:top w:val="single" w:sz="4" w:space="0" w:color="auto"/>
            </w:tcBorders>
            <w:vAlign w:val="center"/>
          </w:tcPr>
          <w:p w:rsidR="009C074B" w:rsidRDefault="009C074B" w:rsidP="009C074B">
            <w:pPr>
              <w:jc w:val="center"/>
              <w:rPr>
                <w:sz w:val="15"/>
                <w:szCs w:val="15"/>
              </w:rPr>
            </w:pPr>
            <w:r>
              <w:rPr>
                <w:sz w:val="15"/>
                <w:szCs w:val="15"/>
              </w:rPr>
              <w:t>15%</w:t>
            </w:r>
          </w:p>
        </w:tc>
        <w:tc>
          <w:tcPr>
            <w:tcW w:w="402" w:type="pct"/>
            <w:tcBorders>
              <w:top w:val="single" w:sz="4" w:space="0" w:color="auto"/>
              <w:right w:val="single" w:sz="4" w:space="0" w:color="auto"/>
            </w:tcBorders>
            <w:vAlign w:val="center"/>
          </w:tcPr>
          <w:p w:rsidR="009C074B" w:rsidRDefault="009C074B" w:rsidP="009C074B">
            <w:pPr>
              <w:jc w:val="center"/>
              <w:rPr>
                <w:sz w:val="15"/>
                <w:szCs w:val="15"/>
              </w:rPr>
            </w:pPr>
            <w:r>
              <w:rPr>
                <w:sz w:val="15"/>
                <w:szCs w:val="15"/>
              </w:rPr>
              <w:t>17%</w:t>
            </w:r>
          </w:p>
        </w:tc>
      </w:tr>
      <w:tr w:rsidR="009C074B" w:rsidRPr="00AA6192" w:rsidTr="009C074B">
        <w:trPr>
          <w:trHeight w:val="235"/>
        </w:trPr>
        <w:tc>
          <w:tcPr>
            <w:tcW w:w="2188" w:type="pct"/>
            <w:tcBorders>
              <w:left w:val="single" w:sz="4" w:space="0" w:color="auto"/>
              <w:bottom w:val="nil"/>
              <w:right w:val="single" w:sz="4" w:space="0" w:color="auto"/>
            </w:tcBorders>
            <w:vAlign w:val="center"/>
          </w:tcPr>
          <w:p w:rsidR="009C074B" w:rsidRDefault="009C074B" w:rsidP="009C074B">
            <w:pPr>
              <w:rPr>
                <w:sz w:val="15"/>
                <w:szCs w:val="15"/>
              </w:rPr>
            </w:pPr>
            <w:r>
              <w:rPr>
                <w:sz w:val="15"/>
                <w:szCs w:val="15"/>
              </w:rPr>
              <w:t>Certificate at level 4</w:t>
            </w:r>
          </w:p>
        </w:tc>
        <w:tc>
          <w:tcPr>
            <w:tcW w:w="401" w:type="pct"/>
            <w:tcBorders>
              <w:left w:val="single" w:sz="4" w:space="0" w:color="auto"/>
            </w:tcBorders>
            <w:shd w:val="clear" w:color="auto" w:fill="auto"/>
            <w:noWrap/>
            <w:vAlign w:val="center"/>
            <w:hideMark/>
          </w:tcPr>
          <w:p w:rsidR="009C074B" w:rsidRDefault="009C074B" w:rsidP="009C074B">
            <w:pPr>
              <w:jc w:val="center"/>
              <w:rPr>
                <w:sz w:val="15"/>
                <w:szCs w:val="15"/>
              </w:rPr>
            </w:pPr>
            <w:r>
              <w:rPr>
                <w:sz w:val="15"/>
                <w:szCs w:val="15"/>
              </w:rPr>
              <w:t>3%</w:t>
            </w:r>
          </w:p>
        </w:tc>
        <w:tc>
          <w:tcPr>
            <w:tcW w:w="401" w:type="pct"/>
            <w:shd w:val="clear" w:color="auto" w:fill="auto"/>
            <w:noWrap/>
            <w:vAlign w:val="center"/>
            <w:hideMark/>
          </w:tcPr>
          <w:p w:rsidR="009C074B" w:rsidRDefault="009C074B" w:rsidP="009C074B">
            <w:pPr>
              <w:jc w:val="center"/>
              <w:rPr>
                <w:sz w:val="15"/>
                <w:szCs w:val="15"/>
              </w:rPr>
            </w:pPr>
            <w:r>
              <w:rPr>
                <w:sz w:val="15"/>
                <w:szCs w:val="15"/>
              </w:rPr>
              <w:t>6%</w:t>
            </w:r>
          </w:p>
        </w:tc>
        <w:tc>
          <w:tcPr>
            <w:tcW w:w="401" w:type="pct"/>
            <w:shd w:val="clear" w:color="auto" w:fill="auto"/>
            <w:noWrap/>
            <w:vAlign w:val="center"/>
            <w:hideMark/>
          </w:tcPr>
          <w:p w:rsidR="009C074B" w:rsidRDefault="009C074B" w:rsidP="009C074B">
            <w:pPr>
              <w:jc w:val="center"/>
              <w:rPr>
                <w:sz w:val="15"/>
                <w:szCs w:val="15"/>
              </w:rPr>
            </w:pPr>
            <w:r>
              <w:rPr>
                <w:sz w:val="15"/>
                <w:szCs w:val="15"/>
              </w:rPr>
              <w:t>9%</w:t>
            </w:r>
          </w:p>
        </w:tc>
        <w:tc>
          <w:tcPr>
            <w:tcW w:w="402" w:type="pct"/>
            <w:vAlign w:val="center"/>
          </w:tcPr>
          <w:p w:rsidR="009C074B" w:rsidRDefault="009C074B" w:rsidP="009C074B">
            <w:pPr>
              <w:jc w:val="center"/>
              <w:rPr>
                <w:sz w:val="15"/>
                <w:szCs w:val="15"/>
              </w:rPr>
            </w:pPr>
            <w:r>
              <w:rPr>
                <w:sz w:val="15"/>
                <w:szCs w:val="15"/>
              </w:rPr>
              <w:t>12%</w:t>
            </w:r>
          </w:p>
        </w:tc>
        <w:tc>
          <w:tcPr>
            <w:tcW w:w="402" w:type="pct"/>
            <w:vAlign w:val="center"/>
          </w:tcPr>
          <w:p w:rsidR="009C074B" w:rsidRDefault="009C074B" w:rsidP="009C074B">
            <w:pPr>
              <w:jc w:val="center"/>
              <w:rPr>
                <w:sz w:val="15"/>
                <w:szCs w:val="15"/>
              </w:rPr>
            </w:pPr>
            <w:r>
              <w:rPr>
                <w:sz w:val="15"/>
                <w:szCs w:val="15"/>
              </w:rPr>
              <w:t>14%</w:t>
            </w:r>
          </w:p>
        </w:tc>
        <w:tc>
          <w:tcPr>
            <w:tcW w:w="403" w:type="pct"/>
            <w:vAlign w:val="center"/>
          </w:tcPr>
          <w:p w:rsidR="009C074B" w:rsidRDefault="009C074B" w:rsidP="009C074B">
            <w:pPr>
              <w:jc w:val="center"/>
              <w:rPr>
                <w:sz w:val="15"/>
                <w:szCs w:val="15"/>
              </w:rPr>
            </w:pPr>
            <w:r>
              <w:rPr>
                <w:sz w:val="15"/>
                <w:szCs w:val="15"/>
              </w:rPr>
              <w:t>17%</w:t>
            </w:r>
          </w:p>
        </w:tc>
        <w:tc>
          <w:tcPr>
            <w:tcW w:w="402" w:type="pct"/>
            <w:tcBorders>
              <w:right w:val="single" w:sz="4" w:space="0" w:color="auto"/>
            </w:tcBorders>
            <w:vAlign w:val="center"/>
          </w:tcPr>
          <w:p w:rsidR="009C074B" w:rsidRDefault="009C074B" w:rsidP="009C074B">
            <w:pPr>
              <w:jc w:val="center"/>
              <w:rPr>
                <w:sz w:val="15"/>
                <w:szCs w:val="15"/>
              </w:rPr>
            </w:pPr>
            <w:r>
              <w:rPr>
                <w:sz w:val="15"/>
                <w:szCs w:val="15"/>
              </w:rPr>
              <w:t>19%</w:t>
            </w:r>
          </w:p>
        </w:tc>
      </w:tr>
      <w:tr w:rsidR="009C074B" w:rsidRPr="00AA6192" w:rsidTr="009C074B">
        <w:trPr>
          <w:trHeight w:val="235"/>
        </w:trPr>
        <w:tc>
          <w:tcPr>
            <w:tcW w:w="2188" w:type="pct"/>
            <w:tcBorders>
              <w:left w:val="single" w:sz="4" w:space="0" w:color="auto"/>
              <w:bottom w:val="nil"/>
              <w:right w:val="single" w:sz="4" w:space="0" w:color="auto"/>
            </w:tcBorders>
            <w:vAlign w:val="center"/>
          </w:tcPr>
          <w:p w:rsidR="009C074B" w:rsidRDefault="009C074B" w:rsidP="009C074B">
            <w:pPr>
              <w:rPr>
                <w:sz w:val="15"/>
                <w:szCs w:val="15"/>
              </w:rPr>
            </w:pPr>
            <w:r>
              <w:rPr>
                <w:sz w:val="15"/>
                <w:szCs w:val="15"/>
              </w:rPr>
              <w:t>Diploma at levels 5-7</w:t>
            </w:r>
          </w:p>
        </w:tc>
        <w:tc>
          <w:tcPr>
            <w:tcW w:w="401" w:type="pct"/>
            <w:tcBorders>
              <w:left w:val="single" w:sz="4" w:space="0" w:color="auto"/>
            </w:tcBorders>
            <w:shd w:val="clear" w:color="auto" w:fill="auto"/>
            <w:noWrap/>
            <w:vAlign w:val="center"/>
            <w:hideMark/>
          </w:tcPr>
          <w:p w:rsidR="009C074B" w:rsidRDefault="009C074B" w:rsidP="009C074B">
            <w:pPr>
              <w:jc w:val="center"/>
              <w:rPr>
                <w:sz w:val="15"/>
                <w:szCs w:val="15"/>
              </w:rPr>
            </w:pPr>
            <w:r>
              <w:rPr>
                <w:sz w:val="15"/>
                <w:szCs w:val="15"/>
              </w:rPr>
              <w:t>5%</w:t>
            </w:r>
          </w:p>
        </w:tc>
        <w:tc>
          <w:tcPr>
            <w:tcW w:w="401" w:type="pct"/>
            <w:shd w:val="clear" w:color="auto" w:fill="auto"/>
            <w:noWrap/>
            <w:vAlign w:val="center"/>
            <w:hideMark/>
          </w:tcPr>
          <w:p w:rsidR="009C074B" w:rsidRDefault="009C074B" w:rsidP="009C074B">
            <w:pPr>
              <w:jc w:val="center"/>
              <w:rPr>
                <w:sz w:val="15"/>
                <w:szCs w:val="15"/>
              </w:rPr>
            </w:pPr>
            <w:r>
              <w:rPr>
                <w:sz w:val="15"/>
                <w:szCs w:val="15"/>
              </w:rPr>
              <w:t>8%</w:t>
            </w:r>
          </w:p>
        </w:tc>
        <w:tc>
          <w:tcPr>
            <w:tcW w:w="401" w:type="pct"/>
            <w:shd w:val="clear" w:color="auto" w:fill="auto"/>
            <w:noWrap/>
            <w:vAlign w:val="center"/>
            <w:hideMark/>
          </w:tcPr>
          <w:p w:rsidR="009C074B" w:rsidRDefault="009C074B" w:rsidP="009C074B">
            <w:pPr>
              <w:jc w:val="center"/>
              <w:rPr>
                <w:sz w:val="15"/>
                <w:szCs w:val="15"/>
              </w:rPr>
            </w:pPr>
            <w:r>
              <w:rPr>
                <w:sz w:val="15"/>
                <w:szCs w:val="15"/>
              </w:rPr>
              <w:t>12%</w:t>
            </w:r>
          </w:p>
        </w:tc>
        <w:tc>
          <w:tcPr>
            <w:tcW w:w="402" w:type="pct"/>
            <w:vAlign w:val="center"/>
          </w:tcPr>
          <w:p w:rsidR="009C074B" w:rsidRDefault="009C074B" w:rsidP="009C074B">
            <w:pPr>
              <w:jc w:val="center"/>
              <w:rPr>
                <w:sz w:val="15"/>
                <w:szCs w:val="15"/>
              </w:rPr>
            </w:pPr>
            <w:r>
              <w:rPr>
                <w:sz w:val="15"/>
                <w:szCs w:val="15"/>
              </w:rPr>
              <w:t>16%</w:t>
            </w:r>
          </w:p>
        </w:tc>
        <w:tc>
          <w:tcPr>
            <w:tcW w:w="402" w:type="pct"/>
            <w:vAlign w:val="center"/>
          </w:tcPr>
          <w:p w:rsidR="009C074B" w:rsidRDefault="009C074B" w:rsidP="009C074B">
            <w:pPr>
              <w:jc w:val="center"/>
              <w:rPr>
                <w:sz w:val="15"/>
                <w:szCs w:val="15"/>
              </w:rPr>
            </w:pPr>
            <w:r>
              <w:rPr>
                <w:sz w:val="15"/>
                <w:szCs w:val="15"/>
              </w:rPr>
              <w:t>18%</w:t>
            </w:r>
          </w:p>
        </w:tc>
        <w:tc>
          <w:tcPr>
            <w:tcW w:w="403" w:type="pct"/>
            <w:vAlign w:val="center"/>
          </w:tcPr>
          <w:p w:rsidR="009C074B" w:rsidRDefault="009C074B" w:rsidP="009C074B">
            <w:pPr>
              <w:jc w:val="center"/>
              <w:rPr>
                <w:sz w:val="15"/>
                <w:szCs w:val="15"/>
              </w:rPr>
            </w:pPr>
            <w:r>
              <w:rPr>
                <w:sz w:val="15"/>
                <w:szCs w:val="15"/>
              </w:rPr>
              <w:t>20%</w:t>
            </w:r>
          </w:p>
        </w:tc>
        <w:tc>
          <w:tcPr>
            <w:tcW w:w="402" w:type="pct"/>
            <w:tcBorders>
              <w:right w:val="single" w:sz="4" w:space="0" w:color="auto"/>
            </w:tcBorders>
            <w:vAlign w:val="center"/>
          </w:tcPr>
          <w:p w:rsidR="009C074B" w:rsidRDefault="009C074B" w:rsidP="009C074B">
            <w:pPr>
              <w:jc w:val="center"/>
              <w:rPr>
                <w:sz w:val="15"/>
                <w:szCs w:val="15"/>
              </w:rPr>
            </w:pPr>
            <w:r>
              <w:rPr>
                <w:sz w:val="15"/>
                <w:szCs w:val="15"/>
              </w:rPr>
              <w:t>21%</w:t>
            </w:r>
          </w:p>
        </w:tc>
      </w:tr>
      <w:tr w:rsidR="009C074B" w:rsidRPr="00AA6192" w:rsidTr="009C074B">
        <w:trPr>
          <w:trHeight w:val="235"/>
        </w:trPr>
        <w:tc>
          <w:tcPr>
            <w:tcW w:w="2188" w:type="pct"/>
            <w:tcBorders>
              <w:left w:val="single" w:sz="4" w:space="0" w:color="auto"/>
              <w:bottom w:val="nil"/>
              <w:right w:val="single" w:sz="4" w:space="0" w:color="auto"/>
            </w:tcBorders>
            <w:vAlign w:val="center"/>
          </w:tcPr>
          <w:p w:rsidR="009C074B" w:rsidRDefault="009C074B" w:rsidP="009C074B">
            <w:pPr>
              <w:rPr>
                <w:sz w:val="15"/>
                <w:szCs w:val="15"/>
              </w:rPr>
            </w:pPr>
            <w:r>
              <w:rPr>
                <w:sz w:val="15"/>
                <w:szCs w:val="15"/>
              </w:rPr>
              <w:t>Bachelors degree</w:t>
            </w:r>
          </w:p>
        </w:tc>
        <w:tc>
          <w:tcPr>
            <w:tcW w:w="401" w:type="pct"/>
            <w:tcBorders>
              <w:left w:val="single" w:sz="4" w:space="0" w:color="auto"/>
            </w:tcBorders>
            <w:shd w:val="clear" w:color="auto" w:fill="auto"/>
            <w:noWrap/>
            <w:vAlign w:val="center"/>
            <w:hideMark/>
          </w:tcPr>
          <w:p w:rsidR="009C074B" w:rsidRDefault="009C074B" w:rsidP="009C074B">
            <w:pPr>
              <w:jc w:val="center"/>
              <w:rPr>
                <w:sz w:val="15"/>
                <w:szCs w:val="15"/>
              </w:rPr>
            </w:pPr>
            <w:r>
              <w:rPr>
                <w:sz w:val="15"/>
                <w:szCs w:val="15"/>
              </w:rPr>
              <w:t>10%</w:t>
            </w:r>
          </w:p>
        </w:tc>
        <w:tc>
          <w:tcPr>
            <w:tcW w:w="401" w:type="pct"/>
            <w:shd w:val="clear" w:color="auto" w:fill="auto"/>
            <w:noWrap/>
            <w:vAlign w:val="center"/>
            <w:hideMark/>
          </w:tcPr>
          <w:p w:rsidR="009C074B" w:rsidRDefault="009C074B" w:rsidP="009C074B">
            <w:pPr>
              <w:jc w:val="center"/>
              <w:rPr>
                <w:sz w:val="15"/>
                <w:szCs w:val="15"/>
              </w:rPr>
            </w:pPr>
            <w:r>
              <w:rPr>
                <w:sz w:val="15"/>
                <w:szCs w:val="15"/>
              </w:rPr>
              <w:t>16%</w:t>
            </w:r>
          </w:p>
        </w:tc>
        <w:tc>
          <w:tcPr>
            <w:tcW w:w="401" w:type="pct"/>
            <w:shd w:val="clear" w:color="auto" w:fill="auto"/>
            <w:noWrap/>
            <w:vAlign w:val="center"/>
            <w:hideMark/>
          </w:tcPr>
          <w:p w:rsidR="009C074B" w:rsidRDefault="009C074B" w:rsidP="009C074B">
            <w:pPr>
              <w:jc w:val="center"/>
              <w:rPr>
                <w:sz w:val="15"/>
                <w:szCs w:val="15"/>
              </w:rPr>
            </w:pPr>
            <w:r>
              <w:rPr>
                <w:sz w:val="15"/>
                <w:szCs w:val="15"/>
              </w:rPr>
              <w:t>21%</w:t>
            </w:r>
          </w:p>
        </w:tc>
        <w:tc>
          <w:tcPr>
            <w:tcW w:w="402" w:type="pct"/>
            <w:vAlign w:val="center"/>
          </w:tcPr>
          <w:p w:rsidR="009C074B" w:rsidRDefault="009C074B" w:rsidP="009C074B">
            <w:pPr>
              <w:jc w:val="center"/>
              <w:rPr>
                <w:sz w:val="15"/>
                <w:szCs w:val="15"/>
              </w:rPr>
            </w:pPr>
            <w:r>
              <w:rPr>
                <w:sz w:val="15"/>
                <w:szCs w:val="15"/>
              </w:rPr>
              <w:t>25%</w:t>
            </w:r>
          </w:p>
        </w:tc>
        <w:tc>
          <w:tcPr>
            <w:tcW w:w="402" w:type="pct"/>
            <w:vAlign w:val="center"/>
          </w:tcPr>
          <w:p w:rsidR="009C074B" w:rsidRDefault="009C074B" w:rsidP="009C074B">
            <w:pPr>
              <w:jc w:val="center"/>
              <w:rPr>
                <w:sz w:val="15"/>
                <w:szCs w:val="15"/>
              </w:rPr>
            </w:pPr>
            <w:r>
              <w:rPr>
                <w:sz w:val="15"/>
                <w:szCs w:val="15"/>
              </w:rPr>
              <w:t>28%</w:t>
            </w:r>
          </w:p>
        </w:tc>
        <w:tc>
          <w:tcPr>
            <w:tcW w:w="403" w:type="pct"/>
            <w:vAlign w:val="center"/>
          </w:tcPr>
          <w:p w:rsidR="009C074B" w:rsidRDefault="009C074B" w:rsidP="009C074B">
            <w:pPr>
              <w:jc w:val="center"/>
              <w:rPr>
                <w:sz w:val="15"/>
                <w:szCs w:val="15"/>
              </w:rPr>
            </w:pPr>
            <w:r>
              <w:rPr>
                <w:sz w:val="15"/>
                <w:szCs w:val="15"/>
              </w:rPr>
              <w:t>30%</w:t>
            </w:r>
          </w:p>
        </w:tc>
        <w:tc>
          <w:tcPr>
            <w:tcW w:w="402" w:type="pct"/>
            <w:tcBorders>
              <w:right w:val="single" w:sz="4" w:space="0" w:color="auto"/>
            </w:tcBorders>
            <w:vAlign w:val="center"/>
          </w:tcPr>
          <w:p w:rsidR="009C074B" w:rsidRDefault="009C074B" w:rsidP="009C074B">
            <w:pPr>
              <w:jc w:val="center"/>
              <w:rPr>
                <w:sz w:val="15"/>
                <w:szCs w:val="15"/>
              </w:rPr>
            </w:pPr>
            <w:r>
              <w:rPr>
                <w:sz w:val="15"/>
                <w:szCs w:val="15"/>
              </w:rPr>
              <w:t>31%</w:t>
            </w:r>
          </w:p>
        </w:tc>
      </w:tr>
      <w:tr w:rsidR="009C074B" w:rsidRPr="00AA6192" w:rsidTr="009C074B">
        <w:trPr>
          <w:trHeight w:val="235"/>
        </w:trPr>
        <w:tc>
          <w:tcPr>
            <w:tcW w:w="2188" w:type="pct"/>
            <w:tcBorders>
              <w:left w:val="single" w:sz="4" w:space="0" w:color="auto"/>
              <w:bottom w:val="nil"/>
              <w:right w:val="single" w:sz="4" w:space="0" w:color="auto"/>
            </w:tcBorders>
            <w:vAlign w:val="center"/>
          </w:tcPr>
          <w:p w:rsidR="009C074B" w:rsidRDefault="009C074B" w:rsidP="009C074B">
            <w:pPr>
              <w:rPr>
                <w:sz w:val="15"/>
                <w:szCs w:val="15"/>
              </w:rPr>
            </w:pPr>
            <w:r>
              <w:rPr>
                <w:sz w:val="15"/>
                <w:szCs w:val="15"/>
              </w:rPr>
              <w:t>Graduate certificate or diploma</w:t>
            </w:r>
          </w:p>
        </w:tc>
        <w:tc>
          <w:tcPr>
            <w:tcW w:w="401" w:type="pct"/>
            <w:tcBorders>
              <w:left w:val="single" w:sz="4" w:space="0" w:color="auto"/>
            </w:tcBorders>
            <w:shd w:val="clear" w:color="auto" w:fill="auto"/>
            <w:noWrap/>
            <w:vAlign w:val="center"/>
            <w:hideMark/>
          </w:tcPr>
          <w:p w:rsidR="009C074B" w:rsidRDefault="009C074B" w:rsidP="009C074B">
            <w:pPr>
              <w:jc w:val="center"/>
              <w:rPr>
                <w:sz w:val="15"/>
                <w:szCs w:val="15"/>
              </w:rPr>
            </w:pPr>
            <w:r>
              <w:rPr>
                <w:sz w:val="15"/>
                <w:szCs w:val="15"/>
              </w:rPr>
              <w:t>7%</w:t>
            </w:r>
          </w:p>
        </w:tc>
        <w:tc>
          <w:tcPr>
            <w:tcW w:w="401" w:type="pct"/>
            <w:shd w:val="clear" w:color="auto" w:fill="auto"/>
            <w:noWrap/>
            <w:vAlign w:val="center"/>
            <w:hideMark/>
          </w:tcPr>
          <w:p w:rsidR="009C074B" w:rsidRDefault="009C074B" w:rsidP="009C074B">
            <w:pPr>
              <w:jc w:val="center"/>
              <w:rPr>
                <w:sz w:val="15"/>
                <w:szCs w:val="15"/>
              </w:rPr>
            </w:pPr>
            <w:r>
              <w:rPr>
                <w:sz w:val="15"/>
                <w:szCs w:val="15"/>
              </w:rPr>
              <w:t>12%</w:t>
            </w:r>
          </w:p>
        </w:tc>
        <w:tc>
          <w:tcPr>
            <w:tcW w:w="401" w:type="pct"/>
            <w:shd w:val="clear" w:color="auto" w:fill="auto"/>
            <w:noWrap/>
            <w:vAlign w:val="center"/>
            <w:hideMark/>
          </w:tcPr>
          <w:p w:rsidR="009C074B" w:rsidRDefault="009C074B" w:rsidP="009C074B">
            <w:pPr>
              <w:jc w:val="center"/>
              <w:rPr>
                <w:sz w:val="15"/>
                <w:szCs w:val="15"/>
              </w:rPr>
            </w:pPr>
            <w:r>
              <w:rPr>
                <w:sz w:val="15"/>
                <w:szCs w:val="15"/>
              </w:rPr>
              <w:t>20%</w:t>
            </w:r>
          </w:p>
        </w:tc>
        <w:tc>
          <w:tcPr>
            <w:tcW w:w="402" w:type="pct"/>
            <w:vAlign w:val="center"/>
          </w:tcPr>
          <w:p w:rsidR="009C074B" w:rsidRDefault="009C074B" w:rsidP="009C074B">
            <w:pPr>
              <w:jc w:val="center"/>
              <w:rPr>
                <w:sz w:val="15"/>
                <w:szCs w:val="15"/>
              </w:rPr>
            </w:pPr>
            <w:r>
              <w:rPr>
                <w:sz w:val="15"/>
                <w:szCs w:val="15"/>
              </w:rPr>
              <w:t>26%</w:t>
            </w:r>
          </w:p>
        </w:tc>
        <w:tc>
          <w:tcPr>
            <w:tcW w:w="402" w:type="pct"/>
            <w:vAlign w:val="center"/>
          </w:tcPr>
          <w:p w:rsidR="009C074B" w:rsidRDefault="009C074B" w:rsidP="009C074B">
            <w:pPr>
              <w:jc w:val="center"/>
              <w:rPr>
                <w:sz w:val="15"/>
                <w:szCs w:val="15"/>
              </w:rPr>
            </w:pPr>
            <w:r>
              <w:rPr>
                <w:sz w:val="15"/>
                <w:szCs w:val="15"/>
              </w:rPr>
              <w:t>28%</w:t>
            </w:r>
          </w:p>
        </w:tc>
        <w:tc>
          <w:tcPr>
            <w:tcW w:w="403" w:type="pct"/>
            <w:vAlign w:val="center"/>
          </w:tcPr>
          <w:p w:rsidR="009C074B" w:rsidRDefault="009C074B" w:rsidP="009C074B">
            <w:pPr>
              <w:jc w:val="center"/>
              <w:rPr>
                <w:sz w:val="15"/>
                <w:szCs w:val="15"/>
              </w:rPr>
            </w:pPr>
            <w:r>
              <w:rPr>
                <w:sz w:val="15"/>
                <w:szCs w:val="15"/>
              </w:rPr>
              <w:t>29%</w:t>
            </w:r>
          </w:p>
        </w:tc>
        <w:tc>
          <w:tcPr>
            <w:tcW w:w="402" w:type="pct"/>
            <w:tcBorders>
              <w:right w:val="single" w:sz="4" w:space="0" w:color="auto"/>
            </w:tcBorders>
            <w:vAlign w:val="center"/>
          </w:tcPr>
          <w:p w:rsidR="009C074B" w:rsidRDefault="009C074B" w:rsidP="009C074B">
            <w:pPr>
              <w:jc w:val="center"/>
              <w:rPr>
                <w:sz w:val="15"/>
                <w:szCs w:val="15"/>
              </w:rPr>
            </w:pPr>
            <w:r>
              <w:rPr>
                <w:sz w:val="15"/>
                <w:szCs w:val="15"/>
              </w:rPr>
              <w:t>27%</w:t>
            </w:r>
          </w:p>
        </w:tc>
      </w:tr>
      <w:tr w:rsidR="009C074B" w:rsidRPr="00AA6192" w:rsidTr="009C074B">
        <w:trPr>
          <w:trHeight w:val="235"/>
        </w:trPr>
        <w:tc>
          <w:tcPr>
            <w:tcW w:w="2188" w:type="pct"/>
            <w:tcBorders>
              <w:left w:val="single" w:sz="4" w:space="0" w:color="auto"/>
              <w:right w:val="single" w:sz="4" w:space="0" w:color="auto"/>
            </w:tcBorders>
            <w:vAlign w:val="center"/>
          </w:tcPr>
          <w:p w:rsidR="009C074B" w:rsidRDefault="009C074B" w:rsidP="009C074B">
            <w:pPr>
              <w:rPr>
                <w:sz w:val="15"/>
                <w:szCs w:val="15"/>
              </w:rPr>
            </w:pPr>
            <w:r>
              <w:rPr>
                <w:sz w:val="15"/>
                <w:szCs w:val="15"/>
              </w:rPr>
              <w:t>Level 8 qualification – bachelors honours, pg dip or cert</w:t>
            </w:r>
          </w:p>
        </w:tc>
        <w:tc>
          <w:tcPr>
            <w:tcW w:w="401" w:type="pct"/>
            <w:tcBorders>
              <w:left w:val="single" w:sz="4" w:space="0" w:color="auto"/>
            </w:tcBorders>
            <w:shd w:val="clear" w:color="auto" w:fill="auto"/>
            <w:noWrap/>
            <w:vAlign w:val="center"/>
            <w:hideMark/>
          </w:tcPr>
          <w:p w:rsidR="009C074B" w:rsidRDefault="009C074B" w:rsidP="009C074B">
            <w:pPr>
              <w:jc w:val="center"/>
              <w:rPr>
                <w:sz w:val="15"/>
                <w:szCs w:val="15"/>
              </w:rPr>
            </w:pPr>
            <w:r>
              <w:rPr>
                <w:sz w:val="15"/>
                <w:szCs w:val="15"/>
              </w:rPr>
              <w:t>11%</w:t>
            </w:r>
          </w:p>
        </w:tc>
        <w:tc>
          <w:tcPr>
            <w:tcW w:w="401" w:type="pct"/>
            <w:shd w:val="clear" w:color="auto" w:fill="auto"/>
            <w:noWrap/>
            <w:vAlign w:val="center"/>
            <w:hideMark/>
          </w:tcPr>
          <w:p w:rsidR="009C074B" w:rsidRDefault="009C074B" w:rsidP="009C074B">
            <w:pPr>
              <w:jc w:val="center"/>
              <w:rPr>
                <w:sz w:val="15"/>
                <w:szCs w:val="15"/>
              </w:rPr>
            </w:pPr>
            <w:r>
              <w:rPr>
                <w:sz w:val="15"/>
                <w:szCs w:val="15"/>
              </w:rPr>
              <w:t>17%</w:t>
            </w:r>
          </w:p>
        </w:tc>
        <w:tc>
          <w:tcPr>
            <w:tcW w:w="401" w:type="pct"/>
            <w:shd w:val="clear" w:color="auto" w:fill="auto"/>
            <w:noWrap/>
            <w:vAlign w:val="center"/>
            <w:hideMark/>
          </w:tcPr>
          <w:p w:rsidR="009C074B" w:rsidRDefault="009C074B" w:rsidP="009C074B">
            <w:pPr>
              <w:jc w:val="center"/>
              <w:rPr>
                <w:sz w:val="15"/>
                <w:szCs w:val="15"/>
              </w:rPr>
            </w:pPr>
            <w:r>
              <w:rPr>
                <w:sz w:val="15"/>
                <w:szCs w:val="15"/>
              </w:rPr>
              <w:t>23%</w:t>
            </w:r>
          </w:p>
        </w:tc>
        <w:tc>
          <w:tcPr>
            <w:tcW w:w="402" w:type="pct"/>
            <w:vAlign w:val="center"/>
          </w:tcPr>
          <w:p w:rsidR="009C074B" w:rsidRDefault="009C074B" w:rsidP="009C074B">
            <w:pPr>
              <w:jc w:val="center"/>
              <w:rPr>
                <w:sz w:val="15"/>
                <w:szCs w:val="15"/>
              </w:rPr>
            </w:pPr>
            <w:r>
              <w:rPr>
                <w:sz w:val="15"/>
                <w:szCs w:val="15"/>
              </w:rPr>
              <w:t>28%</w:t>
            </w:r>
          </w:p>
        </w:tc>
        <w:tc>
          <w:tcPr>
            <w:tcW w:w="402" w:type="pct"/>
            <w:vAlign w:val="center"/>
          </w:tcPr>
          <w:p w:rsidR="009C074B" w:rsidRDefault="009C074B" w:rsidP="009C074B">
            <w:pPr>
              <w:jc w:val="center"/>
              <w:rPr>
                <w:sz w:val="15"/>
                <w:szCs w:val="15"/>
              </w:rPr>
            </w:pPr>
            <w:r>
              <w:rPr>
                <w:sz w:val="15"/>
                <w:szCs w:val="15"/>
              </w:rPr>
              <w:t>33%</w:t>
            </w:r>
          </w:p>
        </w:tc>
        <w:tc>
          <w:tcPr>
            <w:tcW w:w="403" w:type="pct"/>
            <w:vAlign w:val="center"/>
          </w:tcPr>
          <w:p w:rsidR="009C074B" w:rsidRDefault="009C074B" w:rsidP="009C074B">
            <w:pPr>
              <w:jc w:val="center"/>
              <w:rPr>
                <w:sz w:val="15"/>
                <w:szCs w:val="15"/>
              </w:rPr>
            </w:pPr>
            <w:r>
              <w:rPr>
                <w:sz w:val="15"/>
                <w:szCs w:val="15"/>
              </w:rPr>
              <w:t>36%</w:t>
            </w:r>
          </w:p>
        </w:tc>
        <w:tc>
          <w:tcPr>
            <w:tcW w:w="402" w:type="pct"/>
            <w:tcBorders>
              <w:right w:val="single" w:sz="4" w:space="0" w:color="auto"/>
            </w:tcBorders>
            <w:vAlign w:val="center"/>
          </w:tcPr>
          <w:p w:rsidR="009C074B" w:rsidRDefault="009C074B" w:rsidP="009C074B">
            <w:pPr>
              <w:jc w:val="center"/>
              <w:rPr>
                <w:sz w:val="15"/>
                <w:szCs w:val="15"/>
              </w:rPr>
            </w:pPr>
            <w:r>
              <w:rPr>
                <w:sz w:val="15"/>
                <w:szCs w:val="15"/>
              </w:rPr>
              <w:t>38%</w:t>
            </w:r>
          </w:p>
        </w:tc>
      </w:tr>
      <w:tr w:rsidR="009C074B" w:rsidRPr="00AA6192" w:rsidTr="009C074B">
        <w:trPr>
          <w:trHeight w:val="235"/>
        </w:trPr>
        <w:tc>
          <w:tcPr>
            <w:tcW w:w="2188" w:type="pct"/>
            <w:tcBorders>
              <w:left w:val="single" w:sz="4" w:space="0" w:color="auto"/>
              <w:right w:val="single" w:sz="4" w:space="0" w:color="auto"/>
            </w:tcBorders>
            <w:vAlign w:val="center"/>
          </w:tcPr>
          <w:p w:rsidR="009C074B" w:rsidRDefault="009C074B" w:rsidP="009C074B">
            <w:pPr>
              <w:rPr>
                <w:sz w:val="15"/>
                <w:szCs w:val="15"/>
              </w:rPr>
            </w:pPr>
            <w:r>
              <w:rPr>
                <w:sz w:val="15"/>
                <w:szCs w:val="15"/>
              </w:rPr>
              <w:t>Masters degree</w:t>
            </w:r>
          </w:p>
        </w:tc>
        <w:tc>
          <w:tcPr>
            <w:tcW w:w="401" w:type="pct"/>
            <w:tcBorders>
              <w:left w:val="single" w:sz="4" w:space="0" w:color="auto"/>
            </w:tcBorders>
            <w:shd w:val="clear" w:color="auto" w:fill="auto"/>
            <w:noWrap/>
            <w:vAlign w:val="center"/>
            <w:hideMark/>
          </w:tcPr>
          <w:p w:rsidR="009C074B" w:rsidRDefault="009C074B" w:rsidP="009C074B">
            <w:pPr>
              <w:jc w:val="center"/>
              <w:rPr>
                <w:sz w:val="15"/>
                <w:szCs w:val="15"/>
              </w:rPr>
            </w:pPr>
            <w:r>
              <w:rPr>
                <w:sz w:val="15"/>
                <w:szCs w:val="15"/>
              </w:rPr>
              <w:t>20%</w:t>
            </w:r>
          </w:p>
        </w:tc>
        <w:tc>
          <w:tcPr>
            <w:tcW w:w="401" w:type="pct"/>
            <w:shd w:val="clear" w:color="auto" w:fill="auto"/>
            <w:noWrap/>
            <w:vAlign w:val="center"/>
            <w:hideMark/>
          </w:tcPr>
          <w:p w:rsidR="009C074B" w:rsidRDefault="009C074B" w:rsidP="009C074B">
            <w:pPr>
              <w:jc w:val="center"/>
              <w:rPr>
                <w:sz w:val="15"/>
                <w:szCs w:val="15"/>
              </w:rPr>
            </w:pPr>
            <w:r>
              <w:rPr>
                <w:sz w:val="15"/>
                <w:szCs w:val="15"/>
              </w:rPr>
              <w:t>27%</w:t>
            </w:r>
          </w:p>
        </w:tc>
        <w:tc>
          <w:tcPr>
            <w:tcW w:w="401" w:type="pct"/>
            <w:shd w:val="clear" w:color="auto" w:fill="auto"/>
            <w:noWrap/>
            <w:vAlign w:val="center"/>
            <w:hideMark/>
          </w:tcPr>
          <w:p w:rsidR="009C074B" w:rsidRDefault="009C074B" w:rsidP="009C074B">
            <w:pPr>
              <w:jc w:val="center"/>
              <w:rPr>
                <w:sz w:val="15"/>
                <w:szCs w:val="15"/>
              </w:rPr>
            </w:pPr>
            <w:r>
              <w:rPr>
                <w:sz w:val="15"/>
                <w:szCs w:val="15"/>
              </w:rPr>
              <w:t>30%</w:t>
            </w:r>
          </w:p>
        </w:tc>
        <w:tc>
          <w:tcPr>
            <w:tcW w:w="402" w:type="pct"/>
            <w:vAlign w:val="center"/>
          </w:tcPr>
          <w:p w:rsidR="009C074B" w:rsidRDefault="009C074B" w:rsidP="009C074B">
            <w:pPr>
              <w:jc w:val="center"/>
              <w:rPr>
                <w:sz w:val="15"/>
                <w:szCs w:val="15"/>
              </w:rPr>
            </w:pPr>
            <w:r>
              <w:rPr>
                <w:sz w:val="15"/>
                <w:szCs w:val="15"/>
              </w:rPr>
              <w:t>34%</w:t>
            </w:r>
          </w:p>
        </w:tc>
        <w:tc>
          <w:tcPr>
            <w:tcW w:w="402" w:type="pct"/>
            <w:vAlign w:val="center"/>
          </w:tcPr>
          <w:p w:rsidR="009C074B" w:rsidRDefault="009C074B" w:rsidP="009C074B">
            <w:pPr>
              <w:jc w:val="center"/>
              <w:rPr>
                <w:sz w:val="15"/>
                <w:szCs w:val="15"/>
              </w:rPr>
            </w:pPr>
            <w:r>
              <w:rPr>
                <w:sz w:val="15"/>
                <w:szCs w:val="15"/>
              </w:rPr>
              <w:t>35%</w:t>
            </w:r>
          </w:p>
        </w:tc>
        <w:tc>
          <w:tcPr>
            <w:tcW w:w="403" w:type="pct"/>
            <w:vAlign w:val="center"/>
          </w:tcPr>
          <w:p w:rsidR="009C074B" w:rsidRDefault="009C074B" w:rsidP="009C074B">
            <w:pPr>
              <w:jc w:val="center"/>
              <w:rPr>
                <w:sz w:val="15"/>
                <w:szCs w:val="15"/>
              </w:rPr>
            </w:pPr>
            <w:r>
              <w:rPr>
                <w:sz w:val="15"/>
                <w:szCs w:val="15"/>
              </w:rPr>
              <w:t>38%</w:t>
            </w:r>
          </w:p>
        </w:tc>
        <w:tc>
          <w:tcPr>
            <w:tcW w:w="402" w:type="pct"/>
            <w:tcBorders>
              <w:right w:val="single" w:sz="4" w:space="0" w:color="auto"/>
            </w:tcBorders>
            <w:vAlign w:val="center"/>
          </w:tcPr>
          <w:p w:rsidR="009C074B" w:rsidRDefault="009C074B" w:rsidP="009C074B">
            <w:pPr>
              <w:jc w:val="center"/>
              <w:rPr>
                <w:sz w:val="15"/>
                <w:szCs w:val="15"/>
              </w:rPr>
            </w:pPr>
            <w:r>
              <w:rPr>
                <w:sz w:val="15"/>
                <w:szCs w:val="15"/>
              </w:rPr>
              <w:t>37%</w:t>
            </w:r>
          </w:p>
        </w:tc>
      </w:tr>
      <w:tr w:rsidR="009C074B" w:rsidRPr="00AA6192" w:rsidTr="009C074B">
        <w:trPr>
          <w:trHeight w:val="235"/>
        </w:trPr>
        <w:tc>
          <w:tcPr>
            <w:tcW w:w="2188" w:type="pct"/>
            <w:tcBorders>
              <w:left w:val="single" w:sz="4" w:space="0" w:color="auto"/>
              <w:bottom w:val="single" w:sz="4" w:space="0" w:color="auto"/>
              <w:right w:val="single" w:sz="4" w:space="0" w:color="auto"/>
            </w:tcBorders>
            <w:vAlign w:val="center"/>
          </w:tcPr>
          <w:p w:rsidR="009C074B" w:rsidRDefault="009C074B" w:rsidP="009C074B">
            <w:pPr>
              <w:rPr>
                <w:sz w:val="15"/>
                <w:szCs w:val="15"/>
              </w:rPr>
            </w:pPr>
            <w:r>
              <w:rPr>
                <w:sz w:val="15"/>
                <w:szCs w:val="15"/>
              </w:rPr>
              <w:t>Doctorate</w:t>
            </w:r>
          </w:p>
        </w:tc>
        <w:tc>
          <w:tcPr>
            <w:tcW w:w="401" w:type="pct"/>
            <w:tcBorders>
              <w:left w:val="single" w:sz="4" w:space="0" w:color="auto"/>
              <w:bottom w:val="single" w:sz="4" w:space="0" w:color="auto"/>
            </w:tcBorders>
            <w:shd w:val="clear" w:color="auto" w:fill="auto"/>
            <w:noWrap/>
            <w:vAlign w:val="center"/>
            <w:hideMark/>
          </w:tcPr>
          <w:p w:rsidR="009C074B" w:rsidRDefault="009C074B" w:rsidP="009C074B">
            <w:pPr>
              <w:jc w:val="center"/>
              <w:rPr>
                <w:sz w:val="15"/>
                <w:szCs w:val="15"/>
              </w:rPr>
            </w:pPr>
            <w:r>
              <w:rPr>
                <w:sz w:val="15"/>
                <w:szCs w:val="15"/>
              </w:rPr>
              <w:t>30%</w:t>
            </w:r>
          </w:p>
        </w:tc>
        <w:tc>
          <w:tcPr>
            <w:tcW w:w="401" w:type="pct"/>
            <w:tcBorders>
              <w:bottom w:val="single" w:sz="4" w:space="0" w:color="auto"/>
            </w:tcBorders>
            <w:shd w:val="clear" w:color="auto" w:fill="auto"/>
            <w:noWrap/>
            <w:vAlign w:val="center"/>
            <w:hideMark/>
          </w:tcPr>
          <w:p w:rsidR="009C074B" w:rsidRDefault="009C074B" w:rsidP="009C074B">
            <w:pPr>
              <w:jc w:val="center"/>
              <w:rPr>
                <w:sz w:val="15"/>
                <w:szCs w:val="15"/>
              </w:rPr>
            </w:pPr>
            <w:r>
              <w:rPr>
                <w:sz w:val="15"/>
                <w:szCs w:val="15"/>
              </w:rPr>
              <w:t>42%</w:t>
            </w:r>
          </w:p>
        </w:tc>
        <w:tc>
          <w:tcPr>
            <w:tcW w:w="401" w:type="pct"/>
            <w:tcBorders>
              <w:bottom w:val="single" w:sz="4" w:space="0" w:color="auto"/>
            </w:tcBorders>
            <w:shd w:val="clear" w:color="auto" w:fill="auto"/>
            <w:noWrap/>
            <w:vAlign w:val="center"/>
            <w:hideMark/>
          </w:tcPr>
          <w:p w:rsidR="009C074B" w:rsidRDefault="009C074B" w:rsidP="009C074B">
            <w:pPr>
              <w:jc w:val="center"/>
              <w:rPr>
                <w:sz w:val="15"/>
                <w:szCs w:val="15"/>
              </w:rPr>
            </w:pPr>
            <w:r>
              <w:rPr>
                <w:sz w:val="15"/>
                <w:szCs w:val="15"/>
              </w:rPr>
              <w:t>44%</w:t>
            </w:r>
          </w:p>
        </w:tc>
        <w:tc>
          <w:tcPr>
            <w:tcW w:w="402" w:type="pct"/>
            <w:tcBorders>
              <w:bottom w:val="single" w:sz="4" w:space="0" w:color="auto"/>
            </w:tcBorders>
            <w:vAlign w:val="center"/>
          </w:tcPr>
          <w:p w:rsidR="009C074B" w:rsidRDefault="009C074B" w:rsidP="009C074B">
            <w:pPr>
              <w:jc w:val="center"/>
              <w:rPr>
                <w:sz w:val="15"/>
                <w:szCs w:val="15"/>
              </w:rPr>
            </w:pPr>
            <w:r>
              <w:rPr>
                <w:sz w:val="15"/>
                <w:szCs w:val="15"/>
              </w:rPr>
              <w:t>44%</w:t>
            </w:r>
          </w:p>
        </w:tc>
        <w:tc>
          <w:tcPr>
            <w:tcW w:w="402" w:type="pct"/>
            <w:tcBorders>
              <w:bottom w:val="single" w:sz="4" w:space="0" w:color="auto"/>
            </w:tcBorders>
            <w:vAlign w:val="center"/>
          </w:tcPr>
          <w:p w:rsidR="009C074B" w:rsidRDefault="009C074B" w:rsidP="009C074B">
            <w:pPr>
              <w:jc w:val="center"/>
              <w:rPr>
                <w:sz w:val="15"/>
                <w:szCs w:val="15"/>
              </w:rPr>
            </w:pPr>
            <w:r>
              <w:rPr>
                <w:sz w:val="15"/>
                <w:szCs w:val="15"/>
              </w:rPr>
              <w:t>42%</w:t>
            </w:r>
          </w:p>
        </w:tc>
        <w:tc>
          <w:tcPr>
            <w:tcW w:w="403" w:type="pct"/>
            <w:tcBorders>
              <w:bottom w:val="single" w:sz="4" w:space="0" w:color="auto"/>
            </w:tcBorders>
            <w:vAlign w:val="center"/>
          </w:tcPr>
          <w:p w:rsidR="009C074B" w:rsidRDefault="009C074B" w:rsidP="009C074B">
            <w:pPr>
              <w:jc w:val="center"/>
              <w:rPr>
                <w:sz w:val="15"/>
                <w:szCs w:val="15"/>
              </w:rPr>
            </w:pPr>
            <w:r>
              <w:rPr>
                <w:sz w:val="15"/>
                <w:szCs w:val="15"/>
              </w:rPr>
              <w:t>41%</w:t>
            </w:r>
          </w:p>
        </w:tc>
        <w:tc>
          <w:tcPr>
            <w:tcW w:w="402" w:type="pct"/>
            <w:tcBorders>
              <w:bottom w:val="single" w:sz="4" w:space="0" w:color="auto"/>
              <w:right w:val="single" w:sz="4" w:space="0" w:color="auto"/>
            </w:tcBorders>
            <w:vAlign w:val="center"/>
          </w:tcPr>
          <w:p w:rsidR="009C074B" w:rsidRDefault="009C074B" w:rsidP="009C074B">
            <w:pPr>
              <w:jc w:val="center"/>
              <w:rPr>
                <w:sz w:val="15"/>
                <w:szCs w:val="15"/>
              </w:rPr>
            </w:pPr>
            <w:r>
              <w:rPr>
                <w:sz w:val="15"/>
                <w:szCs w:val="15"/>
              </w:rPr>
              <w:t>41%</w:t>
            </w:r>
          </w:p>
        </w:tc>
      </w:tr>
    </w:tbl>
    <w:p w:rsidR="009C074B" w:rsidRDefault="009C074B" w:rsidP="009C074B">
      <w:pPr>
        <w:pStyle w:val="Note"/>
      </w:pPr>
      <w:r>
        <w:t xml:space="preserve">Source: Statistics New Zealand, Integrated Data Infrastructure, Ministry of Education interpretation. </w:t>
      </w:r>
    </w:p>
    <w:p w:rsidR="009C074B" w:rsidRPr="00E12F54" w:rsidRDefault="009C074B" w:rsidP="009C074B">
      <w:pPr>
        <w:jc w:val="both"/>
        <w:rPr>
          <w:i/>
          <w:szCs w:val="22"/>
        </w:rPr>
      </w:pPr>
    </w:p>
    <w:p w:rsidR="009C074B" w:rsidRPr="00703330" w:rsidRDefault="009C074B" w:rsidP="009C074B">
      <w:pPr>
        <w:jc w:val="both"/>
        <w:rPr>
          <w:szCs w:val="22"/>
        </w:rPr>
      </w:pPr>
      <w:r w:rsidRPr="00703330">
        <w:rPr>
          <w:szCs w:val="22"/>
        </w:rPr>
        <w:t xml:space="preserve">Table </w:t>
      </w:r>
      <w:r w:rsidR="0027120B">
        <w:rPr>
          <w:szCs w:val="22"/>
        </w:rPr>
        <w:t>2</w:t>
      </w:r>
      <w:r w:rsidRPr="00703330">
        <w:rPr>
          <w:szCs w:val="22"/>
        </w:rPr>
        <w:t xml:space="preserve"> and Figure 2 show that:</w:t>
      </w:r>
    </w:p>
    <w:p w:rsidR="009C074B" w:rsidRDefault="009C074B" w:rsidP="009C074B">
      <w:pPr>
        <w:jc w:val="both"/>
        <w:rPr>
          <w:szCs w:val="22"/>
        </w:rPr>
      </w:pPr>
    </w:p>
    <w:p w:rsidR="009C074B" w:rsidRPr="0030574F" w:rsidRDefault="009C074B" w:rsidP="009C074B">
      <w:pPr>
        <w:pStyle w:val="Bullet1"/>
        <w:numPr>
          <w:ilvl w:val="0"/>
          <w:numId w:val="47"/>
        </w:numPr>
        <w:ind w:left="284" w:hanging="284"/>
        <w:rPr>
          <w:lang w:eastAsia="en-NZ"/>
        </w:rPr>
      </w:pPr>
      <w:r w:rsidRPr="00C536D8">
        <w:rPr>
          <w:i/>
          <w:lang w:eastAsia="en-NZ"/>
        </w:rPr>
        <w:t>The likelihood that a young graduate travels overseas generally increases with the level of qualification gained.</w:t>
      </w:r>
      <w:r w:rsidRPr="0030574F">
        <w:rPr>
          <w:lang w:eastAsia="en-NZ"/>
        </w:rPr>
        <w:t xml:space="preserve">  For example, in the first year after study, 3 percent of certificate level graduates go overseas, as do 5 percent of diploma graduates and around 10 to 11 percent of bachelors and </w:t>
      </w:r>
      <w:r w:rsidR="00921385">
        <w:rPr>
          <w:lang w:eastAsia="en-NZ"/>
        </w:rPr>
        <w:t xml:space="preserve">bachelors with </w:t>
      </w:r>
      <w:r w:rsidRPr="0030574F">
        <w:rPr>
          <w:lang w:eastAsia="en-NZ"/>
        </w:rPr>
        <w:t xml:space="preserve">honours </w:t>
      </w:r>
      <w:r w:rsidR="00921385">
        <w:rPr>
          <w:lang w:eastAsia="en-NZ"/>
        </w:rPr>
        <w:t xml:space="preserve">or postgraduate certificate or diploma </w:t>
      </w:r>
      <w:r w:rsidRPr="0030574F">
        <w:rPr>
          <w:lang w:eastAsia="en-NZ"/>
        </w:rPr>
        <w:t>graduates. There is then a jump</w:t>
      </w:r>
      <w:r w:rsidR="004453DF">
        <w:rPr>
          <w:lang w:eastAsia="en-NZ"/>
        </w:rPr>
        <w:t>,</w:t>
      </w:r>
      <w:r w:rsidRPr="0030574F">
        <w:rPr>
          <w:lang w:eastAsia="en-NZ"/>
        </w:rPr>
        <w:t xml:space="preserve"> with the percentage of masters and doctorates graduates who go overseas in their first year after study being considerably higher at 20 percent and 30 percent respectively</w:t>
      </w:r>
      <w:r>
        <w:rPr>
          <w:rStyle w:val="FootnoteReference"/>
          <w:lang w:eastAsia="en-NZ"/>
        </w:rPr>
        <w:footnoteReference w:id="8"/>
      </w:r>
      <w:r w:rsidRPr="0030574F">
        <w:rPr>
          <w:lang w:eastAsia="en-NZ"/>
        </w:rPr>
        <w:t>.</w:t>
      </w:r>
    </w:p>
    <w:p w:rsidR="009C074B" w:rsidRPr="0030574F" w:rsidRDefault="009C074B" w:rsidP="009C074B">
      <w:pPr>
        <w:pStyle w:val="Bullet1"/>
        <w:numPr>
          <w:ilvl w:val="0"/>
          <w:numId w:val="47"/>
        </w:numPr>
        <w:ind w:left="284" w:hanging="284"/>
        <w:rPr>
          <w:lang w:eastAsia="en-NZ"/>
        </w:rPr>
      </w:pPr>
      <w:r w:rsidRPr="00C536D8">
        <w:rPr>
          <w:i/>
          <w:lang w:eastAsia="en-NZ"/>
        </w:rPr>
        <w:t>The percentage of graduates who go overseas increases with time.</w:t>
      </w:r>
      <w:r w:rsidRPr="0030574F">
        <w:rPr>
          <w:lang w:eastAsia="en-NZ"/>
        </w:rPr>
        <w:t xml:space="preserve">  The rate of increase also </w:t>
      </w:r>
      <w:r w:rsidR="00A03650">
        <w:rPr>
          <w:lang w:eastAsia="en-NZ"/>
        </w:rPr>
        <w:t xml:space="preserve">generally </w:t>
      </w:r>
      <w:r w:rsidRPr="0030574F">
        <w:rPr>
          <w:lang w:eastAsia="en-NZ"/>
        </w:rPr>
        <w:t>inc</w:t>
      </w:r>
      <w:r w:rsidR="00A03650">
        <w:rPr>
          <w:lang w:eastAsia="en-NZ"/>
        </w:rPr>
        <w:t>reases with qualification level</w:t>
      </w:r>
      <w:r w:rsidR="00A03650">
        <w:rPr>
          <w:rStyle w:val="FootnoteReference"/>
          <w:lang w:eastAsia="en-NZ"/>
        </w:rPr>
        <w:t xml:space="preserve"> </w:t>
      </w:r>
      <w:r w:rsidR="00A03650">
        <w:t xml:space="preserve">to level 8 </w:t>
      </w:r>
      <w:r w:rsidRPr="0030574F">
        <w:rPr>
          <w:lang w:eastAsia="en-NZ"/>
        </w:rPr>
        <w:t xml:space="preserve">so that by seven years after study, 17 percent of </w:t>
      </w:r>
      <w:r w:rsidR="00517981">
        <w:rPr>
          <w:lang w:eastAsia="en-NZ"/>
        </w:rPr>
        <w:t xml:space="preserve">level 1-3 certificate </w:t>
      </w:r>
      <w:r w:rsidRPr="0030574F">
        <w:rPr>
          <w:lang w:eastAsia="en-NZ"/>
        </w:rPr>
        <w:t xml:space="preserve">graduates are overseas, 21 percent of diploma graduates and 31 </w:t>
      </w:r>
      <w:r w:rsidR="00A03650">
        <w:rPr>
          <w:lang w:eastAsia="en-NZ"/>
        </w:rPr>
        <w:t>percent of bachelors graduates.</w:t>
      </w:r>
      <w:r w:rsidRPr="0030574F">
        <w:rPr>
          <w:lang w:eastAsia="en-NZ"/>
        </w:rPr>
        <w:t xml:space="preserve"> </w:t>
      </w:r>
      <w:r w:rsidR="00A03650">
        <w:rPr>
          <w:lang w:eastAsia="en-NZ"/>
        </w:rPr>
        <w:t xml:space="preserve"> </w:t>
      </w:r>
      <w:r w:rsidR="008E3E3F">
        <w:rPr>
          <w:lang w:eastAsia="en-NZ"/>
        </w:rPr>
        <w:t xml:space="preserve">The rate of increase is lower for young domestic masters and </w:t>
      </w:r>
      <w:r w:rsidR="005572C5">
        <w:rPr>
          <w:lang w:eastAsia="en-NZ"/>
        </w:rPr>
        <w:t xml:space="preserve">doctorate graduates – in </w:t>
      </w:r>
      <w:r w:rsidR="008E3E3F">
        <w:rPr>
          <w:lang w:eastAsia="en-NZ"/>
        </w:rPr>
        <w:t>part because of the high initial overseas rates</w:t>
      </w:r>
      <w:r w:rsidR="004453DF">
        <w:rPr>
          <w:lang w:eastAsia="en-NZ"/>
        </w:rPr>
        <w:t>.  But the proportio</w:t>
      </w:r>
      <w:r w:rsidR="00517981">
        <w:rPr>
          <w:lang w:eastAsia="en-NZ"/>
        </w:rPr>
        <w:t>ns of young masters and doctorate</w:t>
      </w:r>
      <w:r w:rsidR="004453DF">
        <w:rPr>
          <w:lang w:eastAsia="en-NZ"/>
        </w:rPr>
        <w:t xml:space="preserve"> graduates overseas</w:t>
      </w:r>
      <w:r w:rsidR="008E3E3F">
        <w:rPr>
          <w:lang w:eastAsia="en-NZ"/>
        </w:rPr>
        <w:t xml:space="preserve"> reach 37 percent and 41 percent respectively after seven years.  </w:t>
      </w:r>
      <w:r w:rsidRPr="0030574F">
        <w:rPr>
          <w:lang w:eastAsia="en-NZ"/>
        </w:rPr>
        <w:t xml:space="preserve">The difference in </w:t>
      </w:r>
      <w:r w:rsidR="008E3E3F">
        <w:rPr>
          <w:lang w:eastAsia="en-NZ"/>
        </w:rPr>
        <w:t xml:space="preserve">initial rates and </w:t>
      </w:r>
      <w:r w:rsidRPr="0030574F">
        <w:rPr>
          <w:lang w:eastAsia="en-NZ"/>
        </w:rPr>
        <w:t xml:space="preserve">rates of </w:t>
      </w:r>
      <w:r w:rsidR="008E3E3F">
        <w:rPr>
          <w:lang w:eastAsia="en-NZ"/>
        </w:rPr>
        <w:t>increase mean</w:t>
      </w:r>
      <w:r w:rsidR="004453DF">
        <w:rPr>
          <w:lang w:eastAsia="en-NZ"/>
        </w:rPr>
        <w:t>s</w:t>
      </w:r>
      <w:r w:rsidRPr="0030574F">
        <w:rPr>
          <w:lang w:eastAsia="en-NZ"/>
        </w:rPr>
        <w:t xml:space="preserve"> that</w:t>
      </w:r>
      <w:r w:rsidR="004453DF">
        <w:rPr>
          <w:lang w:eastAsia="en-NZ"/>
        </w:rPr>
        <w:t>,</w:t>
      </w:r>
      <w:r w:rsidRPr="0030574F">
        <w:rPr>
          <w:lang w:eastAsia="en-NZ"/>
        </w:rPr>
        <w:t xml:space="preserve"> from the second to third years onwards, the percentage of non-degree graduates overseas is distinctly lower than the percentage of degree level or higher graduates.</w:t>
      </w:r>
    </w:p>
    <w:p w:rsidR="009C074B" w:rsidRDefault="004453DF" w:rsidP="009C074B">
      <w:pPr>
        <w:pStyle w:val="Bullet1"/>
        <w:numPr>
          <w:ilvl w:val="0"/>
          <w:numId w:val="47"/>
        </w:numPr>
        <w:ind w:left="284" w:hanging="284"/>
        <w:rPr>
          <w:lang w:eastAsia="en-NZ"/>
        </w:rPr>
      </w:pPr>
      <w:r w:rsidRPr="00C536D8">
        <w:rPr>
          <w:i/>
          <w:lang w:eastAsia="en-NZ"/>
        </w:rPr>
        <w:t xml:space="preserve">At higher qualification levels, </w:t>
      </w:r>
      <w:r w:rsidR="009C074B" w:rsidRPr="00C536D8">
        <w:rPr>
          <w:i/>
          <w:lang w:eastAsia="en-NZ"/>
        </w:rPr>
        <w:t xml:space="preserve">the percentage of graduates overseas </w:t>
      </w:r>
      <w:r w:rsidR="005B6138">
        <w:rPr>
          <w:i/>
          <w:lang w:eastAsia="en-NZ"/>
        </w:rPr>
        <w:t xml:space="preserve">appears to </w:t>
      </w:r>
      <w:r w:rsidR="009C074B" w:rsidRPr="00C536D8">
        <w:rPr>
          <w:i/>
          <w:lang w:eastAsia="en-NZ"/>
        </w:rPr>
        <w:t>flatten off and reach a maximum around six to seven years after graduation.</w:t>
      </w:r>
      <w:r w:rsidR="009C074B" w:rsidRPr="0030574F">
        <w:rPr>
          <w:lang w:eastAsia="en-NZ"/>
        </w:rPr>
        <w:t xml:space="preserve">  The exception is doctorate students wh</w:t>
      </w:r>
      <w:r w:rsidR="00A8455B">
        <w:rPr>
          <w:lang w:eastAsia="en-NZ"/>
        </w:rPr>
        <w:t>o</w:t>
      </w:r>
      <w:r w:rsidR="009C074B" w:rsidRPr="0030574F">
        <w:rPr>
          <w:lang w:eastAsia="en-NZ"/>
        </w:rPr>
        <w:t xml:space="preserve"> reach a peak around three to four years after study.  </w:t>
      </w:r>
      <w:r>
        <w:rPr>
          <w:lang w:eastAsia="en-NZ"/>
        </w:rPr>
        <w:t>Given</w:t>
      </w:r>
      <w:r w:rsidR="009C074B" w:rsidRPr="0030574F">
        <w:rPr>
          <w:lang w:eastAsia="en-NZ"/>
        </w:rPr>
        <w:t xml:space="preserve"> the high initial number of doctorate graduates who go overseas</w:t>
      </w:r>
      <w:r>
        <w:rPr>
          <w:lang w:eastAsia="en-NZ"/>
        </w:rPr>
        <w:t>, the early flattening of the overseas proportion</w:t>
      </w:r>
      <w:r w:rsidR="009C074B" w:rsidRPr="0030574F">
        <w:rPr>
          <w:lang w:eastAsia="en-NZ"/>
        </w:rPr>
        <w:t xml:space="preserve"> is most likely due to a large number of doctorate graduates going overseas </w:t>
      </w:r>
      <w:r>
        <w:rPr>
          <w:lang w:eastAsia="en-NZ"/>
        </w:rPr>
        <w:t xml:space="preserve">immediately </w:t>
      </w:r>
      <w:r w:rsidR="009C074B" w:rsidRPr="0030574F">
        <w:rPr>
          <w:lang w:eastAsia="en-NZ"/>
        </w:rPr>
        <w:t xml:space="preserve">after their studies in order to complete a </w:t>
      </w:r>
      <w:r w:rsidRPr="0030574F">
        <w:rPr>
          <w:lang w:eastAsia="en-NZ"/>
        </w:rPr>
        <w:t>postdoctora</w:t>
      </w:r>
      <w:r>
        <w:rPr>
          <w:lang w:eastAsia="en-NZ"/>
        </w:rPr>
        <w:t>l</w:t>
      </w:r>
      <w:r w:rsidRPr="0030574F">
        <w:rPr>
          <w:lang w:eastAsia="en-NZ"/>
        </w:rPr>
        <w:t xml:space="preserve"> </w:t>
      </w:r>
      <w:r w:rsidR="009C074B" w:rsidRPr="0030574F">
        <w:rPr>
          <w:lang w:eastAsia="en-NZ"/>
        </w:rPr>
        <w:t>placement</w:t>
      </w:r>
      <w:r w:rsidR="005C5DFC">
        <w:rPr>
          <w:lang w:eastAsia="en-NZ"/>
        </w:rPr>
        <w:t>, with</w:t>
      </w:r>
      <w:r>
        <w:rPr>
          <w:lang w:eastAsia="en-NZ"/>
        </w:rPr>
        <w:t xml:space="preserve"> </w:t>
      </w:r>
      <w:r w:rsidR="00C536D8">
        <w:rPr>
          <w:lang w:eastAsia="en-NZ"/>
        </w:rPr>
        <w:t xml:space="preserve">some </w:t>
      </w:r>
      <w:r>
        <w:rPr>
          <w:lang w:eastAsia="en-NZ"/>
        </w:rPr>
        <w:t>then returning</w:t>
      </w:r>
      <w:r w:rsidR="009C074B" w:rsidRPr="0030574F">
        <w:rPr>
          <w:lang w:eastAsia="en-NZ"/>
        </w:rPr>
        <w:t>.</w:t>
      </w:r>
    </w:p>
    <w:p w:rsidR="00DE508E" w:rsidRDefault="00DE508E">
      <w:pPr>
        <w:rPr>
          <w:szCs w:val="22"/>
        </w:rPr>
      </w:pPr>
      <w:r>
        <w:rPr>
          <w:szCs w:val="22"/>
        </w:rPr>
        <w:br w:type="page"/>
      </w:r>
    </w:p>
    <w:p w:rsidR="00086B44" w:rsidRDefault="006B50E8" w:rsidP="006B50E8">
      <w:pPr>
        <w:pStyle w:val="Heading2"/>
      </w:pPr>
      <w:bookmarkStart w:id="16" w:name="_Toc387305280"/>
      <w:r>
        <w:lastRenderedPageBreak/>
        <w:t>Have overseas rates changed over time?</w:t>
      </w:r>
      <w:bookmarkEnd w:id="16"/>
    </w:p>
    <w:p w:rsidR="00DE2942" w:rsidRDefault="00911CDA" w:rsidP="00911CDA">
      <w:pPr>
        <w:pStyle w:val="Bullet1"/>
        <w:numPr>
          <w:ilvl w:val="0"/>
          <w:numId w:val="0"/>
        </w:numPr>
        <w:tabs>
          <w:tab w:val="clear" w:pos="284"/>
        </w:tabs>
        <w:spacing w:after="0" w:line="240" w:lineRule="auto"/>
        <w:rPr>
          <w:color w:val="303030"/>
          <w:szCs w:val="22"/>
          <w:lang w:eastAsia="en-NZ"/>
        </w:rPr>
      </w:pPr>
      <w:r>
        <w:rPr>
          <w:color w:val="303030"/>
          <w:lang w:eastAsia="en-NZ"/>
        </w:rPr>
        <w:t xml:space="preserve">To determine if the percentage of </w:t>
      </w:r>
      <w:r w:rsidR="008321D3">
        <w:rPr>
          <w:color w:val="303030"/>
          <w:lang w:eastAsia="en-NZ"/>
        </w:rPr>
        <w:t xml:space="preserve">young domestic </w:t>
      </w:r>
      <w:r>
        <w:rPr>
          <w:color w:val="303030"/>
          <w:lang w:eastAsia="en-NZ"/>
        </w:rPr>
        <w:t xml:space="preserve">graduates who go overseas each year has changed over time, we have looked at the </w:t>
      </w:r>
      <w:r w:rsidR="004453DF">
        <w:rPr>
          <w:color w:val="303030"/>
          <w:lang w:eastAsia="en-NZ"/>
        </w:rPr>
        <w:t>rate at which young graduates have gone</w:t>
      </w:r>
      <w:r>
        <w:rPr>
          <w:color w:val="303030"/>
          <w:lang w:eastAsia="en-NZ"/>
        </w:rPr>
        <w:t xml:space="preserve"> overseas</w:t>
      </w:r>
      <w:r w:rsidR="006B50E8" w:rsidRPr="00ED03E8">
        <w:rPr>
          <w:color w:val="303030"/>
          <w:lang w:eastAsia="en-NZ"/>
        </w:rPr>
        <w:t xml:space="preserve"> for each cohort </w:t>
      </w:r>
      <w:r w:rsidR="00DE2942">
        <w:rPr>
          <w:color w:val="303030"/>
          <w:lang w:eastAsia="en-NZ"/>
        </w:rPr>
        <w:t>of graduates over the past eight</w:t>
      </w:r>
      <w:r w:rsidR="006B50E8" w:rsidRPr="00ED03E8">
        <w:rPr>
          <w:color w:val="303030"/>
          <w:lang w:eastAsia="en-NZ"/>
        </w:rPr>
        <w:t xml:space="preserve"> years</w:t>
      </w:r>
      <w:r w:rsidR="00706D58">
        <w:rPr>
          <w:color w:val="303030"/>
          <w:lang w:eastAsia="en-NZ"/>
        </w:rPr>
        <w:t xml:space="preserve"> at similar times after study</w:t>
      </w:r>
      <w:r w:rsidR="006B50E8" w:rsidRPr="00ED03E8">
        <w:rPr>
          <w:color w:val="303030"/>
          <w:lang w:eastAsia="en-NZ"/>
        </w:rPr>
        <w:t>.  Figure</w:t>
      </w:r>
      <w:r w:rsidR="00706D58">
        <w:rPr>
          <w:color w:val="303030"/>
          <w:lang w:eastAsia="en-NZ"/>
        </w:rPr>
        <w:t xml:space="preserve"> 4</w:t>
      </w:r>
      <w:r w:rsidR="006B50E8" w:rsidRPr="00ED03E8">
        <w:rPr>
          <w:color w:val="303030"/>
          <w:lang w:eastAsia="en-NZ"/>
        </w:rPr>
        <w:t xml:space="preserve"> shows</w:t>
      </w:r>
      <w:r w:rsidR="00706D58">
        <w:rPr>
          <w:color w:val="303030"/>
          <w:lang w:eastAsia="en-NZ"/>
        </w:rPr>
        <w:t xml:space="preserve"> that the rates are comparable</w:t>
      </w:r>
      <w:r w:rsidR="006B50E8" w:rsidRPr="00ED03E8">
        <w:rPr>
          <w:color w:val="303030"/>
          <w:lang w:eastAsia="en-NZ"/>
        </w:rPr>
        <w:t xml:space="preserve"> </w:t>
      </w:r>
      <w:r w:rsidR="00706D58">
        <w:rPr>
          <w:color w:val="303030"/>
          <w:lang w:eastAsia="en-NZ"/>
        </w:rPr>
        <w:t>between</w:t>
      </w:r>
      <w:r w:rsidR="006B50E8" w:rsidRPr="00ED03E8">
        <w:rPr>
          <w:color w:val="303030"/>
          <w:lang w:eastAsia="en-NZ"/>
        </w:rPr>
        <w:t xml:space="preserve"> cohorts</w:t>
      </w:r>
      <w:r w:rsidR="00706D58">
        <w:rPr>
          <w:color w:val="303030"/>
          <w:lang w:eastAsia="en-NZ"/>
        </w:rPr>
        <w:t xml:space="preserve"> for </w:t>
      </w:r>
      <w:r w:rsidR="00EE77ED">
        <w:rPr>
          <w:color w:val="303030"/>
          <w:lang w:eastAsia="en-NZ"/>
        </w:rPr>
        <w:t>qualifications at bachelors level and below</w:t>
      </w:r>
      <w:r>
        <w:rPr>
          <w:color w:val="303030"/>
          <w:lang w:eastAsia="en-NZ"/>
        </w:rPr>
        <w:t>.</w:t>
      </w:r>
      <w:r w:rsidRPr="00911CDA">
        <w:rPr>
          <w:color w:val="303030"/>
          <w:szCs w:val="22"/>
          <w:lang w:eastAsia="en-NZ"/>
        </w:rPr>
        <w:t xml:space="preserve"> </w:t>
      </w:r>
      <w:r>
        <w:rPr>
          <w:color w:val="303030"/>
          <w:szCs w:val="22"/>
          <w:lang w:eastAsia="en-NZ"/>
        </w:rPr>
        <w:t xml:space="preserve"> </w:t>
      </w:r>
    </w:p>
    <w:p w:rsidR="00DE2942" w:rsidRDefault="00DE2942" w:rsidP="00911CDA">
      <w:pPr>
        <w:pStyle w:val="Bullet1"/>
        <w:numPr>
          <w:ilvl w:val="0"/>
          <w:numId w:val="0"/>
        </w:numPr>
        <w:tabs>
          <w:tab w:val="clear" w:pos="284"/>
        </w:tabs>
        <w:spacing w:after="0" w:line="240" w:lineRule="auto"/>
        <w:rPr>
          <w:color w:val="303030"/>
          <w:szCs w:val="22"/>
          <w:lang w:eastAsia="en-NZ"/>
        </w:rPr>
      </w:pPr>
    </w:p>
    <w:p w:rsidR="00E02206" w:rsidRDefault="00B80034" w:rsidP="00B80034">
      <w:pPr>
        <w:pStyle w:val="Bullet1"/>
        <w:numPr>
          <w:ilvl w:val="0"/>
          <w:numId w:val="0"/>
        </w:numPr>
        <w:tabs>
          <w:tab w:val="clear" w:pos="284"/>
        </w:tabs>
        <w:spacing w:after="0" w:line="240" w:lineRule="auto"/>
        <w:rPr>
          <w:color w:val="303030"/>
          <w:lang w:eastAsia="en-NZ"/>
        </w:rPr>
      </w:pPr>
      <w:r>
        <w:rPr>
          <w:color w:val="303030"/>
          <w:lang w:eastAsia="en-NZ"/>
        </w:rPr>
        <w:t>For</w:t>
      </w:r>
      <w:r w:rsidR="008321D3">
        <w:rPr>
          <w:color w:val="303030"/>
          <w:lang w:eastAsia="en-NZ"/>
        </w:rPr>
        <w:t xml:space="preserve"> young domestic</w:t>
      </w:r>
      <w:r>
        <w:rPr>
          <w:color w:val="303030"/>
          <w:lang w:eastAsia="en-NZ"/>
        </w:rPr>
        <w:t xml:space="preserve"> graduates who complete graduate certificates or diplomas, level 8 honours or postgraduate certificates or diplomas, </w:t>
      </w:r>
      <w:r w:rsidR="00EE77ED">
        <w:rPr>
          <w:color w:val="303030"/>
          <w:lang w:eastAsia="en-NZ"/>
        </w:rPr>
        <w:t xml:space="preserve">masters </w:t>
      </w:r>
      <w:r>
        <w:rPr>
          <w:color w:val="303030"/>
          <w:lang w:eastAsia="en-NZ"/>
        </w:rPr>
        <w:t xml:space="preserve">or doctorates, there are differences in </w:t>
      </w:r>
      <w:r w:rsidR="00367F16">
        <w:rPr>
          <w:color w:val="303030"/>
          <w:lang w:eastAsia="en-NZ"/>
        </w:rPr>
        <w:t xml:space="preserve">overseas rates </w:t>
      </w:r>
      <w:r w:rsidR="00E02206">
        <w:rPr>
          <w:color w:val="303030"/>
          <w:lang w:eastAsia="en-NZ"/>
        </w:rPr>
        <w:t>between cohorts:</w:t>
      </w:r>
    </w:p>
    <w:p w:rsidR="00E02206" w:rsidRDefault="00E02206" w:rsidP="00B80034">
      <w:pPr>
        <w:pStyle w:val="Bullet1"/>
        <w:numPr>
          <w:ilvl w:val="0"/>
          <w:numId w:val="0"/>
        </w:numPr>
        <w:tabs>
          <w:tab w:val="clear" w:pos="284"/>
        </w:tabs>
        <w:spacing w:after="0" w:line="240" w:lineRule="auto"/>
        <w:rPr>
          <w:color w:val="303030"/>
          <w:lang w:eastAsia="en-NZ"/>
        </w:rPr>
      </w:pPr>
    </w:p>
    <w:p w:rsidR="00C10436" w:rsidRPr="00C10436" w:rsidRDefault="00C10436" w:rsidP="00E02206">
      <w:pPr>
        <w:pStyle w:val="Bullet1"/>
        <w:numPr>
          <w:ilvl w:val="6"/>
          <w:numId w:val="33"/>
        </w:numPr>
        <w:tabs>
          <w:tab w:val="clear" w:pos="284"/>
          <w:tab w:val="clear" w:pos="5777"/>
          <w:tab w:val="num" w:pos="567"/>
        </w:tabs>
        <w:spacing w:after="0" w:line="240" w:lineRule="auto"/>
        <w:ind w:left="567" w:hanging="567"/>
        <w:rPr>
          <w:color w:val="303030"/>
          <w:lang w:eastAsia="en-NZ"/>
        </w:rPr>
      </w:pPr>
      <w:r w:rsidRPr="00C10436">
        <w:rPr>
          <w:color w:val="303030"/>
          <w:lang w:eastAsia="en-NZ"/>
        </w:rPr>
        <w:t xml:space="preserve">For those who complete a graduate certificate or diploma, </w:t>
      </w:r>
      <w:r w:rsidR="00CC0404">
        <w:rPr>
          <w:color w:val="303030"/>
          <w:lang w:eastAsia="en-NZ"/>
        </w:rPr>
        <w:t xml:space="preserve">in each of the first three years post study, </w:t>
      </w:r>
      <w:r w:rsidRPr="00C10436">
        <w:rPr>
          <w:color w:val="303030"/>
          <w:lang w:eastAsia="en-NZ"/>
        </w:rPr>
        <w:t>the percentage of graduates who go overseas generally decreases</w:t>
      </w:r>
      <w:r w:rsidR="00763393">
        <w:rPr>
          <w:color w:val="303030"/>
          <w:lang w:eastAsia="en-NZ"/>
        </w:rPr>
        <w:t xml:space="preserve"> in later cohorts</w:t>
      </w:r>
      <w:r w:rsidRPr="00C10436">
        <w:rPr>
          <w:color w:val="303030"/>
          <w:lang w:eastAsia="en-NZ"/>
        </w:rPr>
        <w:t>.</w:t>
      </w:r>
    </w:p>
    <w:p w:rsidR="00E02206" w:rsidRDefault="00E02206" w:rsidP="00E02206">
      <w:pPr>
        <w:pStyle w:val="Bullet1"/>
        <w:numPr>
          <w:ilvl w:val="0"/>
          <w:numId w:val="0"/>
        </w:numPr>
        <w:tabs>
          <w:tab w:val="clear" w:pos="284"/>
        </w:tabs>
        <w:spacing w:after="0" w:line="240" w:lineRule="auto"/>
        <w:ind w:left="567"/>
        <w:rPr>
          <w:color w:val="303030"/>
          <w:lang w:eastAsia="en-NZ"/>
        </w:rPr>
      </w:pPr>
    </w:p>
    <w:p w:rsidR="00E02206" w:rsidRDefault="00E02206" w:rsidP="00E02206">
      <w:pPr>
        <w:pStyle w:val="Bullet1"/>
        <w:numPr>
          <w:ilvl w:val="6"/>
          <w:numId w:val="33"/>
        </w:numPr>
        <w:tabs>
          <w:tab w:val="clear" w:pos="284"/>
          <w:tab w:val="clear" w:pos="5777"/>
          <w:tab w:val="num" w:pos="567"/>
        </w:tabs>
        <w:spacing w:after="0" w:line="240" w:lineRule="auto"/>
        <w:ind w:left="567" w:hanging="567"/>
        <w:rPr>
          <w:color w:val="303030"/>
          <w:lang w:eastAsia="en-NZ"/>
        </w:rPr>
      </w:pPr>
      <w:r>
        <w:rPr>
          <w:color w:val="303030"/>
          <w:lang w:eastAsia="en-NZ"/>
        </w:rPr>
        <w:t>F</w:t>
      </w:r>
      <w:r w:rsidR="009B7097">
        <w:rPr>
          <w:color w:val="303030"/>
          <w:lang w:eastAsia="en-NZ"/>
        </w:rPr>
        <w:t xml:space="preserve">or </w:t>
      </w:r>
      <w:r>
        <w:rPr>
          <w:color w:val="303030"/>
          <w:lang w:eastAsia="en-NZ"/>
        </w:rPr>
        <w:t>those</w:t>
      </w:r>
      <w:r w:rsidR="009B7097">
        <w:rPr>
          <w:color w:val="303030"/>
          <w:lang w:eastAsia="en-NZ"/>
        </w:rPr>
        <w:t xml:space="preserve"> who complete a</w:t>
      </w:r>
      <w:r>
        <w:rPr>
          <w:color w:val="303030"/>
          <w:lang w:eastAsia="en-NZ"/>
        </w:rPr>
        <w:t>n</w:t>
      </w:r>
      <w:r w:rsidR="009B7097">
        <w:rPr>
          <w:color w:val="303030"/>
          <w:lang w:eastAsia="en-NZ"/>
        </w:rPr>
        <w:t xml:space="preserve"> honours degree or postgraduate certificate or diploma, </w:t>
      </w:r>
      <w:r w:rsidR="00065FAD">
        <w:rPr>
          <w:color w:val="303030"/>
          <w:lang w:eastAsia="en-NZ"/>
        </w:rPr>
        <w:t xml:space="preserve">in each year post study </w:t>
      </w:r>
      <w:r w:rsidR="009B7097">
        <w:rPr>
          <w:color w:val="303030"/>
          <w:lang w:eastAsia="en-NZ"/>
        </w:rPr>
        <w:t>from the third year onwards, overseas rates have consistently dropp</w:t>
      </w:r>
      <w:r w:rsidR="006F438A">
        <w:rPr>
          <w:color w:val="303030"/>
          <w:lang w:eastAsia="en-NZ"/>
        </w:rPr>
        <w:t xml:space="preserve">ed </w:t>
      </w:r>
      <w:r w:rsidR="00763393">
        <w:rPr>
          <w:color w:val="303030"/>
          <w:lang w:eastAsia="en-NZ"/>
        </w:rPr>
        <w:t xml:space="preserve">in almost all later </w:t>
      </w:r>
      <w:r w:rsidR="006F438A">
        <w:rPr>
          <w:color w:val="303030"/>
          <w:lang w:eastAsia="en-NZ"/>
        </w:rPr>
        <w:t>cohorts.</w:t>
      </w:r>
    </w:p>
    <w:p w:rsidR="00D4656D" w:rsidRDefault="00D4656D">
      <w:pPr>
        <w:pStyle w:val="ListParagraph"/>
        <w:rPr>
          <w:color w:val="303030"/>
          <w:lang w:eastAsia="en-NZ"/>
        </w:rPr>
      </w:pPr>
    </w:p>
    <w:p w:rsidR="00E02206" w:rsidRPr="00557FE5" w:rsidRDefault="00C509DB" w:rsidP="008A64E6">
      <w:pPr>
        <w:pStyle w:val="Bullet1"/>
        <w:tabs>
          <w:tab w:val="clear" w:pos="284"/>
          <w:tab w:val="clear" w:pos="680"/>
          <w:tab w:val="num" w:pos="567"/>
        </w:tabs>
        <w:ind w:left="567" w:hanging="567"/>
        <w:rPr>
          <w:color w:val="303030"/>
          <w:lang w:eastAsia="en-NZ"/>
        </w:rPr>
      </w:pPr>
      <w:r w:rsidRPr="00557FE5">
        <w:rPr>
          <w:color w:val="303030"/>
          <w:lang w:eastAsia="en-NZ"/>
        </w:rPr>
        <w:t>In contrast, f</w:t>
      </w:r>
      <w:r w:rsidR="00EE77ED" w:rsidRPr="00557FE5">
        <w:rPr>
          <w:color w:val="303030"/>
          <w:lang w:eastAsia="en-NZ"/>
        </w:rPr>
        <w:t xml:space="preserve">or those who complete a masters qualification, the percentage of graduates who go overseas in </w:t>
      </w:r>
      <w:r w:rsidR="00065FAD" w:rsidRPr="00557FE5">
        <w:rPr>
          <w:color w:val="303030"/>
          <w:lang w:eastAsia="en-NZ"/>
        </w:rPr>
        <w:t xml:space="preserve">each of </w:t>
      </w:r>
      <w:r w:rsidR="00EE77ED" w:rsidRPr="00557FE5">
        <w:rPr>
          <w:color w:val="303030"/>
          <w:lang w:eastAsia="en-NZ"/>
        </w:rPr>
        <w:t>the first two years after study has</w:t>
      </w:r>
      <w:r w:rsidR="00367690" w:rsidRPr="00557FE5">
        <w:rPr>
          <w:color w:val="303030"/>
          <w:lang w:eastAsia="en-NZ"/>
        </w:rPr>
        <w:t xml:space="preserve"> mostly increased</w:t>
      </w:r>
      <w:r w:rsidR="00065FAD" w:rsidRPr="00557FE5">
        <w:rPr>
          <w:color w:val="303030"/>
          <w:lang w:eastAsia="en-NZ"/>
        </w:rPr>
        <w:t xml:space="preserve"> in later cohorts</w:t>
      </w:r>
      <w:r w:rsidR="00367690" w:rsidRPr="00557FE5">
        <w:rPr>
          <w:color w:val="303030"/>
          <w:lang w:eastAsia="en-NZ"/>
        </w:rPr>
        <w:t>.</w:t>
      </w:r>
      <w:r w:rsidR="00E5360B" w:rsidRPr="00557FE5">
        <w:rPr>
          <w:color w:val="303030"/>
          <w:lang w:eastAsia="en-NZ"/>
        </w:rPr>
        <w:t xml:space="preserve">  However, </w:t>
      </w:r>
      <w:r w:rsidR="00367690" w:rsidRPr="00557FE5">
        <w:rPr>
          <w:color w:val="303030"/>
          <w:lang w:eastAsia="en-NZ"/>
        </w:rPr>
        <w:t>for each later year post study, the rates are very similar across</w:t>
      </w:r>
      <w:r w:rsidR="00557FE5">
        <w:rPr>
          <w:color w:val="303030"/>
          <w:lang w:eastAsia="en-NZ"/>
        </w:rPr>
        <w:t xml:space="preserve"> most</w:t>
      </w:r>
      <w:r w:rsidR="00367690" w:rsidRPr="00557FE5">
        <w:rPr>
          <w:color w:val="303030"/>
          <w:lang w:eastAsia="en-NZ"/>
        </w:rPr>
        <w:t xml:space="preserve"> cohorts.</w:t>
      </w:r>
    </w:p>
    <w:p w:rsidR="00D06BF6" w:rsidRDefault="00E02206" w:rsidP="00D06BF6">
      <w:pPr>
        <w:pStyle w:val="Bullet1"/>
        <w:numPr>
          <w:ilvl w:val="6"/>
          <w:numId w:val="33"/>
        </w:numPr>
        <w:tabs>
          <w:tab w:val="clear" w:pos="284"/>
          <w:tab w:val="clear" w:pos="5777"/>
          <w:tab w:val="num" w:pos="567"/>
        </w:tabs>
        <w:spacing w:after="0" w:line="240" w:lineRule="auto"/>
        <w:ind w:left="567" w:hanging="567"/>
        <w:rPr>
          <w:color w:val="303030"/>
          <w:lang w:eastAsia="en-NZ"/>
        </w:rPr>
      </w:pPr>
      <w:r w:rsidRPr="00D06BF6">
        <w:rPr>
          <w:color w:val="303030"/>
          <w:lang w:eastAsia="en-NZ"/>
        </w:rPr>
        <w:t xml:space="preserve">For those who complete a doctorate, there are indications that the overseas rate has decreased between cohorts in the first year after study.  Rates for each cohort in other years after study show a high degree of variability which is expected as the number of young, domestic doctorate graduates each </w:t>
      </w:r>
      <w:r w:rsidR="00D06BF6" w:rsidRPr="00D06BF6">
        <w:rPr>
          <w:color w:val="303030"/>
          <w:lang w:eastAsia="en-NZ"/>
        </w:rPr>
        <w:t xml:space="preserve">year is relatively small.  This makes it difficult to determine whether observed patterns are due to an underlying reason or whether they are simply fluctuations due to </w:t>
      </w:r>
      <w:r w:rsidR="00DE5D80">
        <w:rPr>
          <w:color w:val="303030"/>
          <w:lang w:eastAsia="en-NZ"/>
        </w:rPr>
        <w:t>the</w:t>
      </w:r>
      <w:r w:rsidR="00D06BF6" w:rsidRPr="00D06BF6">
        <w:rPr>
          <w:color w:val="303030"/>
          <w:lang w:eastAsia="en-NZ"/>
        </w:rPr>
        <w:t xml:space="preserve"> effects</w:t>
      </w:r>
      <w:r w:rsidR="00DE5D80">
        <w:rPr>
          <w:color w:val="303030"/>
          <w:lang w:eastAsia="en-NZ"/>
        </w:rPr>
        <w:t xml:space="preserve"> of the small size of the group</w:t>
      </w:r>
      <w:r w:rsidR="00D06BF6" w:rsidRPr="00D06BF6">
        <w:rPr>
          <w:color w:val="303030"/>
          <w:lang w:eastAsia="en-NZ"/>
        </w:rPr>
        <w:t>.</w:t>
      </w:r>
      <w:r w:rsidR="00DE5D80" w:rsidRPr="00DE5D80">
        <w:rPr>
          <w:color w:val="303030"/>
          <w:lang w:eastAsia="en-NZ"/>
        </w:rPr>
        <w:t xml:space="preserve"> </w:t>
      </w:r>
      <w:r w:rsidR="00F51F1C">
        <w:rPr>
          <w:color w:val="303030"/>
          <w:lang w:eastAsia="en-NZ"/>
        </w:rPr>
        <w:t xml:space="preserve"> </w:t>
      </w:r>
      <w:r w:rsidR="00DE5D80">
        <w:rPr>
          <w:color w:val="303030"/>
          <w:lang w:eastAsia="en-NZ"/>
        </w:rPr>
        <w:t>F</w:t>
      </w:r>
      <w:r w:rsidR="00DE5D80" w:rsidRPr="00D06BF6">
        <w:rPr>
          <w:color w:val="303030"/>
          <w:lang w:eastAsia="en-NZ"/>
        </w:rPr>
        <w:t>or example</w:t>
      </w:r>
      <w:r w:rsidR="00DE5D80">
        <w:rPr>
          <w:color w:val="303030"/>
          <w:lang w:eastAsia="en-NZ"/>
        </w:rPr>
        <w:t>, there are</w:t>
      </w:r>
      <w:r w:rsidR="00DE5D80" w:rsidRPr="00D06BF6">
        <w:rPr>
          <w:color w:val="303030"/>
          <w:lang w:eastAsia="en-NZ"/>
        </w:rPr>
        <w:t xml:space="preserve"> </w:t>
      </w:r>
      <w:r w:rsidR="00DE5D80">
        <w:rPr>
          <w:color w:val="303030"/>
          <w:lang w:eastAsia="en-NZ"/>
        </w:rPr>
        <w:t xml:space="preserve">apparent </w:t>
      </w:r>
      <w:r w:rsidR="00DE5D80" w:rsidRPr="00D06BF6">
        <w:rPr>
          <w:color w:val="303030"/>
          <w:lang w:eastAsia="en-NZ"/>
        </w:rPr>
        <w:t>biennial peaks</w:t>
      </w:r>
      <w:r w:rsidR="00DE5D80">
        <w:rPr>
          <w:color w:val="303030"/>
          <w:lang w:eastAsia="en-NZ"/>
        </w:rPr>
        <w:t xml:space="preserve">; this may be due to fluctuations in the availability </w:t>
      </w:r>
      <w:r w:rsidR="00DE5D80" w:rsidRPr="00D06BF6">
        <w:rPr>
          <w:color w:val="303030"/>
          <w:lang w:eastAsia="en-NZ"/>
        </w:rPr>
        <w:t>of postdoctora</w:t>
      </w:r>
      <w:r w:rsidR="00DE5D80">
        <w:rPr>
          <w:color w:val="303030"/>
          <w:lang w:eastAsia="en-NZ"/>
        </w:rPr>
        <w:t>l positions overseas or it</w:t>
      </w:r>
      <w:r w:rsidR="009247D7">
        <w:rPr>
          <w:color w:val="303030"/>
          <w:lang w:eastAsia="en-NZ"/>
        </w:rPr>
        <w:t xml:space="preserve"> </w:t>
      </w:r>
      <w:r w:rsidR="00DE5D80">
        <w:rPr>
          <w:color w:val="303030"/>
          <w:lang w:eastAsia="en-NZ"/>
        </w:rPr>
        <w:t xml:space="preserve">may be </w:t>
      </w:r>
      <w:r w:rsidR="009247D7">
        <w:rPr>
          <w:color w:val="303030"/>
          <w:lang w:eastAsia="en-NZ"/>
        </w:rPr>
        <w:t>a statistical fluctuation</w:t>
      </w:r>
      <w:r w:rsidR="00E5360B">
        <w:rPr>
          <w:color w:val="303030"/>
          <w:lang w:eastAsia="en-NZ"/>
        </w:rPr>
        <w:t>.</w:t>
      </w:r>
    </w:p>
    <w:p w:rsidR="00D4656D" w:rsidRDefault="00D4656D">
      <w:pPr>
        <w:pStyle w:val="ListParagraph"/>
        <w:rPr>
          <w:color w:val="303030"/>
          <w:lang w:eastAsia="en-NZ"/>
        </w:rPr>
      </w:pPr>
    </w:p>
    <w:p w:rsidR="00C10436" w:rsidRDefault="00C10436" w:rsidP="00D06BF6">
      <w:pPr>
        <w:pStyle w:val="Bullet1"/>
        <w:numPr>
          <w:ilvl w:val="6"/>
          <w:numId w:val="33"/>
        </w:numPr>
        <w:tabs>
          <w:tab w:val="clear" w:pos="284"/>
          <w:tab w:val="clear" w:pos="5777"/>
          <w:tab w:val="num" w:pos="567"/>
        </w:tabs>
        <w:spacing w:after="0" w:line="240" w:lineRule="auto"/>
        <w:ind w:left="567" w:hanging="567"/>
        <w:rPr>
          <w:color w:val="303030"/>
          <w:lang w:eastAsia="en-NZ"/>
        </w:rPr>
      </w:pPr>
      <w:r>
        <w:rPr>
          <w:color w:val="303030"/>
          <w:lang w:eastAsia="en-NZ"/>
        </w:rPr>
        <w:t xml:space="preserve">There seems to be no particular increase or decrease in the percentage of young domestic graduates who go overseas which corresponds to the </w:t>
      </w:r>
      <w:r w:rsidR="003F0B99">
        <w:rPr>
          <w:color w:val="303030"/>
          <w:lang w:eastAsia="en-NZ"/>
        </w:rPr>
        <w:t xml:space="preserve">period of the </w:t>
      </w:r>
      <w:r>
        <w:rPr>
          <w:color w:val="303030"/>
          <w:lang w:eastAsia="en-NZ"/>
        </w:rPr>
        <w:t>global financial crisis</w:t>
      </w:r>
      <w:r w:rsidR="005A22AE">
        <w:rPr>
          <w:color w:val="303030"/>
          <w:lang w:eastAsia="en-NZ"/>
        </w:rPr>
        <w:t xml:space="preserve"> (see Figure 4b)</w:t>
      </w:r>
      <w:r w:rsidR="003F0B99">
        <w:rPr>
          <w:color w:val="303030"/>
          <w:lang w:eastAsia="en-NZ"/>
        </w:rPr>
        <w:t>.</w:t>
      </w:r>
    </w:p>
    <w:p w:rsidR="00D06BF6" w:rsidRDefault="00D06BF6" w:rsidP="00D06BF6">
      <w:pPr>
        <w:pStyle w:val="Bullet1"/>
        <w:numPr>
          <w:ilvl w:val="0"/>
          <w:numId w:val="0"/>
        </w:numPr>
        <w:tabs>
          <w:tab w:val="clear" w:pos="284"/>
        </w:tabs>
        <w:spacing w:after="0" w:line="240" w:lineRule="auto"/>
        <w:rPr>
          <w:color w:val="303030"/>
          <w:lang w:eastAsia="en-NZ"/>
        </w:rPr>
      </w:pPr>
      <w:r w:rsidRPr="00D06BF6">
        <w:rPr>
          <w:color w:val="303030"/>
          <w:lang w:eastAsia="en-NZ"/>
        </w:rPr>
        <w:t xml:space="preserve"> </w:t>
      </w:r>
    </w:p>
    <w:p w:rsidR="00911CDA" w:rsidRDefault="00DE2942" w:rsidP="00911CDA">
      <w:pPr>
        <w:pStyle w:val="Bullet1"/>
        <w:numPr>
          <w:ilvl w:val="0"/>
          <w:numId w:val="0"/>
        </w:numPr>
        <w:tabs>
          <w:tab w:val="clear" w:pos="284"/>
        </w:tabs>
        <w:spacing w:after="0" w:line="240" w:lineRule="auto"/>
        <w:rPr>
          <w:color w:val="303030"/>
          <w:lang w:eastAsia="en-NZ"/>
        </w:rPr>
      </w:pPr>
      <w:r>
        <w:rPr>
          <w:color w:val="303030"/>
          <w:szCs w:val="22"/>
          <w:lang w:eastAsia="en-NZ"/>
        </w:rPr>
        <w:t xml:space="preserve">Overall, these results suggest that the </w:t>
      </w:r>
      <w:r w:rsidR="00911CDA" w:rsidRPr="00911CDA">
        <w:rPr>
          <w:color w:val="303030"/>
          <w:lang w:eastAsia="en-NZ"/>
        </w:rPr>
        <w:t>trends we see in these new tables on destinations is in line with earlier years’ data – there ha</w:t>
      </w:r>
      <w:r w:rsidR="003F0B99">
        <w:rPr>
          <w:color w:val="303030"/>
          <w:lang w:eastAsia="en-NZ"/>
        </w:rPr>
        <w:t>ve</w:t>
      </w:r>
      <w:r w:rsidR="00911CDA" w:rsidRPr="00911CDA">
        <w:rPr>
          <w:color w:val="303030"/>
          <w:lang w:eastAsia="en-NZ"/>
        </w:rPr>
        <w:t xml:space="preserve"> been </w:t>
      </w:r>
      <w:r w:rsidR="003F0B99">
        <w:rPr>
          <w:color w:val="303030"/>
          <w:lang w:eastAsia="en-NZ"/>
        </w:rPr>
        <w:t>very few changes</w:t>
      </w:r>
      <w:r w:rsidR="00911CDA" w:rsidRPr="00911CDA">
        <w:rPr>
          <w:color w:val="303030"/>
          <w:lang w:eastAsia="en-NZ"/>
        </w:rPr>
        <w:t xml:space="preserve"> in the rate of de</w:t>
      </w:r>
      <w:r>
        <w:rPr>
          <w:color w:val="303030"/>
          <w:lang w:eastAsia="en-NZ"/>
        </w:rPr>
        <w:t>parture of young New Zealanders</w:t>
      </w:r>
      <w:r w:rsidR="00B80034">
        <w:rPr>
          <w:color w:val="303030"/>
          <w:lang w:eastAsia="en-NZ"/>
        </w:rPr>
        <w:t xml:space="preserve"> at most qualification levels</w:t>
      </w:r>
      <w:r>
        <w:rPr>
          <w:color w:val="303030"/>
          <w:lang w:eastAsia="en-NZ"/>
        </w:rPr>
        <w:t xml:space="preserve">.  There are also indications that the percentage of young domestic graduates </w:t>
      </w:r>
      <w:r w:rsidR="00B80034">
        <w:rPr>
          <w:color w:val="303030"/>
          <w:lang w:eastAsia="en-NZ"/>
        </w:rPr>
        <w:t xml:space="preserve">who go </w:t>
      </w:r>
      <w:r>
        <w:rPr>
          <w:color w:val="303030"/>
          <w:lang w:eastAsia="en-NZ"/>
        </w:rPr>
        <w:t>oversea</w:t>
      </w:r>
      <w:r w:rsidR="006F438A">
        <w:rPr>
          <w:color w:val="303030"/>
          <w:lang w:eastAsia="en-NZ"/>
        </w:rPr>
        <w:t>s</w:t>
      </w:r>
      <w:r w:rsidR="00B80034">
        <w:rPr>
          <w:color w:val="303030"/>
          <w:lang w:eastAsia="en-NZ"/>
        </w:rPr>
        <w:t xml:space="preserve"> may be decreasing in more recent cohorts for those who have studied g</w:t>
      </w:r>
      <w:r w:rsidR="00557FE5">
        <w:rPr>
          <w:color w:val="303030"/>
          <w:lang w:eastAsia="en-NZ"/>
        </w:rPr>
        <w:t>raduate certificates or diplomas</w:t>
      </w:r>
      <w:r w:rsidR="000867AC">
        <w:rPr>
          <w:color w:val="303030"/>
          <w:lang w:eastAsia="en-NZ"/>
        </w:rPr>
        <w:t>, bachelors with honours, or postgraduate certificate or diploma</w:t>
      </w:r>
      <w:r w:rsidR="00557FE5">
        <w:rPr>
          <w:color w:val="303030"/>
          <w:lang w:eastAsia="en-NZ"/>
        </w:rPr>
        <w:t xml:space="preserve"> </w:t>
      </w:r>
      <w:r w:rsidR="00B80034">
        <w:rPr>
          <w:color w:val="303030"/>
          <w:lang w:eastAsia="en-NZ"/>
        </w:rPr>
        <w:t>qualifications</w:t>
      </w:r>
      <w:r w:rsidR="003F0B99">
        <w:rPr>
          <w:color w:val="303030"/>
          <w:lang w:eastAsia="en-NZ"/>
        </w:rPr>
        <w:t xml:space="preserve"> but increasing in the first two years post study for masters graduates</w:t>
      </w:r>
      <w:r w:rsidR="00557FE5">
        <w:rPr>
          <w:color w:val="303030"/>
          <w:lang w:eastAsia="en-NZ"/>
        </w:rPr>
        <w:t>.</w:t>
      </w:r>
    </w:p>
    <w:p w:rsidR="0023089A" w:rsidRDefault="0023089A" w:rsidP="00911CDA">
      <w:pPr>
        <w:pStyle w:val="Bullet1"/>
        <w:numPr>
          <w:ilvl w:val="0"/>
          <w:numId w:val="0"/>
        </w:numPr>
        <w:tabs>
          <w:tab w:val="clear" w:pos="284"/>
        </w:tabs>
        <w:spacing w:after="0" w:line="240" w:lineRule="auto"/>
        <w:rPr>
          <w:color w:val="303030"/>
          <w:lang w:eastAsia="en-NZ"/>
        </w:rPr>
      </w:pPr>
    </w:p>
    <w:p w:rsidR="004B1A2A" w:rsidRDefault="004B1A2A" w:rsidP="00911CDA">
      <w:pPr>
        <w:pStyle w:val="Bullet1"/>
        <w:numPr>
          <w:ilvl w:val="0"/>
          <w:numId w:val="0"/>
        </w:numPr>
        <w:tabs>
          <w:tab w:val="clear" w:pos="284"/>
        </w:tabs>
        <w:spacing w:after="0" w:line="240" w:lineRule="auto"/>
        <w:rPr>
          <w:color w:val="303030"/>
          <w:lang w:eastAsia="en-NZ"/>
        </w:rPr>
      </w:pPr>
    </w:p>
    <w:p w:rsidR="00923746" w:rsidRDefault="00923746" w:rsidP="00911CDA">
      <w:pPr>
        <w:pStyle w:val="BodyText"/>
        <w:rPr>
          <w:rFonts w:ascii="Arial" w:hAnsi="Arial" w:cs="Arial"/>
          <w:b/>
          <w:bCs/>
          <w:sz w:val="15"/>
        </w:rPr>
      </w:pPr>
      <w:r>
        <w:br w:type="page"/>
      </w:r>
    </w:p>
    <w:p w:rsidR="00911CDA" w:rsidRPr="00CF0181" w:rsidRDefault="001502AD" w:rsidP="00F13DBA">
      <w:pPr>
        <w:pStyle w:val="Caption"/>
      </w:pPr>
      <w:r w:rsidRPr="00CF0181">
        <w:lastRenderedPageBreak/>
        <w:t xml:space="preserve">Figure </w:t>
      </w:r>
      <w:r w:rsidR="00145B2B">
        <w:t>4</w:t>
      </w:r>
      <w:r w:rsidR="00CD3343">
        <w:t>a</w:t>
      </w:r>
    </w:p>
    <w:p w:rsidR="00911CDA" w:rsidRDefault="00911CDA" w:rsidP="00CF0181">
      <w:pPr>
        <w:pStyle w:val="Figurelabel"/>
      </w:pPr>
      <w:bookmarkStart w:id="17" w:name="_Toc385923099"/>
      <w:bookmarkStart w:id="18" w:name="_Toc387305354"/>
      <w:r>
        <w:t>Percentage of young domestic graduates who were overseas for 9 months or more in each year after study, for each individual cohort of graduates from 2003 to 2010, by qualification level</w:t>
      </w:r>
      <w:bookmarkEnd w:id="17"/>
      <w:bookmarkEnd w:id="18"/>
    </w:p>
    <w:p w:rsidR="00911CDA" w:rsidRPr="007F01F4" w:rsidRDefault="00911CDA" w:rsidP="00911CDA"/>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911CDA" w:rsidTr="00911CDA">
        <w:trPr>
          <w:jc w:val="center"/>
        </w:trPr>
        <w:tc>
          <w:tcPr>
            <w:tcW w:w="4261" w:type="dxa"/>
          </w:tcPr>
          <w:p w:rsidR="00911CDA" w:rsidRDefault="00911CDA" w:rsidP="00911CDA">
            <w:pPr>
              <w:jc w:val="both"/>
              <w:rPr>
                <w:bCs/>
                <w:sz w:val="15"/>
                <w:szCs w:val="20"/>
              </w:rPr>
            </w:pPr>
            <w:r>
              <w:rPr>
                <w:bCs/>
                <w:sz w:val="15"/>
                <w:szCs w:val="20"/>
              </w:rPr>
              <w:t>Level 1 – 3 certificates</w:t>
            </w:r>
          </w:p>
          <w:p w:rsidR="00911CDA" w:rsidRDefault="00911CDA" w:rsidP="00911CDA">
            <w:pPr>
              <w:jc w:val="both"/>
              <w:rPr>
                <w:i/>
              </w:rPr>
            </w:pPr>
            <w:r>
              <w:rPr>
                <w:i/>
                <w:noProof/>
                <w:lang w:eastAsia="en-NZ"/>
              </w:rPr>
              <w:drawing>
                <wp:inline distT="0" distB="0" distL="0" distR="0">
                  <wp:extent cx="2513226" cy="1764000"/>
                  <wp:effectExtent l="19050" t="0" r="1374"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2513226" cy="1764000"/>
                          </a:xfrm>
                          <a:prstGeom prst="rect">
                            <a:avLst/>
                          </a:prstGeom>
                          <a:noFill/>
                          <a:ln w="9525">
                            <a:noFill/>
                            <a:miter lim="800000"/>
                            <a:headEnd/>
                            <a:tailEnd/>
                          </a:ln>
                        </pic:spPr>
                      </pic:pic>
                    </a:graphicData>
                  </a:graphic>
                </wp:inline>
              </w:drawing>
            </w:r>
          </w:p>
        </w:tc>
        <w:tc>
          <w:tcPr>
            <w:tcW w:w="4261" w:type="dxa"/>
          </w:tcPr>
          <w:p w:rsidR="00911CDA" w:rsidRDefault="00911CDA" w:rsidP="00911CDA">
            <w:pPr>
              <w:jc w:val="both"/>
              <w:rPr>
                <w:bCs/>
                <w:sz w:val="15"/>
                <w:szCs w:val="20"/>
              </w:rPr>
            </w:pPr>
            <w:r>
              <w:rPr>
                <w:bCs/>
                <w:sz w:val="15"/>
                <w:szCs w:val="20"/>
              </w:rPr>
              <w:t>Level 4 certificates</w:t>
            </w:r>
          </w:p>
          <w:p w:rsidR="00911CDA" w:rsidRDefault="00911CDA" w:rsidP="00911CDA">
            <w:pPr>
              <w:jc w:val="both"/>
              <w:rPr>
                <w:i/>
              </w:rPr>
            </w:pPr>
            <w:r>
              <w:rPr>
                <w:i/>
                <w:noProof/>
                <w:lang w:eastAsia="en-NZ"/>
              </w:rPr>
              <w:drawing>
                <wp:inline distT="0" distB="0" distL="0" distR="0">
                  <wp:extent cx="2503742" cy="1764000"/>
                  <wp:effectExtent l="19050" t="0" r="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2503742" cy="1764000"/>
                          </a:xfrm>
                          <a:prstGeom prst="rect">
                            <a:avLst/>
                          </a:prstGeom>
                          <a:noFill/>
                          <a:ln w="9525">
                            <a:noFill/>
                            <a:miter lim="800000"/>
                            <a:headEnd/>
                            <a:tailEnd/>
                          </a:ln>
                        </pic:spPr>
                      </pic:pic>
                    </a:graphicData>
                  </a:graphic>
                </wp:inline>
              </w:drawing>
            </w:r>
          </w:p>
        </w:tc>
      </w:tr>
      <w:tr w:rsidR="00911CDA" w:rsidTr="00911CDA">
        <w:trPr>
          <w:jc w:val="center"/>
        </w:trPr>
        <w:tc>
          <w:tcPr>
            <w:tcW w:w="4261" w:type="dxa"/>
          </w:tcPr>
          <w:p w:rsidR="00911CDA" w:rsidRPr="002077A6" w:rsidRDefault="00911CDA" w:rsidP="00911CDA">
            <w:pPr>
              <w:jc w:val="both"/>
              <w:rPr>
                <w:bCs/>
                <w:sz w:val="15"/>
                <w:szCs w:val="20"/>
              </w:rPr>
            </w:pPr>
            <w:r>
              <w:rPr>
                <w:bCs/>
                <w:sz w:val="15"/>
                <w:szCs w:val="20"/>
              </w:rPr>
              <w:t>Diplomas</w:t>
            </w:r>
          </w:p>
          <w:p w:rsidR="00911CDA" w:rsidRPr="002077A6" w:rsidRDefault="00911CDA" w:rsidP="00911CDA">
            <w:pPr>
              <w:jc w:val="both"/>
              <w:rPr>
                <w:bCs/>
                <w:sz w:val="15"/>
                <w:szCs w:val="20"/>
              </w:rPr>
            </w:pPr>
            <w:r>
              <w:rPr>
                <w:bCs/>
                <w:noProof/>
                <w:sz w:val="15"/>
                <w:szCs w:val="20"/>
                <w:lang w:eastAsia="en-NZ"/>
              </w:rPr>
              <w:drawing>
                <wp:inline distT="0" distB="0" distL="0" distR="0">
                  <wp:extent cx="2503742" cy="1764000"/>
                  <wp:effectExtent l="1905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2503742" cy="1764000"/>
                          </a:xfrm>
                          <a:prstGeom prst="rect">
                            <a:avLst/>
                          </a:prstGeom>
                          <a:noFill/>
                          <a:ln w="9525">
                            <a:noFill/>
                            <a:miter lim="800000"/>
                            <a:headEnd/>
                            <a:tailEnd/>
                          </a:ln>
                        </pic:spPr>
                      </pic:pic>
                    </a:graphicData>
                  </a:graphic>
                </wp:inline>
              </w:drawing>
            </w:r>
          </w:p>
        </w:tc>
        <w:tc>
          <w:tcPr>
            <w:tcW w:w="4261" w:type="dxa"/>
          </w:tcPr>
          <w:p w:rsidR="00911CDA" w:rsidRDefault="00911CDA" w:rsidP="00911CDA">
            <w:pPr>
              <w:jc w:val="both"/>
              <w:rPr>
                <w:bCs/>
                <w:sz w:val="15"/>
                <w:szCs w:val="20"/>
              </w:rPr>
            </w:pPr>
            <w:r w:rsidRPr="002077A6">
              <w:rPr>
                <w:bCs/>
                <w:sz w:val="15"/>
                <w:szCs w:val="20"/>
              </w:rPr>
              <w:t>Bachelors</w:t>
            </w:r>
          </w:p>
          <w:p w:rsidR="00911CDA" w:rsidRPr="002077A6" w:rsidRDefault="00911CDA" w:rsidP="00911CDA">
            <w:pPr>
              <w:jc w:val="both"/>
              <w:rPr>
                <w:bCs/>
                <w:sz w:val="15"/>
                <w:szCs w:val="20"/>
              </w:rPr>
            </w:pPr>
            <w:r>
              <w:rPr>
                <w:bCs/>
                <w:noProof/>
                <w:sz w:val="15"/>
                <w:szCs w:val="20"/>
                <w:lang w:eastAsia="en-NZ"/>
              </w:rPr>
              <w:drawing>
                <wp:inline distT="0" distB="0" distL="0" distR="0">
                  <wp:extent cx="2503742" cy="1764000"/>
                  <wp:effectExtent l="1905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2503742" cy="1764000"/>
                          </a:xfrm>
                          <a:prstGeom prst="rect">
                            <a:avLst/>
                          </a:prstGeom>
                          <a:noFill/>
                          <a:ln w="9525">
                            <a:noFill/>
                            <a:miter lim="800000"/>
                            <a:headEnd/>
                            <a:tailEnd/>
                          </a:ln>
                        </pic:spPr>
                      </pic:pic>
                    </a:graphicData>
                  </a:graphic>
                </wp:inline>
              </w:drawing>
            </w:r>
          </w:p>
          <w:p w:rsidR="00911CDA" w:rsidRPr="002077A6" w:rsidRDefault="00911CDA" w:rsidP="00911CDA">
            <w:pPr>
              <w:jc w:val="both"/>
              <w:rPr>
                <w:bCs/>
                <w:sz w:val="15"/>
                <w:szCs w:val="20"/>
              </w:rPr>
            </w:pPr>
          </w:p>
        </w:tc>
      </w:tr>
      <w:tr w:rsidR="00911CDA" w:rsidTr="00911CDA">
        <w:trPr>
          <w:jc w:val="center"/>
        </w:trPr>
        <w:tc>
          <w:tcPr>
            <w:tcW w:w="4261" w:type="dxa"/>
          </w:tcPr>
          <w:p w:rsidR="00911CDA" w:rsidRPr="002077A6" w:rsidRDefault="00911CDA" w:rsidP="00911CDA">
            <w:pPr>
              <w:jc w:val="both"/>
              <w:rPr>
                <w:bCs/>
                <w:sz w:val="15"/>
                <w:szCs w:val="20"/>
              </w:rPr>
            </w:pPr>
            <w:r w:rsidRPr="002077A6">
              <w:rPr>
                <w:bCs/>
                <w:sz w:val="15"/>
                <w:szCs w:val="20"/>
              </w:rPr>
              <w:t>Level 7 graduate cert</w:t>
            </w:r>
            <w:r w:rsidR="00D64B6B">
              <w:rPr>
                <w:bCs/>
                <w:sz w:val="15"/>
                <w:szCs w:val="20"/>
              </w:rPr>
              <w:t>ificate</w:t>
            </w:r>
            <w:r w:rsidRPr="002077A6">
              <w:rPr>
                <w:bCs/>
                <w:sz w:val="15"/>
                <w:szCs w:val="20"/>
              </w:rPr>
              <w:t>s/dip</w:t>
            </w:r>
            <w:r w:rsidR="00D64B6B">
              <w:rPr>
                <w:bCs/>
                <w:sz w:val="15"/>
                <w:szCs w:val="20"/>
              </w:rPr>
              <w:t>loma</w:t>
            </w:r>
            <w:r w:rsidRPr="002077A6">
              <w:rPr>
                <w:bCs/>
                <w:sz w:val="15"/>
                <w:szCs w:val="20"/>
              </w:rPr>
              <w:t>s</w:t>
            </w:r>
          </w:p>
          <w:p w:rsidR="00911CDA" w:rsidRDefault="00911CDA" w:rsidP="00911CDA">
            <w:pPr>
              <w:jc w:val="both"/>
              <w:rPr>
                <w:i/>
              </w:rPr>
            </w:pPr>
            <w:r>
              <w:rPr>
                <w:i/>
                <w:noProof/>
                <w:lang w:eastAsia="en-NZ"/>
              </w:rPr>
              <w:drawing>
                <wp:inline distT="0" distB="0" distL="0" distR="0">
                  <wp:extent cx="2503742" cy="1764000"/>
                  <wp:effectExtent l="19050" t="0" r="0" b="0"/>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2503742" cy="1764000"/>
                          </a:xfrm>
                          <a:prstGeom prst="rect">
                            <a:avLst/>
                          </a:prstGeom>
                          <a:noFill/>
                          <a:ln w="9525">
                            <a:noFill/>
                            <a:miter lim="800000"/>
                            <a:headEnd/>
                            <a:tailEnd/>
                          </a:ln>
                        </pic:spPr>
                      </pic:pic>
                    </a:graphicData>
                  </a:graphic>
                </wp:inline>
              </w:drawing>
            </w:r>
          </w:p>
        </w:tc>
        <w:tc>
          <w:tcPr>
            <w:tcW w:w="4261" w:type="dxa"/>
          </w:tcPr>
          <w:p w:rsidR="00911CDA" w:rsidRPr="002077A6" w:rsidRDefault="00911CDA" w:rsidP="00911CDA">
            <w:pPr>
              <w:jc w:val="both"/>
              <w:rPr>
                <w:bCs/>
                <w:sz w:val="15"/>
                <w:szCs w:val="20"/>
              </w:rPr>
            </w:pPr>
            <w:r w:rsidRPr="002077A6">
              <w:rPr>
                <w:bCs/>
                <w:sz w:val="15"/>
                <w:szCs w:val="20"/>
              </w:rPr>
              <w:t>Level 8 honours/postgrad</w:t>
            </w:r>
            <w:r w:rsidR="00D64B6B">
              <w:rPr>
                <w:bCs/>
                <w:sz w:val="15"/>
                <w:szCs w:val="20"/>
              </w:rPr>
              <w:t>uate</w:t>
            </w:r>
            <w:r w:rsidRPr="002077A6">
              <w:rPr>
                <w:bCs/>
                <w:sz w:val="15"/>
                <w:szCs w:val="20"/>
              </w:rPr>
              <w:t xml:space="preserve"> cert</w:t>
            </w:r>
            <w:r w:rsidR="00D64B6B">
              <w:rPr>
                <w:bCs/>
                <w:sz w:val="15"/>
                <w:szCs w:val="20"/>
              </w:rPr>
              <w:t>ificate</w:t>
            </w:r>
            <w:r w:rsidRPr="002077A6">
              <w:rPr>
                <w:bCs/>
                <w:sz w:val="15"/>
                <w:szCs w:val="20"/>
              </w:rPr>
              <w:t>s/dip</w:t>
            </w:r>
            <w:r w:rsidR="00D64B6B">
              <w:rPr>
                <w:bCs/>
                <w:sz w:val="15"/>
                <w:szCs w:val="20"/>
              </w:rPr>
              <w:t>loma</w:t>
            </w:r>
            <w:r w:rsidRPr="002077A6">
              <w:rPr>
                <w:bCs/>
                <w:sz w:val="15"/>
                <w:szCs w:val="20"/>
              </w:rPr>
              <w:t>s</w:t>
            </w:r>
          </w:p>
          <w:p w:rsidR="00911CDA" w:rsidRDefault="00911CDA" w:rsidP="00911CDA">
            <w:pPr>
              <w:jc w:val="both"/>
              <w:rPr>
                <w:i/>
              </w:rPr>
            </w:pPr>
            <w:r>
              <w:rPr>
                <w:i/>
                <w:noProof/>
                <w:lang w:eastAsia="en-NZ"/>
              </w:rPr>
              <w:drawing>
                <wp:inline distT="0" distB="0" distL="0" distR="0">
                  <wp:extent cx="2503742" cy="1764000"/>
                  <wp:effectExtent l="19050" t="0" r="0" b="0"/>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2503742" cy="1764000"/>
                          </a:xfrm>
                          <a:prstGeom prst="rect">
                            <a:avLst/>
                          </a:prstGeom>
                          <a:noFill/>
                          <a:ln w="9525">
                            <a:noFill/>
                            <a:miter lim="800000"/>
                            <a:headEnd/>
                            <a:tailEnd/>
                          </a:ln>
                        </pic:spPr>
                      </pic:pic>
                    </a:graphicData>
                  </a:graphic>
                </wp:inline>
              </w:drawing>
            </w:r>
          </w:p>
        </w:tc>
      </w:tr>
      <w:tr w:rsidR="00911CDA" w:rsidTr="00911CDA">
        <w:trPr>
          <w:jc w:val="center"/>
        </w:trPr>
        <w:tc>
          <w:tcPr>
            <w:tcW w:w="4261" w:type="dxa"/>
          </w:tcPr>
          <w:p w:rsidR="00911CDA" w:rsidRDefault="00911CDA" w:rsidP="00911CDA">
            <w:pPr>
              <w:jc w:val="both"/>
              <w:rPr>
                <w:bCs/>
                <w:sz w:val="15"/>
                <w:szCs w:val="20"/>
              </w:rPr>
            </w:pPr>
            <w:r w:rsidRPr="002077A6">
              <w:rPr>
                <w:bCs/>
                <w:sz w:val="15"/>
                <w:szCs w:val="20"/>
              </w:rPr>
              <w:t>Masters</w:t>
            </w:r>
          </w:p>
          <w:p w:rsidR="00911CDA" w:rsidRPr="00FA69DC" w:rsidRDefault="00911CDA" w:rsidP="00911CDA">
            <w:pPr>
              <w:jc w:val="both"/>
              <w:rPr>
                <w:bCs/>
                <w:sz w:val="15"/>
                <w:szCs w:val="20"/>
              </w:rPr>
            </w:pPr>
            <w:r>
              <w:rPr>
                <w:bCs/>
                <w:noProof/>
                <w:sz w:val="15"/>
                <w:szCs w:val="20"/>
                <w:lang w:eastAsia="en-NZ"/>
              </w:rPr>
              <w:drawing>
                <wp:inline distT="0" distB="0" distL="0" distR="0">
                  <wp:extent cx="2505600" cy="2062222"/>
                  <wp:effectExtent l="19050" t="0" r="9000" b="0"/>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2505600" cy="2062222"/>
                          </a:xfrm>
                          <a:prstGeom prst="rect">
                            <a:avLst/>
                          </a:prstGeom>
                          <a:noFill/>
                          <a:ln w="9525">
                            <a:noFill/>
                            <a:miter lim="800000"/>
                            <a:headEnd/>
                            <a:tailEnd/>
                          </a:ln>
                        </pic:spPr>
                      </pic:pic>
                    </a:graphicData>
                  </a:graphic>
                </wp:inline>
              </w:drawing>
            </w:r>
          </w:p>
        </w:tc>
        <w:tc>
          <w:tcPr>
            <w:tcW w:w="4261" w:type="dxa"/>
          </w:tcPr>
          <w:p w:rsidR="00911CDA" w:rsidRDefault="00911CDA" w:rsidP="00911CDA">
            <w:pPr>
              <w:jc w:val="both"/>
              <w:rPr>
                <w:i/>
              </w:rPr>
            </w:pPr>
            <w:r w:rsidRPr="002077A6">
              <w:rPr>
                <w:bCs/>
                <w:sz w:val="15"/>
                <w:szCs w:val="20"/>
              </w:rPr>
              <w:t>Doctorates</w:t>
            </w:r>
            <w:r>
              <w:rPr>
                <w:i/>
                <w:noProof/>
                <w:lang w:eastAsia="en-NZ"/>
              </w:rPr>
              <w:drawing>
                <wp:inline distT="0" distB="0" distL="0" distR="0">
                  <wp:extent cx="2505600" cy="2062222"/>
                  <wp:effectExtent l="19050" t="0" r="9000"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2505600" cy="2062222"/>
                          </a:xfrm>
                          <a:prstGeom prst="rect">
                            <a:avLst/>
                          </a:prstGeom>
                          <a:noFill/>
                          <a:ln w="9525">
                            <a:noFill/>
                            <a:miter lim="800000"/>
                            <a:headEnd/>
                            <a:tailEnd/>
                          </a:ln>
                        </pic:spPr>
                      </pic:pic>
                    </a:graphicData>
                  </a:graphic>
                </wp:inline>
              </w:drawing>
            </w:r>
          </w:p>
        </w:tc>
      </w:tr>
    </w:tbl>
    <w:p w:rsidR="00911CDA" w:rsidRDefault="00911CDA" w:rsidP="00911CDA">
      <w:pPr>
        <w:jc w:val="both"/>
        <w:rPr>
          <w:i/>
          <w:szCs w:val="22"/>
        </w:rPr>
      </w:pPr>
      <w:r>
        <w:rPr>
          <w:i/>
          <w:noProof/>
          <w:szCs w:val="22"/>
          <w:lang w:eastAsia="en-NZ"/>
        </w:rPr>
        <w:drawing>
          <wp:anchor distT="0" distB="0" distL="114300" distR="114300" simplePos="0" relativeHeight="251659264" behindDoc="1" locked="0" layoutInCell="1" allowOverlap="1">
            <wp:simplePos x="0" y="0"/>
            <wp:positionH relativeFrom="column">
              <wp:posOffset>647700</wp:posOffset>
            </wp:positionH>
            <wp:positionV relativeFrom="paragraph">
              <wp:posOffset>85725</wp:posOffset>
            </wp:positionV>
            <wp:extent cx="3886200" cy="457200"/>
            <wp:effectExtent l="1905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3886200" cy="457200"/>
                    </a:xfrm>
                    <a:prstGeom prst="rect">
                      <a:avLst/>
                    </a:prstGeom>
                    <a:noFill/>
                    <a:ln w="9525">
                      <a:noFill/>
                      <a:miter lim="800000"/>
                      <a:headEnd/>
                      <a:tailEnd/>
                    </a:ln>
                  </pic:spPr>
                </pic:pic>
              </a:graphicData>
            </a:graphic>
          </wp:anchor>
        </w:drawing>
      </w:r>
    </w:p>
    <w:p w:rsidR="00CD3343" w:rsidRDefault="00CD3343">
      <w:pPr>
        <w:rPr>
          <w:rFonts w:ascii="Arial" w:hAnsi="Arial" w:cs="Arial"/>
          <w:b/>
          <w:bCs/>
          <w:sz w:val="15"/>
          <w:szCs w:val="20"/>
        </w:rPr>
      </w:pPr>
      <w:r>
        <w:br w:type="page"/>
      </w:r>
    </w:p>
    <w:p w:rsidR="00CD3343" w:rsidRPr="00CF0181" w:rsidRDefault="00CD3343" w:rsidP="00CD3343">
      <w:pPr>
        <w:pStyle w:val="Caption"/>
      </w:pPr>
      <w:r w:rsidRPr="005B0457">
        <w:lastRenderedPageBreak/>
        <w:t xml:space="preserve">Figure </w:t>
      </w:r>
      <w:r w:rsidR="003D341C" w:rsidRPr="005B0457">
        <w:t>4b</w:t>
      </w:r>
      <w:r w:rsidR="005B0457" w:rsidRPr="005B0457">
        <w:t>.</w:t>
      </w:r>
    </w:p>
    <w:p w:rsidR="00CD3343" w:rsidRPr="007F01F4" w:rsidRDefault="00CD3343" w:rsidP="00A629FE">
      <w:pPr>
        <w:pStyle w:val="Figurelabel"/>
      </w:pPr>
      <w:bookmarkStart w:id="19" w:name="_Toc387305355"/>
      <w:r>
        <w:t xml:space="preserve">Percentage of young domestic graduates who were overseas for 9 months </w:t>
      </w:r>
      <w:r w:rsidR="00517344">
        <w:t>or more for each cohort</w:t>
      </w:r>
      <w:r>
        <w:t>, for each year after study, by qualification level.</w:t>
      </w:r>
      <w:bookmarkEnd w:id="1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gridCol w:w="198"/>
      </w:tblGrid>
      <w:tr w:rsidR="00CD3343" w:rsidTr="00A629FE">
        <w:trPr>
          <w:jc w:val="center"/>
        </w:trPr>
        <w:tc>
          <w:tcPr>
            <w:tcW w:w="4261" w:type="dxa"/>
          </w:tcPr>
          <w:p w:rsidR="00CD3343" w:rsidRDefault="00CD3343" w:rsidP="00CD3343">
            <w:pPr>
              <w:jc w:val="both"/>
              <w:rPr>
                <w:bCs/>
                <w:sz w:val="15"/>
                <w:szCs w:val="20"/>
              </w:rPr>
            </w:pPr>
            <w:r>
              <w:rPr>
                <w:bCs/>
                <w:sz w:val="15"/>
                <w:szCs w:val="20"/>
              </w:rPr>
              <w:t>Level 1 – 3 certificates</w:t>
            </w:r>
          </w:p>
          <w:p w:rsidR="00CD3343" w:rsidRDefault="00836E3E" w:rsidP="00CD3343">
            <w:pPr>
              <w:jc w:val="both"/>
              <w:rPr>
                <w:i/>
              </w:rPr>
            </w:pPr>
            <w:r>
              <w:rPr>
                <w:i/>
                <w:noProof/>
                <w:lang w:eastAsia="en-NZ"/>
              </w:rPr>
              <w:drawing>
                <wp:inline distT="0" distB="0" distL="0" distR="0">
                  <wp:extent cx="2533650" cy="1771650"/>
                  <wp:effectExtent l="19050" t="0" r="0" b="0"/>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tc>
        <w:tc>
          <w:tcPr>
            <w:tcW w:w="4459" w:type="dxa"/>
            <w:gridSpan w:val="2"/>
          </w:tcPr>
          <w:p w:rsidR="00CD3343" w:rsidRDefault="00CD3343" w:rsidP="00CD3343">
            <w:pPr>
              <w:jc w:val="both"/>
              <w:rPr>
                <w:bCs/>
                <w:sz w:val="15"/>
                <w:szCs w:val="20"/>
              </w:rPr>
            </w:pPr>
            <w:r>
              <w:rPr>
                <w:bCs/>
                <w:sz w:val="15"/>
                <w:szCs w:val="20"/>
              </w:rPr>
              <w:t>Level 4 certificates</w:t>
            </w:r>
          </w:p>
          <w:p w:rsidR="00CD3343" w:rsidRDefault="00836E3E" w:rsidP="00CD3343">
            <w:pPr>
              <w:jc w:val="both"/>
              <w:rPr>
                <w:i/>
              </w:rPr>
            </w:pPr>
            <w:r>
              <w:rPr>
                <w:i/>
                <w:noProof/>
                <w:lang w:eastAsia="en-NZ"/>
              </w:rPr>
              <w:drawing>
                <wp:inline distT="0" distB="0" distL="0" distR="0">
                  <wp:extent cx="2533650" cy="1771650"/>
                  <wp:effectExtent l="19050" t="0" r="0" b="0"/>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tc>
      </w:tr>
      <w:tr w:rsidR="00CD3343" w:rsidTr="00A629FE">
        <w:trPr>
          <w:jc w:val="center"/>
        </w:trPr>
        <w:tc>
          <w:tcPr>
            <w:tcW w:w="4261" w:type="dxa"/>
          </w:tcPr>
          <w:p w:rsidR="00CD3343" w:rsidRPr="002077A6" w:rsidRDefault="00CD3343" w:rsidP="00CD3343">
            <w:pPr>
              <w:jc w:val="both"/>
              <w:rPr>
                <w:bCs/>
                <w:sz w:val="15"/>
                <w:szCs w:val="20"/>
              </w:rPr>
            </w:pPr>
            <w:r>
              <w:rPr>
                <w:bCs/>
                <w:sz w:val="15"/>
                <w:szCs w:val="20"/>
              </w:rPr>
              <w:t>Diplomas</w:t>
            </w:r>
          </w:p>
          <w:p w:rsidR="00CD3343" w:rsidRPr="002077A6" w:rsidRDefault="00836E3E" w:rsidP="00CD3343">
            <w:pPr>
              <w:jc w:val="both"/>
              <w:rPr>
                <w:bCs/>
                <w:sz w:val="15"/>
                <w:szCs w:val="20"/>
              </w:rPr>
            </w:pPr>
            <w:r>
              <w:rPr>
                <w:bCs/>
                <w:noProof/>
                <w:sz w:val="15"/>
                <w:szCs w:val="20"/>
                <w:lang w:eastAsia="en-NZ"/>
              </w:rPr>
              <w:drawing>
                <wp:inline distT="0" distB="0" distL="0" distR="0">
                  <wp:extent cx="2533650" cy="1771650"/>
                  <wp:effectExtent l="19050" t="0" r="0" b="0"/>
                  <wp:docPr id="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tc>
        <w:tc>
          <w:tcPr>
            <w:tcW w:w="4459" w:type="dxa"/>
            <w:gridSpan w:val="2"/>
          </w:tcPr>
          <w:p w:rsidR="00CD3343" w:rsidRDefault="00CD3343" w:rsidP="00CD3343">
            <w:pPr>
              <w:jc w:val="both"/>
              <w:rPr>
                <w:bCs/>
                <w:sz w:val="15"/>
                <w:szCs w:val="20"/>
              </w:rPr>
            </w:pPr>
            <w:r w:rsidRPr="002077A6">
              <w:rPr>
                <w:bCs/>
                <w:sz w:val="15"/>
                <w:szCs w:val="20"/>
              </w:rPr>
              <w:t>Bachelors</w:t>
            </w:r>
          </w:p>
          <w:p w:rsidR="00CD3343" w:rsidRPr="002077A6" w:rsidRDefault="00836E3E" w:rsidP="00CD3343">
            <w:pPr>
              <w:jc w:val="both"/>
              <w:rPr>
                <w:bCs/>
                <w:sz w:val="15"/>
                <w:szCs w:val="20"/>
              </w:rPr>
            </w:pPr>
            <w:r>
              <w:rPr>
                <w:bCs/>
                <w:noProof/>
                <w:sz w:val="15"/>
                <w:szCs w:val="20"/>
                <w:lang w:eastAsia="en-NZ"/>
              </w:rPr>
              <w:drawing>
                <wp:inline distT="0" distB="0" distL="0" distR="0">
                  <wp:extent cx="2533650" cy="1771650"/>
                  <wp:effectExtent l="19050" t="0" r="0" b="0"/>
                  <wp:docPr id="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p w:rsidR="00CD3343" w:rsidRPr="002077A6" w:rsidRDefault="00CD3343" w:rsidP="00CD3343">
            <w:pPr>
              <w:jc w:val="both"/>
              <w:rPr>
                <w:bCs/>
                <w:sz w:val="15"/>
                <w:szCs w:val="20"/>
              </w:rPr>
            </w:pPr>
          </w:p>
        </w:tc>
      </w:tr>
      <w:tr w:rsidR="00CD3343" w:rsidTr="00A629FE">
        <w:trPr>
          <w:jc w:val="center"/>
        </w:trPr>
        <w:tc>
          <w:tcPr>
            <w:tcW w:w="4261" w:type="dxa"/>
          </w:tcPr>
          <w:p w:rsidR="00CD3343" w:rsidRPr="002077A6" w:rsidRDefault="00CD3343" w:rsidP="00CD3343">
            <w:pPr>
              <w:jc w:val="both"/>
              <w:rPr>
                <w:bCs/>
                <w:sz w:val="15"/>
                <w:szCs w:val="20"/>
              </w:rPr>
            </w:pPr>
            <w:r w:rsidRPr="002077A6">
              <w:rPr>
                <w:bCs/>
                <w:sz w:val="15"/>
                <w:szCs w:val="20"/>
              </w:rPr>
              <w:t>Level 7 graduate cert</w:t>
            </w:r>
            <w:r w:rsidR="00D64B6B">
              <w:rPr>
                <w:bCs/>
                <w:sz w:val="15"/>
                <w:szCs w:val="20"/>
              </w:rPr>
              <w:t>ificates</w:t>
            </w:r>
            <w:r w:rsidRPr="002077A6">
              <w:rPr>
                <w:bCs/>
                <w:sz w:val="15"/>
                <w:szCs w:val="20"/>
              </w:rPr>
              <w:t>/dip</w:t>
            </w:r>
            <w:r w:rsidR="00D64B6B">
              <w:rPr>
                <w:bCs/>
                <w:sz w:val="15"/>
                <w:szCs w:val="20"/>
              </w:rPr>
              <w:t>loma</w:t>
            </w:r>
            <w:r w:rsidRPr="002077A6">
              <w:rPr>
                <w:bCs/>
                <w:sz w:val="15"/>
                <w:szCs w:val="20"/>
              </w:rPr>
              <w:t>s</w:t>
            </w:r>
          </w:p>
          <w:p w:rsidR="00CD3343" w:rsidRDefault="00836E3E" w:rsidP="00CD3343">
            <w:pPr>
              <w:jc w:val="both"/>
              <w:rPr>
                <w:i/>
              </w:rPr>
            </w:pPr>
            <w:r>
              <w:rPr>
                <w:i/>
                <w:noProof/>
                <w:lang w:eastAsia="en-NZ"/>
              </w:rPr>
              <w:drawing>
                <wp:inline distT="0" distB="0" distL="0" distR="0">
                  <wp:extent cx="2533650" cy="1771650"/>
                  <wp:effectExtent l="19050" t="0" r="0" b="0"/>
                  <wp:docPr id="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tc>
        <w:tc>
          <w:tcPr>
            <w:tcW w:w="4459" w:type="dxa"/>
            <w:gridSpan w:val="2"/>
          </w:tcPr>
          <w:p w:rsidR="00CD3343" w:rsidRPr="002077A6" w:rsidRDefault="00CD3343" w:rsidP="00CD3343">
            <w:pPr>
              <w:jc w:val="both"/>
              <w:rPr>
                <w:bCs/>
                <w:sz w:val="15"/>
                <w:szCs w:val="20"/>
              </w:rPr>
            </w:pPr>
            <w:r w:rsidRPr="002077A6">
              <w:rPr>
                <w:bCs/>
                <w:sz w:val="15"/>
                <w:szCs w:val="20"/>
              </w:rPr>
              <w:t>Level 8 honours/postgrad</w:t>
            </w:r>
            <w:r w:rsidR="00D64B6B">
              <w:rPr>
                <w:bCs/>
                <w:sz w:val="15"/>
                <w:szCs w:val="20"/>
              </w:rPr>
              <w:t>uate</w:t>
            </w:r>
            <w:r w:rsidRPr="002077A6">
              <w:rPr>
                <w:bCs/>
                <w:sz w:val="15"/>
                <w:szCs w:val="20"/>
              </w:rPr>
              <w:t xml:space="preserve"> cert</w:t>
            </w:r>
            <w:r w:rsidR="00B80034">
              <w:rPr>
                <w:bCs/>
                <w:sz w:val="15"/>
                <w:szCs w:val="20"/>
              </w:rPr>
              <w:t>ificate</w:t>
            </w:r>
            <w:r w:rsidRPr="002077A6">
              <w:rPr>
                <w:bCs/>
                <w:sz w:val="15"/>
                <w:szCs w:val="20"/>
              </w:rPr>
              <w:t>s/dip</w:t>
            </w:r>
            <w:r w:rsidR="00D64B6B">
              <w:rPr>
                <w:bCs/>
                <w:sz w:val="15"/>
                <w:szCs w:val="20"/>
              </w:rPr>
              <w:t>loma</w:t>
            </w:r>
            <w:r w:rsidRPr="002077A6">
              <w:rPr>
                <w:bCs/>
                <w:sz w:val="15"/>
                <w:szCs w:val="20"/>
              </w:rPr>
              <w:t>s</w:t>
            </w:r>
          </w:p>
          <w:p w:rsidR="00CD3343" w:rsidRDefault="00836E3E" w:rsidP="00CD3343">
            <w:pPr>
              <w:jc w:val="both"/>
              <w:rPr>
                <w:i/>
              </w:rPr>
            </w:pPr>
            <w:r>
              <w:rPr>
                <w:i/>
                <w:noProof/>
                <w:lang w:eastAsia="en-NZ"/>
              </w:rPr>
              <w:drawing>
                <wp:inline distT="0" distB="0" distL="0" distR="0">
                  <wp:extent cx="2533650" cy="1771650"/>
                  <wp:effectExtent l="19050" t="0" r="0" b="0"/>
                  <wp:docPr id="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tc>
      </w:tr>
      <w:tr w:rsidR="00CD3343" w:rsidTr="00A629FE">
        <w:trPr>
          <w:gridAfter w:val="1"/>
          <w:wAfter w:w="198" w:type="dxa"/>
          <w:jc w:val="center"/>
        </w:trPr>
        <w:tc>
          <w:tcPr>
            <w:tcW w:w="4261" w:type="dxa"/>
          </w:tcPr>
          <w:p w:rsidR="00CD3343" w:rsidRDefault="00CD3343" w:rsidP="00CD3343">
            <w:pPr>
              <w:jc w:val="both"/>
              <w:rPr>
                <w:bCs/>
                <w:sz w:val="15"/>
                <w:szCs w:val="20"/>
              </w:rPr>
            </w:pPr>
            <w:r w:rsidRPr="002077A6">
              <w:rPr>
                <w:bCs/>
                <w:sz w:val="15"/>
                <w:szCs w:val="20"/>
              </w:rPr>
              <w:t>Masters</w:t>
            </w:r>
          </w:p>
          <w:p w:rsidR="00A629FE" w:rsidRPr="00FA69DC" w:rsidRDefault="00836E3E" w:rsidP="00A629FE">
            <w:pPr>
              <w:jc w:val="both"/>
              <w:rPr>
                <w:bCs/>
                <w:sz w:val="15"/>
                <w:szCs w:val="20"/>
              </w:rPr>
            </w:pPr>
            <w:r>
              <w:rPr>
                <w:bCs/>
                <w:noProof/>
                <w:sz w:val="15"/>
                <w:szCs w:val="20"/>
                <w:lang w:eastAsia="en-NZ"/>
              </w:rPr>
              <w:drawing>
                <wp:inline distT="0" distB="0" distL="0" distR="0">
                  <wp:extent cx="2533650" cy="2057400"/>
                  <wp:effectExtent l="19050" t="0" r="0" b="0"/>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2533650" cy="2057400"/>
                          </a:xfrm>
                          <a:prstGeom prst="rect">
                            <a:avLst/>
                          </a:prstGeom>
                          <a:noFill/>
                          <a:ln w="9525">
                            <a:noFill/>
                            <a:miter lim="800000"/>
                            <a:headEnd/>
                            <a:tailEnd/>
                          </a:ln>
                        </pic:spPr>
                      </pic:pic>
                    </a:graphicData>
                  </a:graphic>
                </wp:inline>
              </w:drawing>
            </w:r>
            <w:r w:rsidR="003D341C">
              <w:rPr>
                <w:bCs/>
                <w:sz w:val="15"/>
                <w:szCs w:val="20"/>
              </w:rPr>
              <w:t xml:space="preserve"> </w:t>
            </w:r>
          </w:p>
        </w:tc>
        <w:tc>
          <w:tcPr>
            <w:tcW w:w="4261" w:type="dxa"/>
          </w:tcPr>
          <w:p w:rsidR="00CD3343" w:rsidRDefault="00836E3E" w:rsidP="00CD3343">
            <w:pPr>
              <w:jc w:val="both"/>
              <w:rPr>
                <w:i/>
              </w:rPr>
            </w:pPr>
            <w:r>
              <w:rPr>
                <w:bCs/>
                <w:noProof/>
                <w:sz w:val="15"/>
                <w:szCs w:val="20"/>
                <w:lang w:eastAsia="en-NZ"/>
              </w:rPr>
              <w:drawing>
                <wp:anchor distT="0" distB="0" distL="114300" distR="114300" simplePos="0" relativeHeight="251681792" behindDoc="0" locked="0" layoutInCell="1" allowOverlap="1">
                  <wp:simplePos x="0" y="0"/>
                  <wp:positionH relativeFrom="column">
                    <wp:posOffset>14605</wp:posOffset>
                  </wp:positionH>
                  <wp:positionV relativeFrom="paragraph">
                    <wp:posOffset>118745</wp:posOffset>
                  </wp:positionV>
                  <wp:extent cx="2533650" cy="2057400"/>
                  <wp:effectExtent l="19050" t="0" r="0" b="0"/>
                  <wp:wrapSquare wrapText="bothSides"/>
                  <wp:docPr id="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2533650" cy="2057400"/>
                          </a:xfrm>
                          <a:prstGeom prst="rect">
                            <a:avLst/>
                          </a:prstGeom>
                          <a:noFill/>
                          <a:ln w="9525">
                            <a:noFill/>
                            <a:miter lim="800000"/>
                            <a:headEnd/>
                            <a:tailEnd/>
                          </a:ln>
                        </pic:spPr>
                      </pic:pic>
                    </a:graphicData>
                  </a:graphic>
                </wp:anchor>
              </w:drawing>
            </w:r>
            <w:r w:rsidR="00CD3343" w:rsidRPr="002077A6">
              <w:rPr>
                <w:bCs/>
                <w:sz w:val="15"/>
                <w:szCs w:val="20"/>
              </w:rPr>
              <w:t>Doctorates</w:t>
            </w:r>
            <w:r w:rsidR="003D341C">
              <w:rPr>
                <w:i/>
                <w:noProof/>
                <w:lang w:eastAsia="en-NZ"/>
              </w:rPr>
              <w:t xml:space="preserve"> </w:t>
            </w:r>
          </w:p>
        </w:tc>
      </w:tr>
      <w:tr w:rsidR="00A629FE" w:rsidTr="00A629FE">
        <w:trPr>
          <w:gridAfter w:val="1"/>
          <w:wAfter w:w="198" w:type="dxa"/>
          <w:jc w:val="center"/>
        </w:trPr>
        <w:tc>
          <w:tcPr>
            <w:tcW w:w="8522" w:type="dxa"/>
            <w:gridSpan w:val="2"/>
          </w:tcPr>
          <w:p w:rsidR="00A629FE" w:rsidRDefault="00A629FE" w:rsidP="00CD3343">
            <w:pPr>
              <w:jc w:val="both"/>
              <w:rPr>
                <w:bCs/>
                <w:noProof/>
                <w:sz w:val="15"/>
                <w:szCs w:val="20"/>
                <w:lang w:eastAsia="en-NZ"/>
              </w:rPr>
            </w:pPr>
            <w:r w:rsidRPr="00A629FE">
              <w:rPr>
                <w:bCs/>
                <w:noProof/>
                <w:sz w:val="15"/>
                <w:szCs w:val="20"/>
                <w:lang w:eastAsia="en-NZ"/>
              </w:rPr>
              <w:drawing>
                <wp:anchor distT="0" distB="0" distL="114300" distR="114300" simplePos="0" relativeHeight="251673600" behindDoc="0" locked="0" layoutInCell="1" allowOverlap="1">
                  <wp:simplePos x="0" y="0"/>
                  <wp:positionH relativeFrom="column">
                    <wp:posOffset>412750</wp:posOffset>
                  </wp:positionH>
                  <wp:positionV relativeFrom="paragraph">
                    <wp:posOffset>-6350</wp:posOffset>
                  </wp:positionV>
                  <wp:extent cx="4498340" cy="272415"/>
                  <wp:effectExtent l="19050" t="0" r="0" b="0"/>
                  <wp:wrapSquare wrapText="bothSides"/>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4498340" cy="272415"/>
                          </a:xfrm>
                          <a:prstGeom prst="rect">
                            <a:avLst/>
                          </a:prstGeom>
                          <a:noFill/>
                          <a:ln w="9525">
                            <a:noFill/>
                            <a:miter lim="800000"/>
                            <a:headEnd/>
                            <a:tailEnd/>
                          </a:ln>
                        </pic:spPr>
                      </pic:pic>
                    </a:graphicData>
                  </a:graphic>
                </wp:anchor>
              </w:drawing>
            </w:r>
          </w:p>
        </w:tc>
      </w:tr>
    </w:tbl>
    <w:p w:rsidR="00BE3B40" w:rsidRPr="00517344" w:rsidRDefault="006255C2" w:rsidP="00BE3B40">
      <w:pPr>
        <w:pStyle w:val="Heading2"/>
        <w:rPr>
          <w:lang w:eastAsia="en-NZ"/>
        </w:rPr>
      </w:pPr>
      <w:bookmarkStart w:id="20" w:name="_Toc387305281"/>
      <w:r>
        <w:rPr>
          <w:lang w:eastAsia="en-NZ"/>
        </w:rPr>
        <w:lastRenderedPageBreak/>
        <w:t>Have</w:t>
      </w:r>
      <w:r w:rsidR="00BE3B40" w:rsidRPr="00517344">
        <w:rPr>
          <w:lang w:eastAsia="en-NZ"/>
        </w:rPr>
        <w:t xml:space="preserve"> graduate</w:t>
      </w:r>
      <w:r>
        <w:rPr>
          <w:lang w:eastAsia="en-NZ"/>
        </w:rPr>
        <w:t xml:space="preserve"> destination</w:t>
      </w:r>
      <w:r w:rsidR="00BE3B40" w:rsidRPr="00517344">
        <w:rPr>
          <w:lang w:eastAsia="en-NZ"/>
        </w:rPr>
        <w:t>s changed over time?</w:t>
      </w:r>
      <w:bookmarkEnd w:id="20"/>
    </w:p>
    <w:p w:rsidR="00C509DB" w:rsidRDefault="005A22AE" w:rsidP="00C509DB">
      <w:pPr>
        <w:pStyle w:val="Bullet1"/>
        <w:numPr>
          <w:ilvl w:val="0"/>
          <w:numId w:val="0"/>
        </w:numPr>
        <w:tabs>
          <w:tab w:val="clear" w:pos="284"/>
        </w:tabs>
        <w:spacing w:after="0" w:line="240" w:lineRule="auto"/>
        <w:rPr>
          <w:color w:val="303030"/>
          <w:lang w:eastAsia="en-NZ"/>
        </w:rPr>
      </w:pPr>
      <w:r>
        <w:rPr>
          <w:color w:val="303030"/>
          <w:lang w:eastAsia="en-NZ"/>
        </w:rPr>
        <w:t xml:space="preserve">The previous section showed that there has been only limited change in the number of young graduates being overseas over time. </w:t>
      </w:r>
      <w:r w:rsidR="00C509DB">
        <w:rPr>
          <w:color w:val="303030"/>
          <w:lang w:eastAsia="en-NZ"/>
        </w:rPr>
        <w:t xml:space="preserve">To determine if the percentage of young domestic graduates who do further study or are in further employment each year has changed, we do a similar analysis to </w:t>
      </w:r>
      <w:r w:rsidR="008A64E6">
        <w:rPr>
          <w:color w:val="303030"/>
          <w:lang w:eastAsia="en-NZ"/>
        </w:rPr>
        <w:t xml:space="preserve">that </w:t>
      </w:r>
      <w:r w:rsidR="00C509DB">
        <w:rPr>
          <w:color w:val="303030"/>
          <w:lang w:eastAsia="en-NZ"/>
        </w:rPr>
        <w:t>above but this time</w:t>
      </w:r>
      <w:r w:rsidR="008A64E6">
        <w:rPr>
          <w:color w:val="303030"/>
          <w:lang w:eastAsia="en-NZ"/>
        </w:rPr>
        <w:t>, we</w:t>
      </w:r>
      <w:r w:rsidR="00C509DB">
        <w:rPr>
          <w:color w:val="303030"/>
          <w:lang w:eastAsia="en-NZ"/>
        </w:rPr>
        <w:t xml:space="preserve"> focus on the further study and employment rates </w:t>
      </w:r>
      <w:r w:rsidR="00C509DB" w:rsidRPr="00ED03E8">
        <w:rPr>
          <w:color w:val="303030"/>
          <w:lang w:eastAsia="en-NZ"/>
        </w:rPr>
        <w:t xml:space="preserve">for each cohort </w:t>
      </w:r>
      <w:r w:rsidR="00C509DB">
        <w:rPr>
          <w:color w:val="303030"/>
          <w:lang w:eastAsia="en-NZ"/>
        </w:rPr>
        <w:t>of graduates over the past eight</w:t>
      </w:r>
      <w:r w:rsidR="00C509DB" w:rsidRPr="00ED03E8">
        <w:rPr>
          <w:color w:val="303030"/>
          <w:lang w:eastAsia="en-NZ"/>
        </w:rPr>
        <w:t xml:space="preserve"> years</w:t>
      </w:r>
      <w:r w:rsidR="00C509DB">
        <w:rPr>
          <w:color w:val="303030"/>
          <w:lang w:eastAsia="en-NZ"/>
        </w:rPr>
        <w:t xml:space="preserve"> at similar times after study</w:t>
      </w:r>
      <w:r w:rsidR="00C509DB" w:rsidRPr="00ED03E8">
        <w:rPr>
          <w:color w:val="303030"/>
          <w:lang w:eastAsia="en-NZ"/>
        </w:rPr>
        <w:t xml:space="preserve">. </w:t>
      </w:r>
    </w:p>
    <w:p w:rsidR="002C058A" w:rsidRDefault="002C058A" w:rsidP="00C509DB">
      <w:pPr>
        <w:pStyle w:val="Bullet1"/>
        <w:numPr>
          <w:ilvl w:val="0"/>
          <w:numId w:val="0"/>
        </w:numPr>
        <w:tabs>
          <w:tab w:val="clear" w:pos="284"/>
        </w:tabs>
        <w:spacing w:after="0" w:line="240" w:lineRule="auto"/>
        <w:rPr>
          <w:color w:val="303030"/>
          <w:lang w:eastAsia="en-NZ"/>
        </w:rPr>
      </w:pPr>
    </w:p>
    <w:p w:rsidR="002C058A" w:rsidRDefault="00C509DB" w:rsidP="00C509DB">
      <w:pPr>
        <w:pStyle w:val="Bullet1"/>
        <w:numPr>
          <w:ilvl w:val="0"/>
          <w:numId w:val="0"/>
        </w:numPr>
        <w:tabs>
          <w:tab w:val="clear" w:pos="284"/>
        </w:tabs>
        <w:spacing w:after="0" w:line="240" w:lineRule="auto"/>
        <w:rPr>
          <w:color w:val="303030"/>
          <w:lang w:eastAsia="en-NZ"/>
        </w:rPr>
      </w:pPr>
      <w:r w:rsidRPr="00ED03E8">
        <w:rPr>
          <w:color w:val="303030"/>
          <w:lang w:eastAsia="en-NZ"/>
        </w:rPr>
        <w:t>Figure</w:t>
      </w:r>
      <w:r>
        <w:rPr>
          <w:color w:val="303030"/>
          <w:lang w:eastAsia="en-NZ"/>
        </w:rPr>
        <w:t xml:space="preserve"> 5</w:t>
      </w:r>
      <w:r w:rsidRPr="00ED03E8">
        <w:rPr>
          <w:color w:val="303030"/>
          <w:lang w:eastAsia="en-NZ"/>
        </w:rPr>
        <w:t xml:space="preserve"> shows</w:t>
      </w:r>
      <w:r>
        <w:rPr>
          <w:color w:val="303030"/>
          <w:lang w:eastAsia="en-NZ"/>
        </w:rPr>
        <w:t xml:space="preserve"> that</w:t>
      </w:r>
      <w:r w:rsidR="002C058A">
        <w:rPr>
          <w:color w:val="303030"/>
          <w:lang w:eastAsia="en-NZ"/>
        </w:rPr>
        <w:t>:</w:t>
      </w:r>
    </w:p>
    <w:p w:rsidR="002C058A" w:rsidRDefault="002C058A" w:rsidP="00C509DB">
      <w:pPr>
        <w:pStyle w:val="Bullet1"/>
        <w:numPr>
          <w:ilvl w:val="0"/>
          <w:numId w:val="0"/>
        </w:numPr>
        <w:tabs>
          <w:tab w:val="clear" w:pos="284"/>
        </w:tabs>
        <w:spacing w:after="0" w:line="240" w:lineRule="auto"/>
        <w:rPr>
          <w:color w:val="303030"/>
          <w:lang w:eastAsia="en-NZ"/>
        </w:rPr>
      </w:pPr>
    </w:p>
    <w:p w:rsidR="00480F83" w:rsidRDefault="002C058A" w:rsidP="002C058A">
      <w:pPr>
        <w:pStyle w:val="Bullet1"/>
        <w:numPr>
          <w:ilvl w:val="6"/>
          <w:numId w:val="33"/>
        </w:numPr>
        <w:tabs>
          <w:tab w:val="clear" w:pos="284"/>
          <w:tab w:val="clear" w:pos="5777"/>
          <w:tab w:val="num" w:pos="567"/>
        </w:tabs>
        <w:spacing w:after="0" w:line="240" w:lineRule="auto"/>
        <w:ind w:left="567" w:hanging="567"/>
        <w:rPr>
          <w:color w:val="303030"/>
          <w:lang w:eastAsia="en-NZ"/>
        </w:rPr>
      </w:pPr>
      <w:r w:rsidRPr="00480F83">
        <w:rPr>
          <w:color w:val="303030"/>
          <w:lang w:eastAsia="en-NZ"/>
        </w:rPr>
        <w:t xml:space="preserve">For young domestic graduates who have completed a level 1-3 certificate, employment rates </w:t>
      </w:r>
      <w:r w:rsidR="00A46D63" w:rsidRPr="00480F83">
        <w:rPr>
          <w:color w:val="303030"/>
          <w:lang w:eastAsia="en-NZ"/>
        </w:rPr>
        <w:t>started to drop</w:t>
      </w:r>
      <w:r w:rsidRPr="00480F83">
        <w:rPr>
          <w:color w:val="303030"/>
          <w:lang w:eastAsia="en-NZ"/>
        </w:rPr>
        <w:t xml:space="preserve"> </w:t>
      </w:r>
      <w:r w:rsidR="00A46D63" w:rsidRPr="00480F83">
        <w:rPr>
          <w:color w:val="303030"/>
          <w:lang w:eastAsia="en-NZ"/>
        </w:rPr>
        <w:t xml:space="preserve">in the first year post study from </w:t>
      </w:r>
      <w:r w:rsidR="00F93521">
        <w:rPr>
          <w:color w:val="303030"/>
          <w:lang w:eastAsia="en-NZ"/>
        </w:rPr>
        <w:t xml:space="preserve">the </w:t>
      </w:r>
      <w:r w:rsidRPr="00480F83">
        <w:rPr>
          <w:color w:val="303030"/>
          <w:lang w:eastAsia="en-NZ"/>
        </w:rPr>
        <w:t xml:space="preserve">2007 </w:t>
      </w:r>
      <w:r w:rsidR="00F93521">
        <w:rPr>
          <w:color w:val="303030"/>
          <w:lang w:eastAsia="en-NZ"/>
        </w:rPr>
        <w:t xml:space="preserve">tax year </w:t>
      </w:r>
      <w:r w:rsidRPr="00480F83">
        <w:rPr>
          <w:color w:val="303030"/>
          <w:lang w:eastAsia="en-NZ"/>
        </w:rPr>
        <w:t xml:space="preserve">and </w:t>
      </w:r>
      <w:r w:rsidR="00A46D63" w:rsidRPr="00480F83">
        <w:rPr>
          <w:color w:val="303030"/>
          <w:lang w:eastAsia="en-NZ"/>
        </w:rPr>
        <w:t xml:space="preserve">from </w:t>
      </w:r>
      <w:r w:rsidR="00F93521">
        <w:rPr>
          <w:color w:val="303030"/>
          <w:lang w:eastAsia="en-NZ"/>
        </w:rPr>
        <w:t xml:space="preserve">the </w:t>
      </w:r>
      <w:r w:rsidRPr="00480F83">
        <w:rPr>
          <w:color w:val="303030"/>
          <w:lang w:eastAsia="en-NZ"/>
        </w:rPr>
        <w:t>2008</w:t>
      </w:r>
      <w:r w:rsidR="00F93521">
        <w:rPr>
          <w:color w:val="303030"/>
          <w:lang w:eastAsia="en-NZ"/>
        </w:rPr>
        <w:t xml:space="preserve"> tax year</w:t>
      </w:r>
      <w:r w:rsidR="00A46D63" w:rsidRPr="00480F83">
        <w:rPr>
          <w:color w:val="303030"/>
          <w:lang w:eastAsia="en-NZ"/>
        </w:rPr>
        <w:t xml:space="preserve"> in later years post study</w:t>
      </w:r>
      <w:r w:rsidR="00D476C1">
        <w:rPr>
          <w:color w:val="303030"/>
          <w:lang w:eastAsia="en-NZ"/>
        </w:rPr>
        <w:t xml:space="preserve"> (see Figure</w:t>
      </w:r>
      <w:r w:rsidR="00886865">
        <w:rPr>
          <w:color w:val="303030"/>
          <w:lang w:eastAsia="en-NZ"/>
        </w:rPr>
        <w:t>s</w:t>
      </w:r>
      <w:r w:rsidR="00D476C1">
        <w:rPr>
          <w:color w:val="303030"/>
          <w:lang w:eastAsia="en-NZ"/>
        </w:rPr>
        <w:t xml:space="preserve"> 5a</w:t>
      </w:r>
      <w:r w:rsidR="00886865">
        <w:rPr>
          <w:color w:val="303030"/>
          <w:lang w:eastAsia="en-NZ"/>
        </w:rPr>
        <w:t xml:space="preserve"> and 5d</w:t>
      </w:r>
      <w:r w:rsidR="00D476C1">
        <w:rPr>
          <w:color w:val="303030"/>
          <w:lang w:eastAsia="en-NZ"/>
        </w:rPr>
        <w:t>)</w:t>
      </w:r>
      <w:r w:rsidR="00A46D63" w:rsidRPr="00480F83">
        <w:rPr>
          <w:color w:val="303030"/>
          <w:lang w:eastAsia="en-NZ"/>
        </w:rPr>
        <w:t xml:space="preserve">.  </w:t>
      </w:r>
      <w:r w:rsidR="00480F83" w:rsidRPr="00480F83">
        <w:rPr>
          <w:color w:val="303030"/>
          <w:lang w:eastAsia="en-NZ"/>
        </w:rPr>
        <w:t xml:space="preserve">This time corresponds to the start of the global financial crisis.  </w:t>
      </w:r>
      <w:r w:rsidR="00A46D63" w:rsidRPr="00480F83">
        <w:rPr>
          <w:color w:val="303030"/>
          <w:lang w:eastAsia="en-NZ"/>
        </w:rPr>
        <w:t>Th</w:t>
      </w:r>
      <w:r w:rsidR="00480F83" w:rsidRPr="00480F83">
        <w:rPr>
          <w:color w:val="303030"/>
          <w:lang w:eastAsia="en-NZ"/>
        </w:rPr>
        <w:t>e decrease continued for several years</w:t>
      </w:r>
      <w:r w:rsidR="00B71F0D">
        <w:rPr>
          <w:color w:val="303030"/>
          <w:lang w:eastAsia="en-NZ"/>
        </w:rPr>
        <w:t xml:space="preserve"> and al</w:t>
      </w:r>
      <w:r w:rsidR="00480F83" w:rsidRPr="00480F83">
        <w:rPr>
          <w:color w:val="303030"/>
          <w:lang w:eastAsia="en-NZ"/>
        </w:rPr>
        <w:t xml:space="preserve">though </w:t>
      </w:r>
      <w:r w:rsidR="00B71F0D">
        <w:rPr>
          <w:color w:val="303030"/>
          <w:lang w:eastAsia="en-NZ"/>
        </w:rPr>
        <w:t xml:space="preserve">the decrease </w:t>
      </w:r>
      <w:r w:rsidR="00480F83" w:rsidRPr="00480F83">
        <w:rPr>
          <w:color w:val="303030"/>
          <w:lang w:eastAsia="en-NZ"/>
        </w:rPr>
        <w:t>lessen</w:t>
      </w:r>
      <w:r w:rsidR="00B71F0D">
        <w:rPr>
          <w:color w:val="303030"/>
          <w:lang w:eastAsia="en-NZ"/>
        </w:rPr>
        <w:t xml:space="preserve">s over time, it is </w:t>
      </w:r>
      <w:r w:rsidR="00480F83" w:rsidRPr="00480F83">
        <w:rPr>
          <w:color w:val="303030"/>
          <w:lang w:eastAsia="en-NZ"/>
        </w:rPr>
        <w:t xml:space="preserve">not until the 2012 tax year that we see any sign of an increase in employment rates again.  </w:t>
      </w:r>
    </w:p>
    <w:p w:rsidR="00D4656D" w:rsidRDefault="00D4656D">
      <w:pPr>
        <w:pStyle w:val="Bullet1"/>
        <w:numPr>
          <w:ilvl w:val="0"/>
          <w:numId w:val="0"/>
        </w:numPr>
        <w:tabs>
          <w:tab w:val="clear" w:pos="284"/>
        </w:tabs>
        <w:spacing w:after="0" w:line="240" w:lineRule="auto"/>
        <w:ind w:left="567"/>
        <w:rPr>
          <w:color w:val="303030"/>
          <w:lang w:eastAsia="en-NZ"/>
        </w:rPr>
      </w:pPr>
    </w:p>
    <w:p w:rsidR="00F93521" w:rsidRDefault="002944A8" w:rsidP="002C058A">
      <w:pPr>
        <w:pStyle w:val="Bullet1"/>
        <w:numPr>
          <w:ilvl w:val="6"/>
          <w:numId w:val="33"/>
        </w:numPr>
        <w:tabs>
          <w:tab w:val="clear" w:pos="284"/>
          <w:tab w:val="clear" w:pos="5777"/>
          <w:tab w:val="num" w:pos="567"/>
        </w:tabs>
        <w:spacing w:after="0" w:line="240" w:lineRule="auto"/>
        <w:ind w:left="567" w:hanging="567"/>
        <w:rPr>
          <w:color w:val="303030"/>
          <w:lang w:eastAsia="en-NZ"/>
        </w:rPr>
      </w:pPr>
      <w:r>
        <w:rPr>
          <w:color w:val="303030"/>
          <w:lang w:eastAsia="en-NZ"/>
        </w:rPr>
        <w:t xml:space="preserve">Similarly to level 1-3 certificate graduates, employment rates have generally decreased from around </w:t>
      </w:r>
      <w:r w:rsidR="00F93521">
        <w:rPr>
          <w:color w:val="303030"/>
          <w:lang w:eastAsia="en-NZ"/>
        </w:rPr>
        <w:t xml:space="preserve">the </w:t>
      </w:r>
      <w:r>
        <w:rPr>
          <w:color w:val="303030"/>
          <w:lang w:eastAsia="en-NZ"/>
        </w:rPr>
        <w:t xml:space="preserve">2007 to 2008 </w:t>
      </w:r>
      <w:r w:rsidR="00F93521">
        <w:rPr>
          <w:color w:val="303030"/>
          <w:lang w:eastAsia="en-NZ"/>
        </w:rPr>
        <w:t xml:space="preserve">tax years </w:t>
      </w:r>
      <w:r>
        <w:rPr>
          <w:color w:val="303030"/>
          <w:lang w:eastAsia="en-NZ"/>
        </w:rPr>
        <w:t xml:space="preserve">for </w:t>
      </w:r>
      <w:r w:rsidR="00480F83">
        <w:rPr>
          <w:color w:val="303030"/>
          <w:lang w:eastAsia="en-NZ"/>
        </w:rPr>
        <w:t>young domestic graduates who have completed a</w:t>
      </w:r>
      <w:r>
        <w:rPr>
          <w:color w:val="303030"/>
          <w:lang w:eastAsia="en-NZ"/>
        </w:rPr>
        <w:t xml:space="preserve"> level 4 certificate</w:t>
      </w:r>
      <w:r w:rsidR="00F93521">
        <w:rPr>
          <w:color w:val="303030"/>
          <w:lang w:eastAsia="en-NZ"/>
        </w:rPr>
        <w:t>.  And again, the first signs of an increase do not appear until around the 2012 tax year.</w:t>
      </w:r>
    </w:p>
    <w:p w:rsidR="00D4656D" w:rsidRDefault="00D4656D">
      <w:pPr>
        <w:pStyle w:val="ListParagraph"/>
        <w:rPr>
          <w:color w:val="303030"/>
          <w:lang w:eastAsia="en-NZ"/>
        </w:rPr>
      </w:pPr>
    </w:p>
    <w:p w:rsidR="00F93521" w:rsidRDefault="00F93521" w:rsidP="00F93521">
      <w:pPr>
        <w:pStyle w:val="Bullet1"/>
        <w:numPr>
          <w:ilvl w:val="6"/>
          <w:numId w:val="33"/>
        </w:numPr>
        <w:tabs>
          <w:tab w:val="clear" w:pos="284"/>
          <w:tab w:val="clear" w:pos="5777"/>
          <w:tab w:val="num" w:pos="567"/>
        </w:tabs>
        <w:spacing w:after="0" w:line="240" w:lineRule="auto"/>
        <w:ind w:left="567" w:hanging="567"/>
        <w:rPr>
          <w:color w:val="303030"/>
          <w:lang w:eastAsia="en-NZ"/>
        </w:rPr>
      </w:pPr>
      <w:r w:rsidRPr="00F93521">
        <w:rPr>
          <w:color w:val="303030"/>
          <w:lang w:eastAsia="en-NZ"/>
        </w:rPr>
        <w:t>For young domestic diploma graduates, employment rates are steady until the 2009 tax year when there is a sudden drop, particularly in the first two years post study.  This suggests that diploma graduates may have been initially shielded from the effects of the global financial crisis before then being impacted.</w:t>
      </w:r>
    </w:p>
    <w:p w:rsidR="00D4656D" w:rsidRDefault="00F93521">
      <w:pPr>
        <w:pStyle w:val="Bullet1"/>
        <w:numPr>
          <w:ilvl w:val="0"/>
          <w:numId w:val="0"/>
        </w:numPr>
        <w:tabs>
          <w:tab w:val="clear" w:pos="284"/>
        </w:tabs>
        <w:spacing w:after="0" w:line="240" w:lineRule="auto"/>
        <w:rPr>
          <w:color w:val="303030"/>
          <w:lang w:eastAsia="en-NZ"/>
        </w:rPr>
      </w:pPr>
      <w:r w:rsidRPr="00F93521">
        <w:rPr>
          <w:color w:val="303030"/>
          <w:lang w:eastAsia="en-NZ"/>
        </w:rPr>
        <w:t xml:space="preserve"> </w:t>
      </w:r>
    </w:p>
    <w:p w:rsidR="00872E01" w:rsidRDefault="00480F83" w:rsidP="00D476C1">
      <w:pPr>
        <w:pStyle w:val="Bullet1"/>
        <w:numPr>
          <w:ilvl w:val="6"/>
          <w:numId w:val="33"/>
        </w:numPr>
        <w:tabs>
          <w:tab w:val="clear" w:pos="284"/>
          <w:tab w:val="clear" w:pos="5777"/>
          <w:tab w:val="num" w:pos="567"/>
        </w:tabs>
        <w:spacing w:after="0" w:line="240" w:lineRule="auto"/>
        <w:ind w:left="567" w:hanging="567"/>
        <w:rPr>
          <w:color w:val="303030"/>
          <w:lang w:eastAsia="en-NZ"/>
        </w:rPr>
      </w:pPr>
      <w:r w:rsidRPr="00872E01">
        <w:rPr>
          <w:color w:val="303030"/>
          <w:lang w:eastAsia="en-NZ"/>
        </w:rPr>
        <w:t>Further study rates have remain</w:t>
      </w:r>
      <w:r w:rsidR="002944A8" w:rsidRPr="00872E01">
        <w:rPr>
          <w:color w:val="303030"/>
          <w:lang w:eastAsia="en-NZ"/>
        </w:rPr>
        <w:t>ed relatively constant over time</w:t>
      </w:r>
      <w:r w:rsidRPr="00872E01">
        <w:rPr>
          <w:color w:val="303030"/>
          <w:lang w:eastAsia="en-NZ"/>
        </w:rPr>
        <w:t xml:space="preserve"> for young domestic graduates who have completed a level 1-3 certificate, although there is a slight decrease from 2011 to 2012 which corresponds to </w:t>
      </w:r>
      <w:r w:rsidR="002944A8" w:rsidRPr="00872E01">
        <w:rPr>
          <w:color w:val="303030"/>
          <w:lang w:eastAsia="en-NZ"/>
        </w:rPr>
        <w:t>the increase in the employment rate at this time</w:t>
      </w:r>
      <w:r w:rsidR="00D476C1" w:rsidRPr="00872E01">
        <w:rPr>
          <w:color w:val="303030"/>
          <w:lang w:eastAsia="en-NZ"/>
        </w:rPr>
        <w:t xml:space="preserve"> (see Figure 5b</w:t>
      </w:r>
      <w:r w:rsidR="004F5228">
        <w:rPr>
          <w:color w:val="303030"/>
          <w:lang w:eastAsia="en-NZ"/>
        </w:rPr>
        <w:t xml:space="preserve"> and 5d</w:t>
      </w:r>
      <w:r w:rsidR="00D476C1" w:rsidRPr="00872E01">
        <w:rPr>
          <w:color w:val="303030"/>
          <w:lang w:eastAsia="en-NZ"/>
        </w:rPr>
        <w:t>)</w:t>
      </w:r>
      <w:r w:rsidR="005610C8">
        <w:rPr>
          <w:color w:val="303030"/>
          <w:lang w:eastAsia="en-NZ"/>
        </w:rPr>
        <w:t xml:space="preserve">.  In the first year after study, there was also a drop in </w:t>
      </w:r>
      <w:r w:rsidR="004F5228">
        <w:rPr>
          <w:color w:val="303030"/>
          <w:lang w:eastAsia="en-NZ"/>
        </w:rPr>
        <w:t>further study</w:t>
      </w:r>
      <w:r w:rsidR="005610C8">
        <w:rPr>
          <w:color w:val="303030"/>
          <w:lang w:eastAsia="en-NZ"/>
        </w:rPr>
        <w:t xml:space="preserve"> </w:t>
      </w:r>
      <w:r w:rsidR="004F5228">
        <w:rPr>
          <w:color w:val="303030"/>
          <w:lang w:eastAsia="en-NZ"/>
        </w:rPr>
        <w:t xml:space="preserve">rates </w:t>
      </w:r>
      <w:r w:rsidR="005610C8">
        <w:rPr>
          <w:color w:val="303030"/>
          <w:lang w:eastAsia="en-NZ"/>
        </w:rPr>
        <w:t>from the 2006 to 2007 tax years but a similar increase in the following year.  But benefit rates increased from the 2008 to 2011 tax years, by around 5 percent</w:t>
      </w:r>
      <w:r w:rsidR="00872E01">
        <w:rPr>
          <w:color w:val="303030"/>
          <w:lang w:eastAsia="en-NZ"/>
        </w:rPr>
        <w:t>age points</w:t>
      </w:r>
      <w:r w:rsidR="00617A91">
        <w:rPr>
          <w:color w:val="303030"/>
          <w:lang w:eastAsia="en-NZ"/>
        </w:rPr>
        <w:t xml:space="preserve"> (see Figure 5c</w:t>
      </w:r>
      <w:r w:rsidR="00E9337D">
        <w:rPr>
          <w:color w:val="303030"/>
          <w:lang w:eastAsia="en-NZ"/>
        </w:rPr>
        <w:t xml:space="preserve"> and 5d</w:t>
      </w:r>
      <w:r w:rsidR="00617A91">
        <w:rPr>
          <w:color w:val="303030"/>
          <w:lang w:eastAsia="en-NZ"/>
        </w:rPr>
        <w:t>)</w:t>
      </w:r>
      <w:r w:rsidR="00D476C1" w:rsidRPr="00872E01">
        <w:rPr>
          <w:color w:val="303030"/>
          <w:lang w:eastAsia="en-NZ"/>
        </w:rPr>
        <w:t xml:space="preserve">.  This suggests that </w:t>
      </w:r>
      <w:r w:rsidR="00872E01" w:rsidRPr="00872E01">
        <w:rPr>
          <w:color w:val="303030"/>
          <w:lang w:eastAsia="en-NZ"/>
        </w:rPr>
        <w:t xml:space="preserve">during the global financial crisis, </w:t>
      </w:r>
      <w:r w:rsidR="003179AA">
        <w:rPr>
          <w:color w:val="303030"/>
          <w:lang w:eastAsia="en-NZ"/>
        </w:rPr>
        <w:t xml:space="preserve">a number of </w:t>
      </w:r>
      <w:r w:rsidR="00872E01" w:rsidRPr="00872E01">
        <w:rPr>
          <w:color w:val="303030"/>
          <w:lang w:eastAsia="en-NZ"/>
        </w:rPr>
        <w:t xml:space="preserve">graduates with lower level qualifications </w:t>
      </w:r>
      <w:r w:rsidR="008A64E6">
        <w:rPr>
          <w:color w:val="303030"/>
          <w:lang w:eastAsia="en-NZ"/>
        </w:rPr>
        <w:t>who</w:t>
      </w:r>
      <w:r w:rsidR="00872E01" w:rsidRPr="00872E01">
        <w:rPr>
          <w:color w:val="303030"/>
          <w:lang w:eastAsia="en-NZ"/>
        </w:rPr>
        <w:t xml:space="preserve"> were unable to gain employment, </w:t>
      </w:r>
      <w:r w:rsidR="003179AA">
        <w:rPr>
          <w:color w:val="303030"/>
          <w:lang w:eastAsia="en-NZ"/>
        </w:rPr>
        <w:t>ha</w:t>
      </w:r>
      <w:r w:rsidR="00872E01" w:rsidRPr="00872E01">
        <w:rPr>
          <w:color w:val="303030"/>
          <w:lang w:eastAsia="en-NZ"/>
        </w:rPr>
        <w:t xml:space="preserve">d to </w:t>
      </w:r>
      <w:r w:rsidR="00617A91">
        <w:rPr>
          <w:color w:val="303030"/>
          <w:lang w:eastAsia="en-NZ"/>
        </w:rPr>
        <w:t>rely on benefits.</w:t>
      </w:r>
      <w:r w:rsidR="00617A91">
        <w:rPr>
          <w:rStyle w:val="CommentReference"/>
          <w:rFonts w:ascii="Arial" w:hAnsi="Arial"/>
          <w:lang w:val="en-GB"/>
        </w:rPr>
        <w:t xml:space="preserve"> </w:t>
      </w:r>
    </w:p>
    <w:p w:rsidR="00D4656D" w:rsidRDefault="00872E01">
      <w:pPr>
        <w:pStyle w:val="Bullet1"/>
        <w:numPr>
          <w:ilvl w:val="0"/>
          <w:numId w:val="0"/>
        </w:numPr>
        <w:tabs>
          <w:tab w:val="clear" w:pos="284"/>
        </w:tabs>
        <w:spacing w:after="0" w:line="240" w:lineRule="auto"/>
        <w:rPr>
          <w:color w:val="303030"/>
          <w:lang w:eastAsia="en-NZ"/>
        </w:rPr>
      </w:pPr>
      <w:r w:rsidRPr="00872E01">
        <w:rPr>
          <w:color w:val="303030"/>
          <w:lang w:eastAsia="en-NZ"/>
        </w:rPr>
        <w:t xml:space="preserve"> </w:t>
      </w:r>
    </w:p>
    <w:p w:rsidR="00480F83" w:rsidRDefault="002944A8" w:rsidP="002C058A">
      <w:pPr>
        <w:pStyle w:val="Bullet1"/>
        <w:numPr>
          <w:ilvl w:val="6"/>
          <w:numId w:val="33"/>
        </w:numPr>
        <w:tabs>
          <w:tab w:val="clear" w:pos="284"/>
          <w:tab w:val="clear" w:pos="5777"/>
          <w:tab w:val="num" w:pos="567"/>
        </w:tabs>
        <w:spacing w:after="0" w:line="240" w:lineRule="auto"/>
        <w:ind w:left="567" w:hanging="567"/>
        <w:rPr>
          <w:color w:val="303030"/>
          <w:lang w:eastAsia="en-NZ"/>
        </w:rPr>
      </w:pPr>
      <w:r>
        <w:rPr>
          <w:color w:val="303030"/>
          <w:lang w:eastAsia="en-NZ"/>
        </w:rPr>
        <w:t>However, further study rates generally increased over time for those who ha</w:t>
      </w:r>
      <w:r w:rsidR="003179AA">
        <w:rPr>
          <w:color w:val="303030"/>
          <w:lang w:eastAsia="en-NZ"/>
        </w:rPr>
        <w:t>d</w:t>
      </w:r>
      <w:r>
        <w:rPr>
          <w:color w:val="303030"/>
          <w:lang w:eastAsia="en-NZ"/>
        </w:rPr>
        <w:t xml:space="preserve"> </w:t>
      </w:r>
      <w:r w:rsidR="00F93521">
        <w:rPr>
          <w:color w:val="303030"/>
          <w:lang w:eastAsia="en-NZ"/>
        </w:rPr>
        <w:t xml:space="preserve">completed a level 4 certificate, and there </w:t>
      </w:r>
      <w:r w:rsidR="003179AA">
        <w:rPr>
          <w:color w:val="303030"/>
          <w:lang w:eastAsia="en-NZ"/>
        </w:rPr>
        <w:t>wa</w:t>
      </w:r>
      <w:r w:rsidR="00F93521">
        <w:rPr>
          <w:color w:val="303030"/>
          <w:lang w:eastAsia="en-NZ"/>
        </w:rPr>
        <w:t>s a sharp increase in the first year post study for diploma graduates from the 2009 to 2010 tax years</w:t>
      </w:r>
      <w:r w:rsidR="003179AA">
        <w:rPr>
          <w:color w:val="303030"/>
          <w:lang w:eastAsia="en-NZ"/>
        </w:rPr>
        <w:t>,</w:t>
      </w:r>
      <w:r w:rsidR="00A62250">
        <w:rPr>
          <w:color w:val="303030"/>
          <w:lang w:eastAsia="en-NZ"/>
        </w:rPr>
        <w:t xml:space="preserve"> which corresponds to the drop in employment at this time</w:t>
      </w:r>
      <w:r w:rsidR="00F93521">
        <w:rPr>
          <w:color w:val="303030"/>
          <w:lang w:eastAsia="en-NZ"/>
        </w:rPr>
        <w:t xml:space="preserve">.  </w:t>
      </w:r>
      <w:r w:rsidR="00872E01">
        <w:rPr>
          <w:color w:val="303030"/>
          <w:lang w:eastAsia="en-NZ"/>
        </w:rPr>
        <w:t xml:space="preserve">Benefit receipt also increased between the 2008 to 2011 tax years, but by a smaller amount than for level 1-3 certificate graduates: around 3 percentage points for level 4 certificate graduates and around 2 percentage points for diploma graduates.  </w:t>
      </w:r>
      <w:r w:rsidR="00F93521">
        <w:rPr>
          <w:color w:val="303030"/>
          <w:lang w:eastAsia="en-NZ"/>
        </w:rPr>
        <w:t xml:space="preserve">This suggests that </w:t>
      </w:r>
      <w:r w:rsidR="00617A91">
        <w:rPr>
          <w:color w:val="303030"/>
          <w:lang w:eastAsia="en-NZ"/>
        </w:rPr>
        <w:t xml:space="preserve">during the period of the global financial crisis, </w:t>
      </w:r>
      <w:r w:rsidR="00A62250">
        <w:rPr>
          <w:color w:val="303030"/>
          <w:lang w:eastAsia="en-NZ"/>
        </w:rPr>
        <w:t>graduates</w:t>
      </w:r>
      <w:r w:rsidR="00617A91">
        <w:rPr>
          <w:color w:val="303030"/>
          <w:lang w:eastAsia="en-NZ"/>
        </w:rPr>
        <w:t xml:space="preserve"> with </w:t>
      </w:r>
      <w:r w:rsidR="00872E01">
        <w:rPr>
          <w:color w:val="303030"/>
          <w:lang w:eastAsia="en-NZ"/>
        </w:rPr>
        <w:t>higher level</w:t>
      </w:r>
      <w:r w:rsidR="00617A91">
        <w:rPr>
          <w:color w:val="303030"/>
          <w:lang w:eastAsia="en-NZ"/>
        </w:rPr>
        <w:t>s</w:t>
      </w:r>
      <w:r w:rsidR="00872E01">
        <w:rPr>
          <w:color w:val="303030"/>
          <w:lang w:eastAsia="en-NZ"/>
        </w:rPr>
        <w:t xml:space="preserve"> of qualification tended to focus on obtaining further qu</w:t>
      </w:r>
      <w:r w:rsidR="00617A91">
        <w:rPr>
          <w:color w:val="303030"/>
          <w:lang w:eastAsia="en-NZ"/>
        </w:rPr>
        <w:t>alifications to enhance their employment prospects rather than relying on a benefit</w:t>
      </w:r>
      <w:r w:rsidR="008F7819">
        <w:rPr>
          <w:color w:val="303030"/>
          <w:lang w:eastAsia="en-NZ"/>
        </w:rPr>
        <w:t>.</w:t>
      </w:r>
    </w:p>
    <w:p w:rsidR="00886865" w:rsidRDefault="00886865" w:rsidP="00886865">
      <w:pPr>
        <w:pStyle w:val="ListParagraph"/>
        <w:rPr>
          <w:color w:val="303030"/>
          <w:lang w:eastAsia="en-NZ"/>
        </w:rPr>
      </w:pPr>
    </w:p>
    <w:p w:rsidR="00517344" w:rsidRPr="008B5C72" w:rsidRDefault="00617A91" w:rsidP="008B5C72">
      <w:pPr>
        <w:pStyle w:val="Bullet1"/>
        <w:numPr>
          <w:ilvl w:val="0"/>
          <w:numId w:val="68"/>
        </w:numPr>
        <w:tabs>
          <w:tab w:val="clear" w:pos="284"/>
        </w:tabs>
        <w:spacing w:after="0" w:line="240" w:lineRule="auto"/>
        <w:ind w:left="567" w:hanging="567"/>
        <w:rPr>
          <w:rFonts w:ascii="Arial" w:hAnsi="Arial" w:cs="Arial"/>
          <w:b/>
          <w:bCs/>
          <w:sz w:val="15"/>
        </w:rPr>
      </w:pPr>
      <w:r w:rsidRPr="008B5C72">
        <w:rPr>
          <w:color w:val="303030"/>
          <w:lang w:eastAsia="en-NZ"/>
        </w:rPr>
        <w:t xml:space="preserve">For young domestic graduates who have completed a qualification at degree level or higher, although there are some trends over time, generally rates have remained relatively constant over the past </w:t>
      </w:r>
      <w:r w:rsidR="003179AA" w:rsidRPr="008B5C72">
        <w:rPr>
          <w:color w:val="303030"/>
          <w:lang w:eastAsia="en-NZ"/>
        </w:rPr>
        <w:t>eight</w:t>
      </w:r>
      <w:r w:rsidRPr="008B5C72">
        <w:rPr>
          <w:color w:val="303030"/>
          <w:lang w:eastAsia="en-NZ"/>
        </w:rPr>
        <w:t xml:space="preserve"> years.  This suggests that having a higher qualification has helped to protect these graduates from the </w:t>
      </w:r>
      <w:r w:rsidR="00E908AD">
        <w:rPr>
          <w:color w:val="303030"/>
          <w:lang w:eastAsia="en-NZ"/>
        </w:rPr>
        <w:t xml:space="preserve">worst </w:t>
      </w:r>
      <w:r w:rsidRPr="008B5C72">
        <w:rPr>
          <w:color w:val="303030"/>
          <w:lang w:eastAsia="en-NZ"/>
        </w:rPr>
        <w:t>effects of the global financial crisis</w:t>
      </w:r>
      <w:r w:rsidR="00E908AD">
        <w:rPr>
          <w:rStyle w:val="FootnoteReference"/>
          <w:color w:val="303030"/>
          <w:lang w:eastAsia="en-NZ"/>
        </w:rPr>
        <w:footnoteReference w:id="9"/>
      </w:r>
      <w:r w:rsidRPr="008B5C72">
        <w:rPr>
          <w:color w:val="303030"/>
          <w:lang w:eastAsia="en-NZ"/>
        </w:rPr>
        <w:t>.</w:t>
      </w:r>
      <w:r w:rsidR="00886865" w:rsidRPr="008B5C72">
        <w:rPr>
          <w:color w:val="303030"/>
          <w:lang w:eastAsia="en-NZ"/>
        </w:rPr>
        <w:t xml:space="preserve"> It is </w:t>
      </w:r>
      <w:r w:rsidR="00886865" w:rsidRPr="008B5C72">
        <w:rPr>
          <w:color w:val="303030"/>
          <w:lang w:eastAsia="en-NZ"/>
        </w:rPr>
        <w:lastRenderedPageBreak/>
        <w:t>also notable for these graduates</w:t>
      </w:r>
      <w:r w:rsidR="004F5228" w:rsidRPr="008B5C72">
        <w:rPr>
          <w:color w:val="303030"/>
          <w:lang w:eastAsia="en-NZ"/>
        </w:rPr>
        <w:t>, and those at diploma level</w:t>
      </w:r>
      <w:r w:rsidR="00886865" w:rsidRPr="008B5C72">
        <w:rPr>
          <w:color w:val="303030"/>
          <w:lang w:eastAsia="en-NZ"/>
        </w:rPr>
        <w:t>, that employment and further study rates almost exactly mirror each other.  That is, when the percentage of graduates in employment increase, further study rates drop</w:t>
      </w:r>
      <w:r w:rsidR="0010237F">
        <w:rPr>
          <w:color w:val="303030"/>
          <w:lang w:eastAsia="en-NZ"/>
        </w:rPr>
        <w:t xml:space="preserve"> to roughly the same extent</w:t>
      </w:r>
      <w:r w:rsidR="00886865" w:rsidRPr="008B5C72">
        <w:rPr>
          <w:color w:val="303030"/>
          <w:lang w:eastAsia="en-NZ"/>
        </w:rPr>
        <w:t>, and vice-versa.</w:t>
      </w:r>
    </w:p>
    <w:p w:rsidR="007A6592" w:rsidRDefault="007A6592">
      <w:pPr>
        <w:rPr>
          <w:rFonts w:ascii="Arial" w:hAnsi="Arial" w:cs="Arial"/>
          <w:b/>
          <w:bCs/>
          <w:sz w:val="15"/>
          <w:szCs w:val="20"/>
        </w:rPr>
      </w:pPr>
      <w:r>
        <w:br w:type="page"/>
      </w:r>
    </w:p>
    <w:p w:rsidR="00AD758E" w:rsidRPr="00CF0181" w:rsidRDefault="00AD758E" w:rsidP="00AD758E">
      <w:pPr>
        <w:pStyle w:val="Caption"/>
      </w:pPr>
      <w:r w:rsidRPr="00CF0181">
        <w:lastRenderedPageBreak/>
        <w:t xml:space="preserve">Figure </w:t>
      </w:r>
      <w:r>
        <w:t>5a</w:t>
      </w:r>
    </w:p>
    <w:p w:rsidR="00AD758E" w:rsidRPr="007F01F4" w:rsidRDefault="00AD758E" w:rsidP="00AD758E">
      <w:pPr>
        <w:pStyle w:val="Figurelabel"/>
      </w:pPr>
      <w:bookmarkStart w:id="21" w:name="_Toc387305356"/>
      <w:r>
        <w:t>Percentage of young domestic graduates who were classified as employed in each tax year, for each year after study, by qualification level.</w:t>
      </w:r>
      <w:bookmarkEnd w:id="2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gridCol w:w="198"/>
      </w:tblGrid>
      <w:tr w:rsidR="00AD758E" w:rsidTr="00AD758E">
        <w:trPr>
          <w:jc w:val="center"/>
        </w:trPr>
        <w:tc>
          <w:tcPr>
            <w:tcW w:w="4261" w:type="dxa"/>
          </w:tcPr>
          <w:p w:rsidR="00AD758E" w:rsidRDefault="00AD758E" w:rsidP="00AD758E">
            <w:pPr>
              <w:jc w:val="both"/>
              <w:rPr>
                <w:bCs/>
                <w:sz w:val="15"/>
                <w:szCs w:val="20"/>
              </w:rPr>
            </w:pPr>
            <w:r>
              <w:rPr>
                <w:bCs/>
                <w:sz w:val="15"/>
                <w:szCs w:val="20"/>
              </w:rPr>
              <w:t>Level 1 – 3 certificates</w:t>
            </w:r>
          </w:p>
          <w:p w:rsidR="00AD758E" w:rsidRDefault="00AD758E" w:rsidP="00AD758E">
            <w:pPr>
              <w:jc w:val="both"/>
              <w:rPr>
                <w:i/>
              </w:rPr>
            </w:pPr>
            <w:r>
              <w:rPr>
                <w:i/>
                <w:noProof/>
                <w:lang w:eastAsia="en-NZ"/>
              </w:rPr>
              <w:drawing>
                <wp:inline distT="0" distB="0" distL="0" distR="0">
                  <wp:extent cx="2533650" cy="1771650"/>
                  <wp:effectExtent l="19050" t="0" r="0" b="0"/>
                  <wp:docPr id="1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tc>
        <w:tc>
          <w:tcPr>
            <w:tcW w:w="4459" w:type="dxa"/>
            <w:gridSpan w:val="2"/>
          </w:tcPr>
          <w:p w:rsidR="00AD758E" w:rsidRDefault="00AD758E" w:rsidP="00AD758E">
            <w:pPr>
              <w:jc w:val="both"/>
              <w:rPr>
                <w:bCs/>
                <w:sz w:val="15"/>
                <w:szCs w:val="20"/>
              </w:rPr>
            </w:pPr>
            <w:r>
              <w:rPr>
                <w:bCs/>
                <w:sz w:val="15"/>
                <w:szCs w:val="20"/>
              </w:rPr>
              <w:t>Level 4 certificates</w:t>
            </w:r>
          </w:p>
          <w:p w:rsidR="00AD758E" w:rsidRDefault="00AD758E" w:rsidP="00AD758E">
            <w:pPr>
              <w:jc w:val="both"/>
              <w:rPr>
                <w:i/>
              </w:rPr>
            </w:pPr>
            <w:r>
              <w:rPr>
                <w:i/>
                <w:noProof/>
                <w:lang w:eastAsia="en-NZ"/>
              </w:rPr>
              <w:drawing>
                <wp:inline distT="0" distB="0" distL="0" distR="0">
                  <wp:extent cx="2533650" cy="1771650"/>
                  <wp:effectExtent l="19050" t="0" r="0" b="0"/>
                  <wp:docPr id="1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tc>
      </w:tr>
      <w:tr w:rsidR="00AD758E" w:rsidTr="00AD758E">
        <w:trPr>
          <w:jc w:val="center"/>
        </w:trPr>
        <w:tc>
          <w:tcPr>
            <w:tcW w:w="4261" w:type="dxa"/>
          </w:tcPr>
          <w:p w:rsidR="00AD758E" w:rsidRPr="002077A6" w:rsidRDefault="00AD758E" w:rsidP="00AD758E">
            <w:pPr>
              <w:jc w:val="both"/>
              <w:rPr>
                <w:bCs/>
                <w:sz w:val="15"/>
                <w:szCs w:val="20"/>
              </w:rPr>
            </w:pPr>
            <w:r>
              <w:rPr>
                <w:bCs/>
                <w:sz w:val="15"/>
                <w:szCs w:val="20"/>
              </w:rPr>
              <w:t>Diplomas</w:t>
            </w:r>
          </w:p>
          <w:p w:rsidR="00AD758E" w:rsidRPr="002077A6" w:rsidRDefault="00AD758E" w:rsidP="00AD758E">
            <w:pPr>
              <w:jc w:val="both"/>
              <w:rPr>
                <w:bCs/>
                <w:sz w:val="15"/>
                <w:szCs w:val="20"/>
              </w:rPr>
            </w:pPr>
            <w:r>
              <w:rPr>
                <w:bCs/>
                <w:noProof/>
                <w:sz w:val="15"/>
                <w:szCs w:val="20"/>
                <w:lang w:eastAsia="en-NZ"/>
              </w:rPr>
              <w:drawing>
                <wp:inline distT="0" distB="0" distL="0" distR="0">
                  <wp:extent cx="2533650" cy="1771650"/>
                  <wp:effectExtent l="19050" t="0" r="0" b="0"/>
                  <wp:docPr id="1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tc>
        <w:tc>
          <w:tcPr>
            <w:tcW w:w="4459" w:type="dxa"/>
            <w:gridSpan w:val="2"/>
          </w:tcPr>
          <w:p w:rsidR="00AD758E" w:rsidRDefault="00AD758E" w:rsidP="00AD758E">
            <w:pPr>
              <w:jc w:val="both"/>
              <w:rPr>
                <w:bCs/>
                <w:sz w:val="15"/>
                <w:szCs w:val="20"/>
              </w:rPr>
            </w:pPr>
            <w:r w:rsidRPr="002077A6">
              <w:rPr>
                <w:bCs/>
                <w:sz w:val="15"/>
                <w:szCs w:val="20"/>
              </w:rPr>
              <w:t>Bachelors</w:t>
            </w:r>
          </w:p>
          <w:p w:rsidR="00AD758E" w:rsidRPr="002077A6" w:rsidRDefault="00AD758E" w:rsidP="00AD758E">
            <w:pPr>
              <w:jc w:val="both"/>
              <w:rPr>
                <w:bCs/>
                <w:sz w:val="15"/>
                <w:szCs w:val="20"/>
              </w:rPr>
            </w:pPr>
            <w:r>
              <w:rPr>
                <w:bCs/>
                <w:noProof/>
                <w:sz w:val="15"/>
                <w:szCs w:val="20"/>
                <w:lang w:eastAsia="en-NZ"/>
              </w:rPr>
              <w:drawing>
                <wp:inline distT="0" distB="0" distL="0" distR="0">
                  <wp:extent cx="2533650" cy="1771650"/>
                  <wp:effectExtent l="19050" t="0" r="0" b="0"/>
                  <wp:docPr id="1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p w:rsidR="00AD758E" w:rsidRPr="002077A6" w:rsidRDefault="00AD758E" w:rsidP="00AD758E">
            <w:pPr>
              <w:jc w:val="both"/>
              <w:rPr>
                <w:bCs/>
                <w:sz w:val="15"/>
                <w:szCs w:val="20"/>
              </w:rPr>
            </w:pPr>
          </w:p>
        </w:tc>
      </w:tr>
      <w:tr w:rsidR="00AD758E" w:rsidTr="00AD758E">
        <w:trPr>
          <w:jc w:val="center"/>
        </w:trPr>
        <w:tc>
          <w:tcPr>
            <w:tcW w:w="4261" w:type="dxa"/>
          </w:tcPr>
          <w:p w:rsidR="00AD758E" w:rsidRPr="002077A6" w:rsidRDefault="00AD758E" w:rsidP="00AD758E">
            <w:pPr>
              <w:jc w:val="both"/>
              <w:rPr>
                <w:bCs/>
                <w:sz w:val="15"/>
                <w:szCs w:val="20"/>
              </w:rPr>
            </w:pPr>
            <w:r w:rsidRPr="002077A6">
              <w:rPr>
                <w:bCs/>
                <w:sz w:val="15"/>
                <w:szCs w:val="20"/>
              </w:rPr>
              <w:t>Level 7 graduate cert</w:t>
            </w:r>
            <w:r>
              <w:rPr>
                <w:bCs/>
                <w:sz w:val="15"/>
                <w:szCs w:val="20"/>
              </w:rPr>
              <w:t>ificates</w:t>
            </w:r>
            <w:r w:rsidRPr="002077A6">
              <w:rPr>
                <w:bCs/>
                <w:sz w:val="15"/>
                <w:szCs w:val="20"/>
              </w:rPr>
              <w:t>/dip</w:t>
            </w:r>
            <w:r>
              <w:rPr>
                <w:bCs/>
                <w:sz w:val="15"/>
                <w:szCs w:val="20"/>
              </w:rPr>
              <w:t>loma</w:t>
            </w:r>
            <w:r w:rsidRPr="002077A6">
              <w:rPr>
                <w:bCs/>
                <w:sz w:val="15"/>
                <w:szCs w:val="20"/>
              </w:rPr>
              <w:t>s</w:t>
            </w:r>
          </w:p>
          <w:p w:rsidR="00AD758E" w:rsidRDefault="00AD758E" w:rsidP="00AD758E">
            <w:pPr>
              <w:jc w:val="both"/>
              <w:rPr>
                <w:i/>
              </w:rPr>
            </w:pPr>
            <w:r>
              <w:rPr>
                <w:i/>
                <w:noProof/>
                <w:lang w:eastAsia="en-NZ"/>
              </w:rPr>
              <w:drawing>
                <wp:inline distT="0" distB="0" distL="0" distR="0">
                  <wp:extent cx="2533650" cy="1771650"/>
                  <wp:effectExtent l="19050" t="0" r="0" b="0"/>
                  <wp:docPr id="1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tc>
        <w:tc>
          <w:tcPr>
            <w:tcW w:w="4459" w:type="dxa"/>
            <w:gridSpan w:val="2"/>
          </w:tcPr>
          <w:p w:rsidR="00AD758E" w:rsidRPr="002077A6" w:rsidRDefault="00AD758E" w:rsidP="00AD758E">
            <w:pPr>
              <w:jc w:val="both"/>
              <w:rPr>
                <w:bCs/>
                <w:sz w:val="15"/>
                <w:szCs w:val="20"/>
              </w:rPr>
            </w:pPr>
            <w:r w:rsidRPr="002077A6">
              <w:rPr>
                <w:bCs/>
                <w:sz w:val="15"/>
                <w:szCs w:val="20"/>
              </w:rPr>
              <w:t>Level 8 honours/postgrad</w:t>
            </w:r>
            <w:r>
              <w:rPr>
                <w:bCs/>
                <w:sz w:val="15"/>
                <w:szCs w:val="20"/>
              </w:rPr>
              <w:t>uate</w:t>
            </w:r>
            <w:r w:rsidRPr="002077A6">
              <w:rPr>
                <w:bCs/>
                <w:sz w:val="15"/>
                <w:szCs w:val="20"/>
              </w:rPr>
              <w:t xml:space="preserve"> cert</w:t>
            </w:r>
            <w:r>
              <w:rPr>
                <w:bCs/>
                <w:sz w:val="15"/>
                <w:szCs w:val="20"/>
              </w:rPr>
              <w:t>ificate</w:t>
            </w:r>
            <w:r w:rsidRPr="002077A6">
              <w:rPr>
                <w:bCs/>
                <w:sz w:val="15"/>
                <w:szCs w:val="20"/>
              </w:rPr>
              <w:t>s/dip</w:t>
            </w:r>
            <w:r>
              <w:rPr>
                <w:bCs/>
                <w:sz w:val="15"/>
                <w:szCs w:val="20"/>
              </w:rPr>
              <w:t>loma</w:t>
            </w:r>
            <w:r w:rsidRPr="002077A6">
              <w:rPr>
                <w:bCs/>
                <w:sz w:val="15"/>
                <w:szCs w:val="20"/>
              </w:rPr>
              <w:t>s</w:t>
            </w:r>
          </w:p>
          <w:p w:rsidR="00AD758E" w:rsidRDefault="00AD758E" w:rsidP="00AD758E">
            <w:pPr>
              <w:jc w:val="both"/>
              <w:rPr>
                <w:i/>
              </w:rPr>
            </w:pPr>
            <w:r>
              <w:rPr>
                <w:i/>
                <w:noProof/>
                <w:lang w:eastAsia="en-NZ"/>
              </w:rPr>
              <w:drawing>
                <wp:inline distT="0" distB="0" distL="0" distR="0">
                  <wp:extent cx="2533650" cy="1771650"/>
                  <wp:effectExtent l="19050" t="0" r="0" b="0"/>
                  <wp:docPr id="1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tc>
      </w:tr>
      <w:tr w:rsidR="00AD758E" w:rsidTr="00AD758E">
        <w:trPr>
          <w:gridAfter w:val="1"/>
          <w:wAfter w:w="198" w:type="dxa"/>
          <w:jc w:val="center"/>
        </w:trPr>
        <w:tc>
          <w:tcPr>
            <w:tcW w:w="4261" w:type="dxa"/>
          </w:tcPr>
          <w:p w:rsidR="00AD758E" w:rsidRDefault="00AD758E" w:rsidP="00AD758E">
            <w:pPr>
              <w:jc w:val="both"/>
              <w:rPr>
                <w:bCs/>
                <w:sz w:val="15"/>
                <w:szCs w:val="20"/>
              </w:rPr>
            </w:pPr>
            <w:r w:rsidRPr="002077A6">
              <w:rPr>
                <w:bCs/>
                <w:sz w:val="15"/>
                <w:szCs w:val="20"/>
              </w:rPr>
              <w:t>Masters</w:t>
            </w:r>
          </w:p>
          <w:p w:rsidR="00AD758E" w:rsidRPr="00FA69DC" w:rsidRDefault="00AD758E" w:rsidP="00AD758E">
            <w:pPr>
              <w:jc w:val="both"/>
              <w:rPr>
                <w:bCs/>
                <w:sz w:val="15"/>
                <w:szCs w:val="20"/>
              </w:rPr>
            </w:pPr>
            <w:r>
              <w:rPr>
                <w:bCs/>
                <w:noProof/>
                <w:sz w:val="15"/>
                <w:szCs w:val="20"/>
                <w:lang w:eastAsia="en-NZ"/>
              </w:rPr>
              <w:drawing>
                <wp:inline distT="0" distB="0" distL="0" distR="0">
                  <wp:extent cx="2533650" cy="2057400"/>
                  <wp:effectExtent l="19050" t="0" r="0" b="0"/>
                  <wp:docPr id="1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srcRect/>
                          <a:stretch>
                            <a:fillRect/>
                          </a:stretch>
                        </pic:blipFill>
                        <pic:spPr bwMode="auto">
                          <a:xfrm>
                            <a:off x="0" y="0"/>
                            <a:ext cx="2533650" cy="2057400"/>
                          </a:xfrm>
                          <a:prstGeom prst="rect">
                            <a:avLst/>
                          </a:prstGeom>
                          <a:noFill/>
                          <a:ln w="9525">
                            <a:noFill/>
                            <a:miter lim="800000"/>
                            <a:headEnd/>
                            <a:tailEnd/>
                          </a:ln>
                        </pic:spPr>
                      </pic:pic>
                    </a:graphicData>
                  </a:graphic>
                </wp:inline>
              </w:drawing>
            </w:r>
            <w:r>
              <w:rPr>
                <w:bCs/>
                <w:sz w:val="15"/>
                <w:szCs w:val="20"/>
              </w:rPr>
              <w:t xml:space="preserve"> </w:t>
            </w:r>
          </w:p>
        </w:tc>
        <w:tc>
          <w:tcPr>
            <w:tcW w:w="4261" w:type="dxa"/>
          </w:tcPr>
          <w:p w:rsidR="00AD758E" w:rsidRDefault="00AD758E" w:rsidP="00AD758E">
            <w:pPr>
              <w:jc w:val="both"/>
              <w:rPr>
                <w:bCs/>
                <w:sz w:val="15"/>
                <w:szCs w:val="20"/>
              </w:rPr>
            </w:pPr>
            <w:r w:rsidRPr="002077A6">
              <w:rPr>
                <w:bCs/>
                <w:sz w:val="15"/>
                <w:szCs w:val="20"/>
              </w:rPr>
              <w:t>Doctorates</w:t>
            </w:r>
          </w:p>
          <w:p w:rsidR="00AD758E" w:rsidRDefault="00AD758E" w:rsidP="00AD758E">
            <w:pPr>
              <w:jc w:val="both"/>
              <w:rPr>
                <w:i/>
              </w:rPr>
            </w:pPr>
            <w:r>
              <w:rPr>
                <w:i/>
                <w:noProof/>
                <w:lang w:eastAsia="en-NZ"/>
              </w:rPr>
              <w:drawing>
                <wp:inline distT="0" distB="0" distL="0" distR="0">
                  <wp:extent cx="2533650" cy="2057400"/>
                  <wp:effectExtent l="19050" t="0" r="0" b="0"/>
                  <wp:docPr id="1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srcRect/>
                          <a:stretch>
                            <a:fillRect/>
                          </a:stretch>
                        </pic:blipFill>
                        <pic:spPr bwMode="auto">
                          <a:xfrm>
                            <a:off x="0" y="0"/>
                            <a:ext cx="2533650" cy="2057400"/>
                          </a:xfrm>
                          <a:prstGeom prst="rect">
                            <a:avLst/>
                          </a:prstGeom>
                          <a:noFill/>
                          <a:ln w="9525">
                            <a:noFill/>
                            <a:miter lim="800000"/>
                            <a:headEnd/>
                            <a:tailEnd/>
                          </a:ln>
                        </pic:spPr>
                      </pic:pic>
                    </a:graphicData>
                  </a:graphic>
                </wp:inline>
              </w:drawing>
            </w:r>
            <w:r>
              <w:rPr>
                <w:i/>
                <w:noProof/>
                <w:lang w:eastAsia="en-NZ"/>
              </w:rPr>
              <w:t xml:space="preserve"> </w:t>
            </w:r>
          </w:p>
        </w:tc>
      </w:tr>
      <w:tr w:rsidR="00AD758E" w:rsidTr="00AD758E">
        <w:trPr>
          <w:gridAfter w:val="1"/>
          <w:wAfter w:w="198" w:type="dxa"/>
          <w:jc w:val="center"/>
        </w:trPr>
        <w:tc>
          <w:tcPr>
            <w:tcW w:w="8522" w:type="dxa"/>
            <w:gridSpan w:val="2"/>
          </w:tcPr>
          <w:p w:rsidR="00AD758E" w:rsidRDefault="00AD758E" w:rsidP="00AD758E">
            <w:pPr>
              <w:jc w:val="both"/>
              <w:rPr>
                <w:bCs/>
                <w:noProof/>
                <w:sz w:val="15"/>
                <w:szCs w:val="20"/>
                <w:lang w:eastAsia="en-NZ"/>
              </w:rPr>
            </w:pPr>
            <w:r w:rsidRPr="00A629FE">
              <w:rPr>
                <w:bCs/>
                <w:noProof/>
                <w:sz w:val="15"/>
                <w:szCs w:val="20"/>
                <w:lang w:eastAsia="en-NZ"/>
              </w:rPr>
              <w:drawing>
                <wp:anchor distT="0" distB="0" distL="114300" distR="114300" simplePos="0" relativeHeight="251694080" behindDoc="0" locked="0" layoutInCell="1" allowOverlap="1">
                  <wp:simplePos x="0" y="0"/>
                  <wp:positionH relativeFrom="column">
                    <wp:posOffset>412750</wp:posOffset>
                  </wp:positionH>
                  <wp:positionV relativeFrom="paragraph">
                    <wp:posOffset>-6350</wp:posOffset>
                  </wp:positionV>
                  <wp:extent cx="4498340" cy="272415"/>
                  <wp:effectExtent l="19050" t="0" r="0" b="0"/>
                  <wp:wrapSquare wrapText="bothSides"/>
                  <wp:docPr id="1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4498340" cy="272415"/>
                          </a:xfrm>
                          <a:prstGeom prst="rect">
                            <a:avLst/>
                          </a:prstGeom>
                          <a:noFill/>
                          <a:ln w="9525">
                            <a:noFill/>
                            <a:miter lim="800000"/>
                            <a:headEnd/>
                            <a:tailEnd/>
                          </a:ln>
                        </pic:spPr>
                      </pic:pic>
                    </a:graphicData>
                  </a:graphic>
                </wp:anchor>
              </w:drawing>
            </w:r>
          </w:p>
        </w:tc>
      </w:tr>
    </w:tbl>
    <w:p w:rsidR="00AD758E" w:rsidRDefault="00AD758E" w:rsidP="00AD758E">
      <w:pPr>
        <w:pStyle w:val="BodyText"/>
        <w:rPr>
          <w:lang w:eastAsia="en-NZ"/>
        </w:rPr>
      </w:pPr>
    </w:p>
    <w:p w:rsidR="00437DD8" w:rsidRPr="00CF0181" w:rsidRDefault="00437DD8" w:rsidP="00437DD8">
      <w:pPr>
        <w:pStyle w:val="Caption"/>
      </w:pPr>
      <w:r w:rsidRPr="00CF0181">
        <w:lastRenderedPageBreak/>
        <w:t xml:space="preserve">Figure </w:t>
      </w:r>
      <w:r w:rsidR="00AD758E">
        <w:t>5b</w:t>
      </w:r>
    </w:p>
    <w:p w:rsidR="00437DD8" w:rsidRPr="007F01F4" w:rsidRDefault="00437DD8" w:rsidP="00437DD8">
      <w:pPr>
        <w:pStyle w:val="Figurelabel"/>
      </w:pPr>
      <w:bookmarkStart w:id="22" w:name="_Toc387305357"/>
      <w:r>
        <w:t>Percentage of young domestic graduates who were classified as doing further study in each tax year, for each year after study, by qualification level.</w:t>
      </w:r>
      <w:bookmarkEnd w:id="2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gridCol w:w="198"/>
      </w:tblGrid>
      <w:tr w:rsidR="00437DD8" w:rsidTr="00EE77ED">
        <w:trPr>
          <w:jc w:val="center"/>
        </w:trPr>
        <w:tc>
          <w:tcPr>
            <w:tcW w:w="4261" w:type="dxa"/>
          </w:tcPr>
          <w:p w:rsidR="00437DD8" w:rsidRDefault="00437DD8" w:rsidP="00EE77ED">
            <w:pPr>
              <w:jc w:val="both"/>
              <w:rPr>
                <w:bCs/>
                <w:sz w:val="15"/>
                <w:szCs w:val="20"/>
              </w:rPr>
            </w:pPr>
            <w:r>
              <w:rPr>
                <w:bCs/>
                <w:sz w:val="15"/>
                <w:szCs w:val="20"/>
              </w:rPr>
              <w:t>Level 1 – 3 certificates</w:t>
            </w:r>
          </w:p>
          <w:p w:rsidR="00437DD8" w:rsidRDefault="00437DD8" w:rsidP="00EE77ED">
            <w:pPr>
              <w:jc w:val="both"/>
              <w:rPr>
                <w:i/>
              </w:rPr>
            </w:pPr>
            <w:r>
              <w:rPr>
                <w:i/>
                <w:noProof/>
                <w:lang w:eastAsia="en-NZ"/>
              </w:rPr>
              <w:drawing>
                <wp:inline distT="0" distB="0" distL="0" distR="0">
                  <wp:extent cx="2533650" cy="1771650"/>
                  <wp:effectExtent l="19050" t="0" r="0" b="0"/>
                  <wp:docPr id="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tc>
        <w:tc>
          <w:tcPr>
            <w:tcW w:w="4459" w:type="dxa"/>
            <w:gridSpan w:val="2"/>
          </w:tcPr>
          <w:p w:rsidR="00437DD8" w:rsidRDefault="00437DD8" w:rsidP="00EE77ED">
            <w:pPr>
              <w:jc w:val="both"/>
              <w:rPr>
                <w:bCs/>
                <w:sz w:val="15"/>
                <w:szCs w:val="20"/>
              </w:rPr>
            </w:pPr>
            <w:r>
              <w:rPr>
                <w:bCs/>
                <w:sz w:val="15"/>
                <w:szCs w:val="20"/>
              </w:rPr>
              <w:t>Level 4 certificates</w:t>
            </w:r>
          </w:p>
          <w:p w:rsidR="00437DD8" w:rsidRDefault="00437DD8" w:rsidP="00EE77ED">
            <w:pPr>
              <w:jc w:val="both"/>
              <w:rPr>
                <w:i/>
              </w:rPr>
            </w:pPr>
            <w:r>
              <w:rPr>
                <w:i/>
                <w:noProof/>
                <w:lang w:eastAsia="en-NZ"/>
              </w:rPr>
              <w:drawing>
                <wp:inline distT="0" distB="0" distL="0" distR="0">
                  <wp:extent cx="2533650" cy="1771650"/>
                  <wp:effectExtent l="19050" t="0" r="0" b="0"/>
                  <wp:docPr id="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tc>
      </w:tr>
      <w:tr w:rsidR="00437DD8" w:rsidTr="00EE77ED">
        <w:trPr>
          <w:jc w:val="center"/>
        </w:trPr>
        <w:tc>
          <w:tcPr>
            <w:tcW w:w="4261" w:type="dxa"/>
          </w:tcPr>
          <w:p w:rsidR="00437DD8" w:rsidRPr="002077A6" w:rsidRDefault="00437DD8" w:rsidP="00EE77ED">
            <w:pPr>
              <w:jc w:val="both"/>
              <w:rPr>
                <w:bCs/>
                <w:sz w:val="15"/>
                <w:szCs w:val="20"/>
              </w:rPr>
            </w:pPr>
            <w:r>
              <w:rPr>
                <w:bCs/>
                <w:sz w:val="15"/>
                <w:szCs w:val="20"/>
              </w:rPr>
              <w:t>Diplomas</w:t>
            </w:r>
          </w:p>
          <w:p w:rsidR="00437DD8" w:rsidRPr="002077A6" w:rsidRDefault="00437DD8" w:rsidP="00EE77ED">
            <w:pPr>
              <w:jc w:val="both"/>
              <w:rPr>
                <w:bCs/>
                <w:sz w:val="15"/>
                <w:szCs w:val="20"/>
              </w:rPr>
            </w:pPr>
            <w:r>
              <w:rPr>
                <w:bCs/>
                <w:noProof/>
                <w:sz w:val="15"/>
                <w:szCs w:val="20"/>
                <w:lang w:eastAsia="en-NZ"/>
              </w:rPr>
              <w:drawing>
                <wp:inline distT="0" distB="0" distL="0" distR="0">
                  <wp:extent cx="2533650" cy="1771650"/>
                  <wp:effectExtent l="19050" t="0" r="0" b="0"/>
                  <wp:docPr id="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tc>
        <w:tc>
          <w:tcPr>
            <w:tcW w:w="4459" w:type="dxa"/>
            <w:gridSpan w:val="2"/>
          </w:tcPr>
          <w:p w:rsidR="00437DD8" w:rsidRDefault="00437DD8" w:rsidP="00EE77ED">
            <w:pPr>
              <w:jc w:val="both"/>
              <w:rPr>
                <w:bCs/>
                <w:sz w:val="15"/>
                <w:szCs w:val="20"/>
              </w:rPr>
            </w:pPr>
            <w:r w:rsidRPr="002077A6">
              <w:rPr>
                <w:bCs/>
                <w:sz w:val="15"/>
                <w:szCs w:val="20"/>
              </w:rPr>
              <w:t>Bachelors</w:t>
            </w:r>
          </w:p>
          <w:p w:rsidR="00437DD8" w:rsidRPr="002077A6" w:rsidRDefault="00437DD8" w:rsidP="00EE77ED">
            <w:pPr>
              <w:jc w:val="both"/>
              <w:rPr>
                <w:bCs/>
                <w:sz w:val="15"/>
                <w:szCs w:val="20"/>
              </w:rPr>
            </w:pPr>
            <w:r>
              <w:rPr>
                <w:bCs/>
                <w:noProof/>
                <w:sz w:val="15"/>
                <w:szCs w:val="20"/>
                <w:lang w:eastAsia="en-NZ"/>
              </w:rPr>
              <w:drawing>
                <wp:inline distT="0" distB="0" distL="0" distR="0">
                  <wp:extent cx="2533650" cy="1771650"/>
                  <wp:effectExtent l="19050" t="0" r="0" b="0"/>
                  <wp:docPr id="9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p w:rsidR="00437DD8" w:rsidRPr="002077A6" w:rsidRDefault="00437DD8" w:rsidP="00EE77ED">
            <w:pPr>
              <w:jc w:val="both"/>
              <w:rPr>
                <w:bCs/>
                <w:sz w:val="15"/>
                <w:szCs w:val="20"/>
              </w:rPr>
            </w:pPr>
          </w:p>
        </w:tc>
      </w:tr>
      <w:tr w:rsidR="00437DD8" w:rsidTr="00EE77ED">
        <w:trPr>
          <w:jc w:val="center"/>
        </w:trPr>
        <w:tc>
          <w:tcPr>
            <w:tcW w:w="4261" w:type="dxa"/>
          </w:tcPr>
          <w:p w:rsidR="00437DD8" w:rsidRPr="002077A6" w:rsidRDefault="00437DD8" w:rsidP="00EE77ED">
            <w:pPr>
              <w:jc w:val="both"/>
              <w:rPr>
                <w:bCs/>
                <w:sz w:val="15"/>
                <w:szCs w:val="20"/>
              </w:rPr>
            </w:pPr>
            <w:r w:rsidRPr="002077A6">
              <w:rPr>
                <w:bCs/>
                <w:sz w:val="15"/>
                <w:szCs w:val="20"/>
              </w:rPr>
              <w:t>Level 7 graduate cert</w:t>
            </w:r>
            <w:r>
              <w:rPr>
                <w:bCs/>
                <w:sz w:val="15"/>
                <w:szCs w:val="20"/>
              </w:rPr>
              <w:t>ificates</w:t>
            </w:r>
            <w:r w:rsidRPr="002077A6">
              <w:rPr>
                <w:bCs/>
                <w:sz w:val="15"/>
                <w:szCs w:val="20"/>
              </w:rPr>
              <w:t>/dip</w:t>
            </w:r>
            <w:r>
              <w:rPr>
                <w:bCs/>
                <w:sz w:val="15"/>
                <w:szCs w:val="20"/>
              </w:rPr>
              <w:t>loma</w:t>
            </w:r>
            <w:r w:rsidRPr="002077A6">
              <w:rPr>
                <w:bCs/>
                <w:sz w:val="15"/>
                <w:szCs w:val="20"/>
              </w:rPr>
              <w:t>s</w:t>
            </w:r>
          </w:p>
          <w:p w:rsidR="00437DD8" w:rsidRDefault="00437DD8" w:rsidP="00EE77ED">
            <w:pPr>
              <w:jc w:val="both"/>
              <w:rPr>
                <w:i/>
              </w:rPr>
            </w:pPr>
            <w:r>
              <w:rPr>
                <w:i/>
                <w:noProof/>
                <w:lang w:eastAsia="en-NZ"/>
              </w:rPr>
              <w:drawing>
                <wp:inline distT="0" distB="0" distL="0" distR="0">
                  <wp:extent cx="2533650" cy="1771650"/>
                  <wp:effectExtent l="19050" t="0" r="0" b="0"/>
                  <wp:docPr id="9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tc>
        <w:tc>
          <w:tcPr>
            <w:tcW w:w="4459" w:type="dxa"/>
            <w:gridSpan w:val="2"/>
          </w:tcPr>
          <w:p w:rsidR="00437DD8" w:rsidRPr="002077A6" w:rsidRDefault="00437DD8" w:rsidP="00EE77ED">
            <w:pPr>
              <w:jc w:val="both"/>
              <w:rPr>
                <w:bCs/>
                <w:sz w:val="15"/>
                <w:szCs w:val="20"/>
              </w:rPr>
            </w:pPr>
            <w:r w:rsidRPr="002077A6">
              <w:rPr>
                <w:bCs/>
                <w:sz w:val="15"/>
                <w:szCs w:val="20"/>
              </w:rPr>
              <w:t>Level 8 honours/postgrad</w:t>
            </w:r>
            <w:r>
              <w:rPr>
                <w:bCs/>
                <w:sz w:val="15"/>
                <w:szCs w:val="20"/>
              </w:rPr>
              <w:t>uate</w:t>
            </w:r>
            <w:r w:rsidRPr="002077A6">
              <w:rPr>
                <w:bCs/>
                <w:sz w:val="15"/>
                <w:szCs w:val="20"/>
              </w:rPr>
              <w:t xml:space="preserve"> cert</w:t>
            </w:r>
            <w:r>
              <w:rPr>
                <w:bCs/>
                <w:sz w:val="15"/>
                <w:szCs w:val="20"/>
              </w:rPr>
              <w:t>ificate</w:t>
            </w:r>
            <w:r w:rsidRPr="002077A6">
              <w:rPr>
                <w:bCs/>
                <w:sz w:val="15"/>
                <w:szCs w:val="20"/>
              </w:rPr>
              <w:t>s/dip</w:t>
            </w:r>
            <w:r>
              <w:rPr>
                <w:bCs/>
                <w:sz w:val="15"/>
                <w:szCs w:val="20"/>
              </w:rPr>
              <w:t>loma</w:t>
            </w:r>
            <w:r w:rsidRPr="002077A6">
              <w:rPr>
                <w:bCs/>
                <w:sz w:val="15"/>
                <w:szCs w:val="20"/>
              </w:rPr>
              <w:t>s</w:t>
            </w:r>
          </w:p>
          <w:p w:rsidR="00437DD8" w:rsidRDefault="00437DD8" w:rsidP="00EE77ED">
            <w:pPr>
              <w:jc w:val="both"/>
              <w:rPr>
                <w:i/>
              </w:rPr>
            </w:pPr>
            <w:r>
              <w:rPr>
                <w:i/>
                <w:noProof/>
                <w:lang w:eastAsia="en-NZ"/>
              </w:rPr>
              <w:drawing>
                <wp:inline distT="0" distB="0" distL="0" distR="0">
                  <wp:extent cx="2533650" cy="1771650"/>
                  <wp:effectExtent l="19050" t="0" r="0" b="0"/>
                  <wp:docPr id="10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tc>
      </w:tr>
      <w:tr w:rsidR="00437DD8" w:rsidTr="00EE77ED">
        <w:trPr>
          <w:gridAfter w:val="1"/>
          <w:wAfter w:w="198" w:type="dxa"/>
          <w:jc w:val="center"/>
        </w:trPr>
        <w:tc>
          <w:tcPr>
            <w:tcW w:w="4261" w:type="dxa"/>
          </w:tcPr>
          <w:p w:rsidR="00437DD8" w:rsidRDefault="00437DD8" w:rsidP="00EE77ED">
            <w:pPr>
              <w:jc w:val="both"/>
              <w:rPr>
                <w:bCs/>
                <w:sz w:val="15"/>
                <w:szCs w:val="20"/>
              </w:rPr>
            </w:pPr>
            <w:r w:rsidRPr="002077A6">
              <w:rPr>
                <w:bCs/>
                <w:sz w:val="15"/>
                <w:szCs w:val="20"/>
              </w:rPr>
              <w:t>Masters</w:t>
            </w:r>
          </w:p>
          <w:p w:rsidR="00437DD8" w:rsidRPr="00FA69DC" w:rsidRDefault="00437DD8" w:rsidP="00EE77ED">
            <w:pPr>
              <w:jc w:val="both"/>
              <w:rPr>
                <w:bCs/>
                <w:sz w:val="15"/>
                <w:szCs w:val="20"/>
              </w:rPr>
            </w:pPr>
            <w:r>
              <w:rPr>
                <w:bCs/>
                <w:noProof/>
                <w:sz w:val="15"/>
                <w:szCs w:val="20"/>
                <w:lang w:eastAsia="en-NZ"/>
              </w:rPr>
              <w:drawing>
                <wp:inline distT="0" distB="0" distL="0" distR="0">
                  <wp:extent cx="2533650" cy="2057400"/>
                  <wp:effectExtent l="19050" t="0" r="0" b="0"/>
                  <wp:docPr id="10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srcRect/>
                          <a:stretch>
                            <a:fillRect/>
                          </a:stretch>
                        </pic:blipFill>
                        <pic:spPr bwMode="auto">
                          <a:xfrm>
                            <a:off x="0" y="0"/>
                            <a:ext cx="2533650" cy="2057400"/>
                          </a:xfrm>
                          <a:prstGeom prst="rect">
                            <a:avLst/>
                          </a:prstGeom>
                          <a:noFill/>
                          <a:ln w="9525">
                            <a:noFill/>
                            <a:miter lim="800000"/>
                            <a:headEnd/>
                            <a:tailEnd/>
                          </a:ln>
                        </pic:spPr>
                      </pic:pic>
                    </a:graphicData>
                  </a:graphic>
                </wp:inline>
              </w:drawing>
            </w:r>
            <w:r>
              <w:rPr>
                <w:bCs/>
                <w:sz w:val="15"/>
                <w:szCs w:val="20"/>
              </w:rPr>
              <w:t xml:space="preserve"> </w:t>
            </w:r>
          </w:p>
        </w:tc>
        <w:tc>
          <w:tcPr>
            <w:tcW w:w="4261" w:type="dxa"/>
          </w:tcPr>
          <w:p w:rsidR="00437DD8" w:rsidRDefault="00437DD8" w:rsidP="00EE77ED">
            <w:pPr>
              <w:jc w:val="both"/>
              <w:rPr>
                <w:bCs/>
                <w:sz w:val="15"/>
                <w:szCs w:val="20"/>
              </w:rPr>
            </w:pPr>
            <w:r w:rsidRPr="002077A6">
              <w:rPr>
                <w:bCs/>
                <w:sz w:val="15"/>
                <w:szCs w:val="20"/>
              </w:rPr>
              <w:t>Doctorates</w:t>
            </w:r>
          </w:p>
          <w:p w:rsidR="00437DD8" w:rsidRDefault="00437DD8" w:rsidP="00EE77ED">
            <w:pPr>
              <w:jc w:val="both"/>
              <w:rPr>
                <w:i/>
              </w:rPr>
            </w:pPr>
            <w:r>
              <w:rPr>
                <w:i/>
                <w:noProof/>
                <w:lang w:eastAsia="en-NZ"/>
              </w:rPr>
              <w:drawing>
                <wp:inline distT="0" distB="0" distL="0" distR="0">
                  <wp:extent cx="2533650" cy="2057400"/>
                  <wp:effectExtent l="19050" t="0" r="0" b="0"/>
                  <wp:docPr id="10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srcRect/>
                          <a:stretch>
                            <a:fillRect/>
                          </a:stretch>
                        </pic:blipFill>
                        <pic:spPr bwMode="auto">
                          <a:xfrm>
                            <a:off x="0" y="0"/>
                            <a:ext cx="2533650" cy="2057400"/>
                          </a:xfrm>
                          <a:prstGeom prst="rect">
                            <a:avLst/>
                          </a:prstGeom>
                          <a:noFill/>
                          <a:ln w="9525">
                            <a:noFill/>
                            <a:miter lim="800000"/>
                            <a:headEnd/>
                            <a:tailEnd/>
                          </a:ln>
                        </pic:spPr>
                      </pic:pic>
                    </a:graphicData>
                  </a:graphic>
                </wp:inline>
              </w:drawing>
            </w:r>
            <w:r>
              <w:rPr>
                <w:i/>
                <w:noProof/>
                <w:lang w:eastAsia="en-NZ"/>
              </w:rPr>
              <w:t xml:space="preserve"> </w:t>
            </w:r>
          </w:p>
        </w:tc>
      </w:tr>
      <w:tr w:rsidR="00437DD8" w:rsidTr="00EE77ED">
        <w:trPr>
          <w:gridAfter w:val="1"/>
          <w:wAfter w:w="198" w:type="dxa"/>
          <w:jc w:val="center"/>
        </w:trPr>
        <w:tc>
          <w:tcPr>
            <w:tcW w:w="8522" w:type="dxa"/>
            <w:gridSpan w:val="2"/>
          </w:tcPr>
          <w:p w:rsidR="00437DD8" w:rsidRDefault="00437DD8" w:rsidP="00EE77ED">
            <w:pPr>
              <w:jc w:val="both"/>
              <w:rPr>
                <w:bCs/>
                <w:noProof/>
                <w:sz w:val="15"/>
                <w:szCs w:val="20"/>
                <w:lang w:eastAsia="en-NZ"/>
              </w:rPr>
            </w:pPr>
            <w:r w:rsidRPr="00A629FE">
              <w:rPr>
                <w:bCs/>
                <w:noProof/>
                <w:sz w:val="15"/>
                <w:szCs w:val="20"/>
                <w:lang w:eastAsia="en-NZ"/>
              </w:rPr>
              <w:drawing>
                <wp:anchor distT="0" distB="0" distL="114300" distR="114300" simplePos="0" relativeHeight="251683840" behindDoc="0" locked="0" layoutInCell="1" allowOverlap="1">
                  <wp:simplePos x="0" y="0"/>
                  <wp:positionH relativeFrom="column">
                    <wp:posOffset>412750</wp:posOffset>
                  </wp:positionH>
                  <wp:positionV relativeFrom="paragraph">
                    <wp:posOffset>-6350</wp:posOffset>
                  </wp:positionV>
                  <wp:extent cx="4498340" cy="272415"/>
                  <wp:effectExtent l="19050" t="0" r="0" b="0"/>
                  <wp:wrapSquare wrapText="bothSides"/>
                  <wp:docPr id="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4498340" cy="272415"/>
                          </a:xfrm>
                          <a:prstGeom prst="rect">
                            <a:avLst/>
                          </a:prstGeom>
                          <a:noFill/>
                          <a:ln w="9525">
                            <a:noFill/>
                            <a:miter lim="800000"/>
                            <a:headEnd/>
                            <a:tailEnd/>
                          </a:ln>
                        </pic:spPr>
                      </pic:pic>
                    </a:graphicData>
                  </a:graphic>
                </wp:anchor>
              </w:drawing>
            </w:r>
          </w:p>
        </w:tc>
      </w:tr>
    </w:tbl>
    <w:p w:rsidR="009B1883" w:rsidRDefault="002C058A" w:rsidP="002C058A">
      <w:pPr>
        <w:pStyle w:val="Caption"/>
      </w:pPr>
      <w:r>
        <w:br w:type="page"/>
      </w:r>
    </w:p>
    <w:p w:rsidR="009B1883" w:rsidRPr="00CF0181" w:rsidRDefault="009B1883" w:rsidP="009B1883">
      <w:pPr>
        <w:pStyle w:val="Caption"/>
      </w:pPr>
      <w:r w:rsidRPr="00CF0181">
        <w:lastRenderedPageBreak/>
        <w:t xml:space="preserve">Figure </w:t>
      </w:r>
      <w:r w:rsidR="00AD758E">
        <w:t>5c</w:t>
      </w:r>
    </w:p>
    <w:p w:rsidR="009B1883" w:rsidRPr="007F01F4" w:rsidRDefault="009B1883" w:rsidP="009B1883">
      <w:pPr>
        <w:pStyle w:val="Figurelabel"/>
      </w:pPr>
      <w:bookmarkStart w:id="23" w:name="_Toc387305358"/>
      <w:r>
        <w:t xml:space="preserve">Percentage of young domestic graduates who were classified </w:t>
      </w:r>
      <w:r w:rsidR="00AD758E">
        <w:t>as receiving a benefit</w:t>
      </w:r>
      <w:r>
        <w:t xml:space="preserve"> in each tax year, for each year after study, by qualification level.</w:t>
      </w:r>
      <w:bookmarkEnd w:id="2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gridCol w:w="198"/>
      </w:tblGrid>
      <w:tr w:rsidR="009B1883" w:rsidTr="00AD758E">
        <w:trPr>
          <w:jc w:val="center"/>
        </w:trPr>
        <w:tc>
          <w:tcPr>
            <w:tcW w:w="4261" w:type="dxa"/>
          </w:tcPr>
          <w:p w:rsidR="009B1883" w:rsidRDefault="009B1883" w:rsidP="00AD758E">
            <w:pPr>
              <w:jc w:val="both"/>
              <w:rPr>
                <w:bCs/>
                <w:sz w:val="15"/>
                <w:szCs w:val="20"/>
              </w:rPr>
            </w:pPr>
            <w:r>
              <w:rPr>
                <w:bCs/>
                <w:sz w:val="15"/>
                <w:szCs w:val="20"/>
              </w:rPr>
              <w:t>Level 1 – 3 certificates</w:t>
            </w:r>
          </w:p>
          <w:p w:rsidR="009B1883" w:rsidRDefault="00AD758E" w:rsidP="00AD758E">
            <w:pPr>
              <w:jc w:val="both"/>
              <w:rPr>
                <w:i/>
              </w:rPr>
            </w:pPr>
            <w:r>
              <w:rPr>
                <w:i/>
                <w:noProof/>
                <w:lang w:eastAsia="en-NZ"/>
              </w:rPr>
              <w:drawing>
                <wp:inline distT="0" distB="0" distL="0" distR="0">
                  <wp:extent cx="2524125" cy="1781175"/>
                  <wp:effectExtent l="19050" t="0" r="9525" b="0"/>
                  <wp:docPr id="1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srcRect/>
                          <a:stretch>
                            <a:fillRect/>
                          </a:stretch>
                        </pic:blipFill>
                        <pic:spPr bwMode="auto">
                          <a:xfrm>
                            <a:off x="0" y="0"/>
                            <a:ext cx="2524125" cy="1781175"/>
                          </a:xfrm>
                          <a:prstGeom prst="rect">
                            <a:avLst/>
                          </a:prstGeom>
                          <a:noFill/>
                          <a:ln w="9525">
                            <a:noFill/>
                            <a:miter lim="800000"/>
                            <a:headEnd/>
                            <a:tailEnd/>
                          </a:ln>
                        </pic:spPr>
                      </pic:pic>
                    </a:graphicData>
                  </a:graphic>
                </wp:inline>
              </w:drawing>
            </w:r>
          </w:p>
        </w:tc>
        <w:tc>
          <w:tcPr>
            <w:tcW w:w="4459" w:type="dxa"/>
            <w:gridSpan w:val="2"/>
          </w:tcPr>
          <w:p w:rsidR="009B1883" w:rsidRDefault="009B1883" w:rsidP="00AD758E">
            <w:pPr>
              <w:jc w:val="both"/>
              <w:rPr>
                <w:bCs/>
                <w:sz w:val="15"/>
                <w:szCs w:val="20"/>
              </w:rPr>
            </w:pPr>
            <w:r>
              <w:rPr>
                <w:bCs/>
                <w:sz w:val="15"/>
                <w:szCs w:val="20"/>
              </w:rPr>
              <w:t>Level 4 certificates</w:t>
            </w:r>
          </w:p>
          <w:p w:rsidR="009B1883" w:rsidRDefault="00AD758E" w:rsidP="00AD758E">
            <w:pPr>
              <w:jc w:val="both"/>
              <w:rPr>
                <w:i/>
              </w:rPr>
            </w:pPr>
            <w:r>
              <w:rPr>
                <w:i/>
                <w:noProof/>
                <w:lang w:eastAsia="en-NZ"/>
              </w:rPr>
              <w:drawing>
                <wp:inline distT="0" distB="0" distL="0" distR="0">
                  <wp:extent cx="2533650" cy="1771650"/>
                  <wp:effectExtent l="19050" t="0" r="0" b="0"/>
                  <wp:docPr id="1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tc>
      </w:tr>
      <w:tr w:rsidR="009B1883" w:rsidTr="00AD758E">
        <w:trPr>
          <w:jc w:val="center"/>
        </w:trPr>
        <w:tc>
          <w:tcPr>
            <w:tcW w:w="4261" w:type="dxa"/>
          </w:tcPr>
          <w:p w:rsidR="009B1883" w:rsidRPr="002077A6" w:rsidRDefault="009B1883" w:rsidP="00AD758E">
            <w:pPr>
              <w:jc w:val="both"/>
              <w:rPr>
                <w:bCs/>
                <w:sz w:val="15"/>
                <w:szCs w:val="20"/>
              </w:rPr>
            </w:pPr>
            <w:r>
              <w:rPr>
                <w:bCs/>
                <w:sz w:val="15"/>
                <w:szCs w:val="20"/>
              </w:rPr>
              <w:t>Diplomas</w:t>
            </w:r>
          </w:p>
          <w:p w:rsidR="009B1883" w:rsidRPr="002077A6" w:rsidRDefault="00AD758E" w:rsidP="00AD758E">
            <w:pPr>
              <w:jc w:val="both"/>
              <w:rPr>
                <w:bCs/>
                <w:sz w:val="15"/>
                <w:szCs w:val="20"/>
              </w:rPr>
            </w:pPr>
            <w:r>
              <w:rPr>
                <w:bCs/>
                <w:noProof/>
                <w:sz w:val="15"/>
                <w:szCs w:val="20"/>
                <w:lang w:eastAsia="en-NZ"/>
              </w:rPr>
              <w:drawing>
                <wp:inline distT="0" distB="0" distL="0" distR="0">
                  <wp:extent cx="2533650" cy="1771650"/>
                  <wp:effectExtent l="19050" t="0" r="0" b="0"/>
                  <wp:docPr id="1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tc>
        <w:tc>
          <w:tcPr>
            <w:tcW w:w="4459" w:type="dxa"/>
            <w:gridSpan w:val="2"/>
          </w:tcPr>
          <w:p w:rsidR="009B1883" w:rsidRDefault="009B1883" w:rsidP="00AD758E">
            <w:pPr>
              <w:jc w:val="both"/>
              <w:rPr>
                <w:bCs/>
                <w:sz w:val="15"/>
                <w:szCs w:val="20"/>
              </w:rPr>
            </w:pPr>
            <w:r w:rsidRPr="002077A6">
              <w:rPr>
                <w:bCs/>
                <w:sz w:val="15"/>
                <w:szCs w:val="20"/>
              </w:rPr>
              <w:t>Bachelors</w:t>
            </w:r>
          </w:p>
          <w:p w:rsidR="009B1883" w:rsidRPr="002077A6" w:rsidRDefault="00AD758E" w:rsidP="00AD758E">
            <w:pPr>
              <w:jc w:val="both"/>
              <w:rPr>
                <w:bCs/>
                <w:sz w:val="15"/>
                <w:szCs w:val="20"/>
              </w:rPr>
            </w:pPr>
            <w:r>
              <w:rPr>
                <w:bCs/>
                <w:noProof/>
                <w:sz w:val="15"/>
                <w:szCs w:val="20"/>
                <w:lang w:eastAsia="en-NZ"/>
              </w:rPr>
              <w:drawing>
                <wp:inline distT="0" distB="0" distL="0" distR="0">
                  <wp:extent cx="2533650" cy="1771650"/>
                  <wp:effectExtent l="19050" t="0" r="0" b="0"/>
                  <wp:docPr id="14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p w:rsidR="009B1883" w:rsidRPr="002077A6" w:rsidRDefault="009B1883" w:rsidP="00AD758E">
            <w:pPr>
              <w:jc w:val="both"/>
              <w:rPr>
                <w:bCs/>
                <w:sz w:val="15"/>
                <w:szCs w:val="20"/>
              </w:rPr>
            </w:pPr>
          </w:p>
        </w:tc>
      </w:tr>
      <w:tr w:rsidR="009B1883" w:rsidTr="00AD758E">
        <w:trPr>
          <w:jc w:val="center"/>
        </w:trPr>
        <w:tc>
          <w:tcPr>
            <w:tcW w:w="4261" w:type="dxa"/>
          </w:tcPr>
          <w:p w:rsidR="009B1883" w:rsidRPr="002077A6" w:rsidRDefault="009B1883" w:rsidP="00AD758E">
            <w:pPr>
              <w:jc w:val="both"/>
              <w:rPr>
                <w:bCs/>
                <w:sz w:val="15"/>
                <w:szCs w:val="20"/>
              </w:rPr>
            </w:pPr>
            <w:r w:rsidRPr="002077A6">
              <w:rPr>
                <w:bCs/>
                <w:sz w:val="15"/>
                <w:szCs w:val="20"/>
              </w:rPr>
              <w:t>Level 7 graduate cert</w:t>
            </w:r>
            <w:r>
              <w:rPr>
                <w:bCs/>
                <w:sz w:val="15"/>
                <w:szCs w:val="20"/>
              </w:rPr>
              <w:t>ificates</w:t>
            </w:r>
            <w:r w:rsidRPr="002077A6">
              <w:rPr>
                <w:bCs/>
                <w:sz w:val="15"/>
                <w:szCs w:val="20"/>
              </w:rPr>
              <w:t>/dip</w:t>
            </w:r>
            <w:r>
              <w:rPr>
                <w:bCs/>
                <w:sz w:val="15"/>
                <w:szCs w:val="20"/>
              </w:rPr>
              <w:t>loma</w:t>
            </w:r>
            <w:r w:rsidRPr="002077A6">
              <w:rPr>
                <w:bCs/>
                <w:sz w:val="15"/>
                <w:szCs w:val="20"/>
              </w:rPr>
              <w:t>s</w:t>
            </w:r>
          </w:p>
          <w:p w:rsidR="009B1883" w:rsidRDefault="00AD758E" w:rsidP="00AD758E">
            <w:pPr>
              <w:jc w:val="both"/>
              <w:rPr>
                <w:i/>
              </w:rPr>
            </w:pPr>
            <w:r>
              <w:rPr>
                <w:i/>
                <w:noProof/>
                <w:lang w:eastAsia="en-NZ"/>
              </w:rPr>
              <w:drawing>
                <wp:inline distT="0" distB="0" distL="0" distR="0">
                  <wp:extent cx="2533650" cy="1771650"/>
                  <wp:effectExtent l="19050" t="0" r="0" b="0"/>
                  <wp:docPr id="1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tc>
        <w:tc>
          <w:tcPr>
            <w:tcW w:w="4459" w:type="dxa"/>
            <w:gridSpan w:val="2"/>
          </w:tcPr>
          <w:p w:rsidR="009B1883" w:rsidRPr="002077A6" w:rsidRDefault="009B1883" w:rsidP="00AD758E">
            <w:pPr>
              <w:jc w:val="both"/>
              <w:rPr>
                <w:bCs/>
                <w:sz w:val="15"/>
                <w:szCs w:val="20"/>
              </w:rPr>
            </w:pPr>
            <w:r w:rsidRPr="002077A6">
              <w:rPr>
                <w:bCs/>
                <w:sz w:val="15"/>
                <w:szCs w:val="20"/>
              </w:rPr>
              <w:t>Level 8 honours/postgrad</w:t>
            </w:r>
            <w:r>
              <w:rPr>
                <w:bCs/>
                <w:sz w:val="15"/>
                <w:szCs w:val="20"/>
              </w:rPr>
              <w:t>uate</w:t>
            </w:r>
            <w:r w:rsidRPr="002077A6">
              <w:rPr>
                <w:bCs/>
                <w:sz w:val="15"/>
                <w:szCs w:val="20"/>
              </w:rPr>
              <w:t xml:space="preserve"> cert</w:t>
            </w:r>
            <w:r>
              <w:rPr>
                <w:bCs/>
                <w:sz w:val="15"/>
                <w:szCs w:val="20"/>
              </w:rPr>
              <w:t>ificate</w:t>
            </w:r>
            <w:r w:rsidRPr="002077A6">
              <w:rPr>
                <w:bCs/>
                <w:sz w:val="15"/>
                <w:szCs w:val="20"/>
              </w:rPr>
              <w:t>s/dip</w:t>
            </w:r>
            <w:r>
              <w:rPr>
                <w:bCs/>
                <w:sz w:val="15"/>
                <w:szCs w:val="20"/>
              </w:rPr>
              <w:t>loma</w:t>
            </w:r>
            <w:r w:rsidRPr="002077A6">
              <w:rPr>
                <w:bCs/>
                <w:sz w:val="15"/>
                <w:szCs w:val="20"/>
              </w:rPr>
              <w:t>s</w:t>
            </w:r>
          </w:p>
          <w:p w:rsidR="009B1883" w:rsidRDefault="00AD758E" w:rsidP="00AD758E">
            <w:pPr>
              <w:jc w:val="both"/>
              <w:rPr>
                <w:i/>
              </w:rPr>
            </w:pPr>
            <w:r>
              <w:rPr>
                <w:i/>
                <w:noProof/>
                <w:lang w:eastAsia="en-NZ"/>
              </w:rPr>
              <w:drawing>
                <wp:inline distT="0" distB="0" distL="0" distR="0">
                  <wp:extent cx="2533650" cy="1771650"/>
                  <wp:effectExtent l="19050" t="0" r="0" b="0"/>
                  <wp:docPr id="1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tc>
      </w:tr>
      <w:tr w:rsidR="009B1883" w:rsidTr="00AD758E">
        <w:trPr>
          <w:gridAfter w:val="1"/>
          <w:wAfter w:w="198" w:type="dxa"/>
          <w:jc w:val="center"/>
        </w:trPr>
        <w:tc>
          <w:tcPr>
            <w:tcW w:w="4261" w:type="dxa"/>
          </w:tcPr>
          <w:p w:rsidR="009B1883" w:rsidRDefault="009B1883" w:rsidP="00AD758E">
            <w:pPr>
              <w:jc w:val="both"/>
              <w:rPr>
                <w:bCs/>
                <w:sz w:val="15"/>
                <w:szCs w:val="20"/>
              </w:rPr>
            </w:pPr>
            <w:r w:rsidRPr="002077A6">
              <w:rPr>
                <w:bCs/>
                <w:sz w:val="15"/>
                <w:szCs w:val="20"/>
              </w:rPr>
              <w:t>Masters</w:t>
            </w:r>
          </w:p>
          <w:p w:rsidR="009B1883" w:rsidRPr="00FA69DC" w:rsidRDefault="00AD758E" w:rsidP="00AD758E">
            <w:pPr>
              <w:jc w:val="both"/>
              <w:rPr>
                <w:bCs/>
                <w:sz w:val="15"/>
                <w:szCs w:val="20"/>
              </w:rPr>
            </w:pPr>
            <w:r>
              <w:rPr>
                <w:bCs/>
                <w:noProof/>
                <w:sz w:val="15"/>
                <w:szCs w:val="20"/>
                <w:lang w:eastAsia="en-NZ"/>
              </w:rPr>
              <w:drawing>
                <wp:inline distT="0" distB="0" distL="0" distR="0">
                  <wp:extent cx="2533650" cy="2057400"/>
                  <wp:effectExtent l="19050" t="0" r="0" b="0"/>
                  <wp:docPr id="1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srcRect/>
                          <a:stretch>
                            <a:fillRect/>
                          </a:stretch>
                        </pic:blipFill>
                        <pic:spPr bwMode="auto">
                          <a:xfrm>
                            <a:off x="0" y="0"/>
                            <a:ext cx="2533650" cy="2057400"/>
                          </a:xfrm>
                          <a:prstGeom prst="rect">
                            <a:avLst/>
                          </a:prstGeom>
                          <a:noFill/>
                          <a:ln w="9525">
                            <a:noFill/>
                            <a:miter lim="800000"/>
                            <a:headEnd/>
                            <a:tailEnd/>
                          </a:ln>
                        </pic:spPr>
                      </pic:pic>
                    </a:graphicData>
                  </a:graphic>
                </wp:inline>
              </w:drawing>
            </w:r>
            <w:r w:rsidR="009B1883">
              <w:rPr>
                <w:bCs/>
                <w:sz w:val="15"/>
                <w:szCs w:val="20"/>
              </w:rPr>
              <w:t xml:space="preserve"> </w:t>
            </w:r>
          </w:p>
        </w:tc>
        <w:tc>
          <w:tcPr>
            <w:tcW w:w="4261" w:type="dxa"/>
          </w:tcPr>
          <w:p w:rsidR="009B1883" w:rsidRDefault="009B1883" w:rsidP="00AD758E">
            <w:pPr>
              <w:jc w:val="both"/>
              <w:rPr>
                <w:bCs/>
                <w:sz w:val="15"/>
                <w:szCs w:val="20"/>
              </w:rPr>
            </w:pPr>
            <w:r w:rsidRPr="002077A6">
              <w:rPr>
                <w:bCs/>
                <w:sz w:val="15"/>
                <w:szCs w:val="20"/>
              </w:rPr>
              <w:t>Doctorates</w:t>
            </w:r>
          </w:p>
          <w:p w:rsidR="009B1883" w:rsidRDefault="00AD758E" w:rsidP="00AD758E">
            <w:pPr>
              <w:jc w:val="both"/>
              <w:rPr>
                <w:i/>
              </w:rPr>
            </w:pPr>
            <w:r>
              <w:rPr>
                <w:i/>
                <w:noProof/>
                <w:lang w:eastAsia="en-NZ"/>
              </w:rPr>
              <w:drawing>
                <wp:inline distT="0" distB="0" distL="0" distR="0">
                  <wp:extent cx="2533650" cy="2057400"/>
                  <wp:effectExtent l="19050" t="0" r="0" b="0"/>
                  <wp:docPr id="1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cstate="print"/>
                          <a:srcRect/>
                          <a:stretch>
                            <a:fillRect/>
                          </a:stretch>
                        </pic:blipFill>
                        <pic:spPr bwMode="auto">
                          <a:xfrm>
                            <a:off x="0" y="0"/>
                            <a:ext cx="2533650" cy="2057400"/>
                          </a:xfrm>
                          <a:prstGeom prst="rect">
                            <a:avLst/>
                          </a:prstGeom>
                          <a:noFill/>
                          <a:ln w="9525">
                            <a:noFill/>
                            <a:miter lim="800000"/>
                            <a:headEnd/>
                            <a:tailEnd/>
                          </a:ln>
                        </pic:spPr>
                      </pic:pic>
                    </a:graphicData>
                  </a:graphic>
                </wp:inline>
              </w:drawing>
            </w:r>
            <w:r w:rsidR="009B1883">
              <w:rPr>
                <w:i/>
                <w:noProof/>
                <w:lang w:eastAsia="en-NZ"/>
              </w:rPr>
              <w:t xml:space="preserve"> </w:t>
            </w:r>
          </w:p>
        </w:tc>
      </w:tr>
      <w:tr w:rsidR="009B1883" w:rsidTr="00AD758E">
        <w:trPr>
          <w:gridAfter w:val="1"/>
          <w:wAfter w:w="198" w:type="dxa"/>
          <w:jc w:val="center"/>
        </w:trPr>
        <w:tc>
          <w:tcPr>
            <w:tcW w:w="8522" w:type="dxa"/>
            <w:gridSpan w:val="2"/>
          </w:tcPr>
          <w:p w:rsidR="009B1883" w:rsidRDefault="009B1883" w:rsidP="00AD758E">
            <w:pPr>
              <w:jc w:val="both"/>
              <w:rPr>
                <w:bCs/>
                <w:noProof/>
                <w:sz w:val="15"/>
                <w:szCs w:val="20"/>
                <w:lang w:eastAsia="en-NZ"/>
              </w:rPr>
            </w:pPr>
            <w:r w:rsidRPr="00A629FE">
              <w:rPr>
                <w:bCs/>
                <w:noProof/>
                <w:sz w:val="15"/>
                <w:szCs w:val="20"/>
                <w:lang w:eastAsia="en-NZ"/>
              </w:rPr>
              <w:drawing>
                <wp:anchor distT="0" distB="0" distL="114300" distR="114300" simplePos="0" relativeHeight="251692032" behindDoc="0" locked="0" layoutInCell="1" allowOverlap="1">
                  <wp:simplePos x="0" y="0"/>
                  <wp:positionH relativeFrom="column">
                    <wp:posOffset>412750</wp:posOffset>
                  </wp:positionH>
                  <wp:positionV relativeFrom="paragraph">
                    <wp:posOffset>-6350</wp:posOffset>
                  </wp:positionV>
                  <wp:extent cx="4498340" cy="272415"/>
                  <wp:effectExtent l="19050" t="0" r="0" b="0"/>
                  <wp:wrapSquare wrapText="bothSides"/>
                  <wp:docPr id="1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4498340" cy="272415"/>
                          </a:xfrm>
                          <a:prstGeom prst="rect">
                            <a:avLst/>
                          </a:prstGeom>
                          <a:noFill/>
                          <a:ln w="9525">
                            <a:noFill/>
                            <a:miter lim="800000"/>
                            <a:headEnd/>
                            <a:tailEnd/>
                          </a:ln>
                        </pic:spPr>
                      </pic:pic>
                    </a:graphicData>
                  </a:graphic>
                </wp:anchor>
              </w:drawing>
            </w:r>
          </w:p>
        </w:tc>
      </w:tr>
    </w:tbl>
    <w:p w:rsidR="000B1BC0" w:rsidRDefault="000B1BC0">
      <w:pPr>
        <w:rPr>
          <w:szCs w:val="20"/>
          <w:lang w:eastAsia="en-NZ"/>
        </w:rPr>
      </w:pPr>
    </w:p>
    <w:p w:rsidR="000B1BC0" w:rsidRPr="00CF0181" w:rsidRDefault="000B1BC0" w:rsidP="000B1BC0">
      <w:pPr>
        <w:pStyle w:val="Caption"/>
      </w:pPr>
      <w:r w:rsidRPr="00CF0181">
        <w:lastRenderedPageBreak/>
        <w:t xml:space="preserve">Figure </w:t>
      </w:r>
      <w:r>
        <w:t>5d</w:t>
      </w:r>
    </w:p>
    <w:p w:rsidR="000B1BC0" w:rsidRPr="007F01F4" w:rsidRDefault="000B1BC0" w:rsidP="000B1BC0">
      <w:pPr>
        <w:pStyle w:val="Figurelabel"/>
      </w:pPr>
      <w:bookmarkStart w:id="24" w:name="_Toc387305359"/>
      <w:r>
        <w:t>Percentage of young domestic graduates who were classified in each destination in the first year post study, by qualification level.</w:t>
      </w:r>
      <w:bookmarkEnd w:id="2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gridCol w:w="198"/>
      </w:tblGrid>
      <w:tr w:rsidR="000B1BC0" w:rsidTr="000B1BC0">
        <w:trPr>
          <w:jc w:val="center"/>
        </w:trPr>
        <w:tc>
          <w:tcPr>
            <w:tcW w:w="4261" w:type="dxa"/>
          </w:tcPr>
          <w:p w:rsidR="000B1BC0" w:rsidRDefault="000B1BC0" w:rsidP="000B1BC0">
            <w:pPr>
              <w:jc w:val="both"/>
              <w:rPr>
                <w:bCs/>
                <w:sz w:val="15"/>
                <w:szCs w:val="20"/>
              </w:rPr>
            </w:pPr>
            <w:r>
              <w:rPr>
                <w:bCs/>
                <w:sz w:val="15"/>
                <w:szCs w:val="20"/>
              </w:rPr>
              <w:t>Level 1 – 3 certificates</w:t>
            </w:r>
          </w:p>
          <w:p w:rsidR="000B1BC0" w:rsidRDefault="00DD1501" w:rsidP="000B1BC0">
            <w:pPr>
              <w:jc w:val="both"/>
              <w:rPr>
                <w:i/>
              </w:rPr>
            </w:pPr>
            <w:r>
              <w:rPr>
                <w:i/>
                <w:noProof/>
                <w:lang w:eastAsia="en-NZ"/>
              </w:rPr>
              <w:drawing>
                <wp:inline distT="0" distB="0" distL="0" distR="0">
                  <wp:extent cx="2533650" cy="1809750"/>
                  <wp:effectExtent l="19050" t="0" r="0"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2533650" cy="1809750"/>
                          </a:xfrm>
                          <a:prstGeom prst="rect">
                            <a:avLst/>
                          </a:prstGeom>
                          <a:noFill/>
                          <a:ln w="9525">
                            <a:noFill/>
                            <a:miter lim="800000"/>
                            <a:headEnd/>
                            <a:tailEnd/>
                          </a:ln>
                        </pic:spPr>
                      </pic:pic>
                    </a:graphicData>
                  </a:graphic>
                </wp:inline>
              </w:drawing>
            </w:r>
          </w:p>
        </w:tc>
        <w:tc>
          <w:tcPr>
            <w:tcW w:w="4459" w:type="dxa"/>
            <w:gridSpan w:val="2"/>
          </w:tcPr>
          <w:p w:rsidR="000B1BC0" w:rsidRDefault="000B1BC0" w:rsidP="000B1BC0">
            <w:pPr>
              <w:jc w:val="both"/>
              <w:rPr>
                <w:bCs/>
                <w:sz w:val="15"/>
                <w:szCs w:val="20"/>
              </w:rPr>
            </w:pPr>
            <w:r>
              <w:rPr>
                <w:bCs/>
                <w:sz w:val="15"/>
                <w:szCs w:val="20"/>
              </w:rPr>
              <w:t>Level 4 certificates</w:t>
            </w:r>
          </w:p>
          <w:p w:rsidR="000B1BC0" w:rsidRDefault="00DD1501" w:rsidP="000B1BC0">
            <w:pPr>
              <w:jc w:val="both"/>
              <w:rPr>
                <w:i/>
              </w:rPr>
            </w:pPr>
            <w:r>
              <w:rPr>
                <w:i/>
                <w:noProof/>
                <w:lang w:eastAsia="en-NZ"/>
              </w:rPr>
              <w:drawing>
                <wp:inline distT="0" distB="0" distL="0" distR="0">
                  <wp:extent cx="2533650" cy="1809750"/>
                  <wp:effectExtent l="19050" t="0" r="0" b="0"/>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srcRect/>
                          <a:stretch>
                            <a:fillRect/>
                          </a:stretch>
                        </pic:blipFill>
                        <pic:spPr bwMode="auto">
                          <a:xfrm>
                            <a:off x="0" y="0"/>
                            <a:ext cx="2533650" cy="1809750"/>
                          </a:xfrm>
                          <a:prstGeom prst="rect">
                            <a:avLst/>
                          </a:prstGeom>
                          <a:noFill/>
                          <a:ln w="9525">
                            <a:noFill/>
                            <a:miter lim="800000"/>
                            <a:headEnd/>
                            <a:tailEnd/>
                          </a:ln>
                        </pic:spPr>
                      </pic:pic>
                    </a:graphicData>
                  </a:graphic>
                </wp:inline>
              </w:drawing>
            </w:r>
          </w:p>
        </w:tc>
      </w:tr>
      <w:tr w:rsidR="000B1BC0" w:rsidTr="000B1BC0">
        <w:trPr>
          <w:jc w:val="center"/>
        </w:trPr>
        <w:tc>
          <w:tcPr>
            <w:tcW w:w="4261" w:type="dxa"/>
          </w:tcPr>
          <w:p w:rsidR="000B1BC0" w:rsidRPr="002077A6" w:rsidRDefault="000B1BC0" w:rsidP="000B1BC0">
            <w:pPr>
              <w:jc w:val="both"/>
              <w:rPr>
                <w:bCs/>
                <w:sz w:val="15"/>
                <w:szCs w:val="20"/>
              </w:rPr>
            </w:pPr>
            <w:r>
              <w:rPr>
                <w:bCs/>
                <w:sz w:val="15"/>
                <w:szCs w:val="20"/>
              </w:rPr>
              <w:t>Diplomas</w:t>
            </w:r>
          </w:p>
          <w:p w:rsidR="000B1BC0" w:rsidRPr="002077A6" w:rsidRDefault="00DD1501" w:rsidP="000B1BC0">
            <w:pPr>
              <w:jc w:val="both"/>
              <w:rPr>
                <w:bCs/>
                <w:sz w:val="15"/>
                <w:szCs w:val="20"/>
              </w:rPr>
            </w:pPr>
            <w:r>
              <w:rPr>
                <w:bCs/>
                <w:noProof/>
                <w:sz w:val="15"/>
                <w:szCs w:val="20"/>
                <w:lang w:eastAsia="en-NZ"/>
              </w:rPr>
              <w:drawing>
                <wp:inline distT="0" distB="0" distL="0" distR="0">
                  <wp:extent cx="2533650" cy="1809750"/>
                  <wp:effectExtent l="19050" t="0" r="0" b="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srcRect/>
                          <a:stretch>
                            <a:fillRect/>
                          </a:stretch>
                        </pic:blipFill>
                        <pic:spPr bwMode="auto">
                          <a:xfrm>
                            <a:off x="0" y="0"/>
                            <a:ext cx="2533650" cy="1809750"/>
                          </a:xfrm>
                          <a:prstGeom prst="rect">
                            <a:avLst/>
                          </a:prstGeom>
                          <a:noFill/>
                          <a:ln w="9525">
                            <a:noFill/>
                            <a:miter lim="800000"/>
                            <a:headEnd/>
                            <a:tailEnd/>
                          </a:ln>
                        </pic:spPr>
                      </pic:pic>
                    </a:graphicData>
                  </a:graphic>
                </wp:inline>
              </w:drawing>
            </w:r>
          </w:p>
        </w:tc>
        <w:tc>
          <w:tcPr>
            <w:tcW w:w="4459" w:type="dxa"/>
            <w:gridSpan w:val="2"/>
          </w:tcPr>
          <w:p w:rsidR="000B1BC0" w:rsidRDefault="000B1BC0" w:rsidP="000B1BC0">
            <w:pPr>
              <w:jc w:val="both"/>
              <w:rPr>
                <w:bCs/>
                <w:sz w:val="15"/>
                <w:szCs w:val="20"/>
              </w:rPr>
            </w:pPr>
            <w:r w:rsidRPr="002077A6">
              <w:rPr>
                <w:bCs/>
                <w:sz w:val="15"/>
                <w:szCs w:val="20"/>
              </w:rPr>
              <w:t>Bachelors</w:t>
            </w:r>
          </w:p>
          <w:p w:rsidR="000B1BC0" w:rsidRPr="002077A6" w:rsidRDefault="00DD1501" w:rsidP="000B1BC0">
            <w:pPr>
              <w:jc w:val="both"/>
              <w:rPr>
                <w:bCs/>
                <w:sz w:val="15"/>
                <w:szCs w:val="20"/>
              </w:rPr>
            </w:pPr>
            <w:r>
              <w:rPr>
                <w:bCs/>
                <w:noProof/>
                <w:sz w:val="15"/>
                <w:szCs w:val="20"/>
                <w:lang w:eastAsia="en-NZ"/>
              </w:rPr>
              <w:drawing>
                <wp:inline distT="0" distB="0" distL="0" distR="0">
                  <wp:extent cx="2533650" cy="1809750"/>
                  <wp:effectExtent l="1905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srcRect/>
                          <a:stretch>
                            <a:fillRect/>
                          </a:stretch>
                        </pic:blipFill>
                        <pic:spPr bwMode="auto">
                          <a:xfrm>
                            <a:off x="0" y="0"/>
                            <a:ext cx="2533650" cy="1809750"/>
                          </a:xfrm>
                          <a:prstGeom prst="rect">
                            <a:avLst/>
                          </a:prstGeom>
                          <a:noFill/>
                          <a:ln w="9525">
                            <a:noFill/>
                            <a:miter lim="800000"/>
                            <a:headEnd/>
                            <a:tailEnd/>
                          </a:ln>
                        </pic:spPr>
                      </pic:pic>
                    </a:graphicData>
                  </a:graphic>
                </wp:inline>
              </w:drawing>
            </w:r>
          </w:p>
          <w:p w:rsidR="000B1BC0" w:rsidRPr="002077A6" w:rsidRDefault="000B1BC0" w:rsidP="000B1BC0">
            <w:pPr>
              <w:jc w:val="both"/>
              <w:rPr>
                <w:bCs/>
                <w:sz w:val="15"/>
                <w:szCs w:val="20"/>
              </w:rPr>
            </w:pPr>
          </w:p>
        </w:tc>
      </w:tr>
      <w:tr w:rsidR="000B1BC0" w:rsidTr="000B1BC0">
        <w:trPr>
          <w:jc w:val="center"/>
        </w:trPr>
        <w:tc>
          <w:tcPr>
            <w:tcW w:w="4261" w:type="dxa"/>
          </w:tcPr>
          <w:p w:rsidR="000B1BC0" w:rsidRPr="002077A6" w:rsidRDefault="000B1BC0" w:rsidP="000B1BC0">
            <w:pPr>
              <w:jc w:val="both"/>
              <w:rPr>
                <w:bCs/>
                <w:sz w:val="15"/>
                <w:szCs w:val="20"/>
              </w:rPr>
            </w:pPr>
            <w:r w:rsidRPr="002077A6">
              <w:rPr>
                <w:bCs/>
                <w:sz w:val="15"/>
                <w:szCs w:val="20"/>
              </w:rPr>
              <w:t>Level 7 graduate cert</w:t>
            </w:r>
            <w:r>
              <w:rPr>
                <w:bCs/>
                <w:sz w:val="15"/>
                <w:szCs w:val="20"/>
              </w:rPr>
              <w:t>ificates</w:t>
            </w:r>
            <w:r w:rsidRPr="002077A6">
              <w:rPr>
                <w:bCs/>
                <w:sz w:val="15"/>
                <w:szCs w:val="20"/>
              </w:rPr>
              <w:t>/dip</w:t>
            </w:r>
            <w:r>
              <w:rPr>
                <w:bCs/>
                <w:sz w:val="15"/>
                <w:szCs w:val="20"/>
              </w:rPr>
              <w:t>loma</w:t>
            </w:r>
            <w:r w:rsidRPr="002077A6">
              <w:rPr>
                <w:bCs/>
                <w:sz w:val="15"/>
                <w:szCs w:val="20"/>
              </w:rPr>
              <w:t>s</w:t>
            </w:r>
          </w:p>
          <w:p w:rsidR="000B1BC0" w:rsidRDefault="00222F07" w:rsidP="000B1BC0">
            <w:pPr>
              <w:jc w:val="both"/>
              <w:rPr>
                <w:i/>
              </w:rPr>
            </w:pPr>
            <w:r>
              <w:rPr>
                <w:i/>
                <w:noProof/>
                <w:lang w:eastAsia="en-NZ"/>
              </w:rPr>
              <w:drawing>
                <wp:inline distT="0" distB="0" distL="0" distR="0">
                  <wp:extent cx="2533650" cy="1809750"/>
                  <wp:effectExtent l="19050" t="0" r="0" b="0"/>
                  <wp:docPr id="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srcRect/>
                          <a:stretch>
                            <a:fillRect/>
                          </a:stretch>
                        </pic:blipFill>
                        <pic:spPr bwMode="auto">
                          <a:xfrm>
                            <a:off x="0" y="0"/>
                            <a:ext cx="2533650" cy="1809750"/>
                          </a:xfrm>
                          <a:prstGeom prst="rect">
                            <a:avLst/>
                          </a:prstGeom>
                          <a:noFill/>
                          <a:ln w="9525">
                            <a:noFill/>
                            <a:miter lim="800000"/>
                            <a:headEnd/>
                            <a:tailEnd/>
                          </a:ln>
                        </pic:spPr>
                      </pic:pic>
                    </a:graphicData>
                  </a:graphic>
                </wp:inline>
              </w:drawing>
            </w:r>
          </w:p>
        </w:tc>
        <w:tc>
          <w:tcPr>
            <w:tcW w:w="4459" w:type="dxa"/>
            <w:gridSpan w:val="2"/>
          </w:tcPr>
          <w:p w:rsidR="000B1BC0" w:rsidRPr="002077A6" w:rsidRDefault="000B1BC0" w:rsidP="000B1BC0">
            <w:pPr>
              <w:jc w:val="both"/>
              <w:rPr>
                <w:bCs/>
                <w:sz w:val="15"/>
                <w:szCs w:val="20"/>
              </w:rPr>
            </w:pPr>
            <w:r w:rsidRPr="002077A6">
              <w:rPr>
                <w:bCs/>
                <w:sz w:val="15"/>
                <w:szCs w:val="20"/>
              </w:rPr>
              <w:t>Level 8 honours/postgrad</w:t>
            </w:r>
            <w:r>
              <w:rPr>
                <w:bCs/>
                <w:sz w:val="15"/>
                <w:szCs w:val="20"/>
              </w:rPr>
              <w:t>uate</w:t>
            </w:r>
            <w:r w:rsidRPr="002077A6">
              <w:rPr>
                <w:bCs/>
                <w:sz w:val="15"/>
                <w:szCs w:val="20"/>
              </w:rPr>
              <w:t xml:space="preserve"> cert</w:t>
            </w:r>
            <w:r>
              <w:rPr>
                <w:bCs/>
                <w:sz w:val="15"/>
                <w:szCs w:val="20"/>
              </w:rPr>
              <w:t>ificate</w:t>
            </w:r>
            <w:r w:rsidRPr="002077A6">
              <w:rPr>
                <w:bCs/>
                <w:sz w:val="15"/>
                <w:szCs w:val="20"/>
              </w:rPr>
              <w:t>s/dip</w:t>
            </w:r>
            <w:r>
              <w:rPr>
                <w:bCs/>
                <w:sz w:val="15"/>
                <w:szCs w:val="20"/>
              </w:rPr>
              <w:t>loma</w:t>
            </w:r>
            <w:r w:rsidRPr="002077A6">
              <w:rPr>
                <w:bCs/>
                <w:sz w:val="15"/>
                <w:szCs w:val="20"/>
              </w:rPr>
              <w:t>s</w:t>
            </w:r>
          </w:p>
          <w:p w:rsidR="000B1BC0" w:rsidRDefault="00DD1501" w:rsidP="000B1BC0">
            <w:pPr>
              <w:jc w:val="both"/>
              <w:rPr>
                <w:i/>
              </w:rPr>
            </w:pPr>
            <w:r>
              <w:rPr>
                <w:i/>
                <w:noProof/>
                <w:lang w:eastAsia="en-NZ"/>
              </w:rPr>
              <w:drawing>
                <wp:inline distT="0" distB="0" distL="0" distR="0">
                  <wp:extent cx="2533650" cy="1809750"/>
                  <wp:effectExtent l="19050" t="0" r="0" b="0"/>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srcRect/>
                          <a:stretch>
                            <a:fillRect/>
                          </a:stretch>
                        </pic:blipFill>
                        <pic:spPr bwMode="auto">
                          <a:xfrm>
                            <a:off x="0" y="0"/>
                            <a:ext cx="2533650" cy="1809750"/>
                          </a:xfrm>
                          <a:prstGeom prst="rect">
                            <a:avLst/>
                          </a:prstGeom>
                          <a:noFill/>
                          <a:ln w="9525">
                            <a:noFill/>
                            <a:miter lim="800000"/>
                            <a:headEnd/>
                            <a:tailEnd/>
                          </a:ln>
                        </pic:spPr>
                      </pic:pic>
                    </a:graphicData>
                  </a:graphic>
                </wp:inline>
              </w:drawing>
            </w:r>
          </w:p>
        </w:tc>
      </w:tr>
      <w:tr w:rsidR="000B1BC0" w:rsidTr="000B1BC0">
        <w:trPr>
          <w:gridAfter w:val="1"/>
          <w:wAfter w:w="198" w:type="dxa"/>
          <w:jc w:val="center"/>
        </w:trPr>
        <w:tc>
          <w:tcPr>
            <w:tcW w:w="4261" w:type="dxa"/>
          </w:tcPr>
          <w:p w:rsidR="000B1BC0" w:rsidRDefault="000B1BC0" w:rsidP="000B1BC0">
            <w:pPr>
              <w:jc w:val="both"/>
              <w:rPr>
                <w:bCs/>
                <w:sz w:val="15"/>
                <w:szCs w:val="20"/>
              </w:rPr>
            </w:pPr>
            <w:r w:rsidRPr="002077A6">
              <w:rPr>
                <w:bCs/>
                <w:sz w:val="15"/>
                <w:szCs w:val="20"/>
              </w:rPr>
              <w:t>Masters</w:t>
            </w:r>
          </w:p>
          <w:p w:rsidR="000B1BC0" w:rsidRPr="00FA69DC" w:rsidRDefault="00DD1501" w:rsidP="000B1BC0">
            <w:pPr>
              <w:jc w:val="both"/>
              <w:rPr>
                <w:bCs/>
                <w:sz w:val="15"/>
                <w:szCs w:val="20"/>
              </w:rPr>
            </w:pPr>
            <w:r>
              <w:rPr>
                <w:bCs/>
                <w:noProof/>
                <w:sz w:val="15"/>
                <w:szCs w:val="20"/>
                <w:lang w:eastAsia="en-NZ"/>
              </w:rPr>
              <w:drawing>
                <wp:inline distT="0" distB="0" distL="0" distR="0">
                  <wp:extent cx="2533650" cy="2066925"/>
                  <wp:effectExtent l="19050" t="0" r="0"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srcRect/>
                          <a:stretch>
                            <a:fillRect/>
                          </a:stretch>
                        </pic:blipFill>
                        <pic:spPr bwMode="auto">
                          <a:xfrm>
                            <a:off x="0" y="0"/>
                            <a:ext cx="2533650" cy="2066925"/>
                          </a:xfrm>
                          <a:prstGeom prst="rect">
                            <a:avLst/>
                          </a:prstGeom>
                          <a:noFill/>
                          <a:ln w="9525">
                            <a:noFill/>
                            <a:miter lim="800000"/>
                            <a:headEnd/>
                            <a:tailEnd/>
                          </a:ln>
                        </pic:spPr>
                      </pic:pic>
                    </a:graphicData>
                  </a:graphic>
                </wp:inline>
              </w:drawing>
            </w:r>
            <w:r w:rsidR="000B1BC0">
              <w:rPr>
                <w:bCs/>
                <w:sz w:val="15"/>
                <w:szCs w:val="20"/>
              </w:rPr>
              <w:t xml:space="preserve"> </w:t>
            </w:r>
          </w:p>
        </w:tc>
        <w:tc>
          <w:tcPr>
            <w:tcW w:w="4261" w:type="dxa"/>
          </w:tcPr>
          <w:p w:rsidR="000B1BC0" w:rsidRDefault="000B1BC0" w:rsidP="000B1BC0">
            <w:pPr>
              <w:jc w:val="both"/>
              <w:rPr>
                <w:bCs/>
                <w:sz w:val="15"/>
                <w:szCs w:val="20"/>
              </w:rPr>
            </w:pPr>
            <w:r w:rsidRPr="002077A6">
              <w:rPr>
                <w:bCs/>
                <w:sz w:val="15"/>
                <w:szCs w:val="20"/>
              </w:rPr>
              <w:t>Doctorates</w:t>
            </w:r>
          </w:p>
          <w:p w:rsidR="000B1BC0" w:rsidRDefault="00DD1501" w:rsidP="000B1BC0">
            <w:pPr>
              <w:jc w:val="both"/>
              <w:rPr>
                <w:i/>
              </w:rPr>
            </w:pPr>
            <w:r>
              <w:rPr>
                <w:i/>
                <w:noProof/>
                <w:lang w:eastAsia="en-NZ"/>
              </w:rPr>
              <w:drawing>
                <wp:inline distT="0" distB="0" distL="0" distR="0">
                  <wp:extent cx="2533650" cy="2066925"/>
                  <wp:effectExtent l="19050" t="0" r="0" b="0"/>
                  <wp:docPr id="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srcRect/>
                          <a:stretch>
                            <a:fillRect/>
                          </a:stretch>
                        </pic:blipFill>
                        <pic:spPr bwMode="auto">
                          <a:xfrm>
                            <a:off x="0" y="0"/>
                            <a:ext cx="2533650" cy="2066925"/>
                          </a:xfrm>
                          <a:prstGeom prst="rect">
                            <a:avLst/>
                          </a:prstGeom>
                          <a:noFill/>
                          <a:ln w="9525">
                            <a:noFill/>
                            <a:miter lim="800000"/>
                            <a:headEnd/>
                            <a:tailEnd/>
                          </a:ln>
                        </pic:spPr>
                      </pic:pic>
                    </a:graphicData>
                  </a:graphic>
                </wp:inline>
              </w:drawing>
            </w:r>
            <w:r w:rsidR="000B1BC0">
              <w:rPr>
                <w:i/>
                <w:noProof/>
                <w:lang w:eastAsia="en-NZ"/>
              </w:rPr>
              <w:t xml:space="preserve"> </w:t>
            </w:r>
          </w:p>
        </w:tc>
      </w:tr>
      <w:tr w:rsidR="000B1BC0" w:rsidTr="000B1BC0">
        <w:trPr>
          <w:gridAfter w:val="1"/>
          <w:wAfter w:w="198" w:type="dxa"/>
          <w:jc w:val="center"/>
        </w:trPr>
        <w:tc>
          <w:tcPr>
            <w:tcW w:w="8522" w:type="dxa"/>
            <w:gridSpan w:val="2"/>
          </w:tcPr>
          <w:p w:rsidR="000B1BC0" w:rsidRDefault="00DB5AB3" w:rsidP="000B1BC0">
            <w:pPr>
              <w:jc w:val="both"/>
              <w:rPr>
                <w:bCs/>
                <w:noProof/>
                <w:sz w:val="15"/>
                <w:szCs w:val="20"/>
                <w:lang w:eastAsia="en-NZ"/>
              </w:rPr>
            </w:pPr>
            <w:r>
              <w:rPr>
                <w:bCs/>
                <w:noProof/>
                <w:sz w:val="15"/>
                <w:szCs w:val="20"/>
                <w:lang w:eastAsia="en-NZ"/>
              </w:rPr>
              <w:drawing>
                <wp:anchor distT="0" distB="0" distL="114300" distR="114300" simplePos="0" relativeHeight="251695104" behindDoc="0" locked="0" layoutInCell="1" allowOverlap="1">
                  <wp:simplePos x="0" y="0"/>
                  <wp:positionH relativeFrom="column">
                    <wp:posOffset>558165</wp:posOffset>
                  </wp:positionH>
                  <wp:positionV relativeFrom="paragraph">
                    <wp:posOffset>0</wp:posOffset>
                  </wp:positionV>
                  <wp:extent cx="4238625" cy="257175"/>
                  <wp:effectExtent l="19050" t="0" r="9525" b="0"/>
                  <wp:wrapSquare wrapText="bothSides"/>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srcRect/>
                          <a:stretch>
                            <a:fillRect/>
                          </a:stretch>
                        </pic:blipFill>
                        <pic:spPr bwMode="auto">
                          <a:xfrm>
                            <a:off x="0" y="0"/>
                            <a:ext cx="4238625" cy="257175"/>
                          </a:xfrm>
                          <a:prstGeom prst="rect">
                            <a:avLst/>
                          </a:prstGeom>
                          <a:noFill/>
                          <a:ln w="9525">
                            <a:noFill/>
                            <a:miter lim="800000"/>
                            <a:headEnd/>
                            <a:tailEnd/>
                          </a:ln>
                        </pic:spPr>
                      </pic:pic>
                    </a:graphicData>
                  </a:graphic>
                </wp:anchor>
              </w:drawing>
            </w:r>
          </w:p>
        </w:tc>
      </w:tr>
      <w:tr w:rsidR="002C058A" w:rsidTr="00EE77ED">
        <w:trPr>
          <w:gridAfter w:val="1"/>
          <w:wAfter w:w="198" w:type="dxa"/>
          <w:jc w:val="center"/>
        </w:trPr>
        <w:tc>
          <w:tcPr>
            <w:tcW w:w="8522" w:type="dxa"/>
            <w:gridSpan w:val="2"/>
          </w:tcPr>
          <w:p w:rsidR="002C058A" w:rsidRPr="00A629FE" w:rsidRDefault="002C058A" w:rsidP="00EE77ED">
            <w:pPr>
              <w:jc w:val="both"/>
              <w:rPr>
                <w:bCs/>
                <w:noProof/>
                <w:sz w:val="15"/>
                <w:szCs w:val="20"/>
                <w:lang w:eastAsia="en-NZ"/>
              </w:rPr>
            </w:pPr>
          </w:p>
        </w:tc>
      </w:tr>
    </w:tbl>
    <w:p w:rsidR="00086B44" w:rsidRDefault="00086B44" w:rsidP="0069594B">
      <w:pPr>
        <w:pStyle w:val="Heading1"/>
      </w:pPr>
      <w:bookmarkStart w:id="25" w:name="_Toc387305282"/>
      <w:r>
        <w:t>What graduates who complete a bachelors degree do after study.</w:t>
      </w:r>
      <w:bookmarkEnd w:id="25"/>
    </w:p>
    <w:p w:rsidR="00086B44" w:rsidRDefault="00086B44" w:rsidP="00086B44">
      <w:pPr>
        <w:pStyle w:val="BodyText"/>
      </w:pPr>
      <w:r>
        <w:t xml:space="preserve">In the first year after </w:t>
      </w:r>
      <w:r w:rsidR="00ED2261">
        <w:t>study</w:t>
      </w:r>
      <w:r>
        <w:t xml:space="preserve">, almost half (48 percent) of </w:t>
      </w:r>
      <w:r w:rsidR="00D565BA">
        <w:t xml:space="preserve">all young, domestic </w:t>
      </w:r>
      <w:r>
        <w:t xml:space="preserve">bachelors graduates are in employment, 36 percent are doing further study, 10 percent are overseas and very few (2 percent) are on a benefit.  </w:t>
      </w:r>
      <w:r w:rsidR="00ED2261">
        <w:t>Seven</w:t>
      </w:r>
      <w:r>
        <w:t xml:space="preserve"> years after study, just over half are in work (51 percent), but the further study rate has dropped to 1</w:t>
      </w:r>
      <w:r w:rsidR="00ED2261">
        <w:t>0</w:t>
      </w:r>
      <w:r>
        <w:t xml:space="preserve"> percent and the o</w:t>
      </w:r>
      <w:r w:rsidR="001E7C55">
        <w:t xml:space="preserve">verseas rate has increased to </w:t>
      </w:r>
      <w:r w:rsidR="00ED2261">
        <w:t>31</w:t>
      </w:r>
      <w:r>
        <w:t xml:space="preserve"> percent.  The percent of bachelors graduates on a benefit </w:t>
      </w:r>
      <w:r w:rsidR="006A272C">
        <w:t>seven</w:t>
      </w:r>
      <w:r>
        <w:t xml:space="preserve"> ye</w:t>
      </w:r>
      <w:r w:rsidR="001E7C55">
        <w:t>ars after study is marginal (1</w:t>
      </w:r>
      <w:r>
        <w:t xml:space="preserve"> percent).</w:t>
      </w:r>
    </w:p>
    <w:p w:rsidR="008116CF" w:rsidRDefault="008116CF" w:rsidP="008116CF">
      <w:pPr>
        <w:pStyle w:val="Heading2"/>
      </w:pPr>
      <w:bookmarkStart w:id="26" w:name="_Toc387305283"/>
      <w:r>
        <w:t>Outcomes for bachelors graduates by broad field of study</w:t>
      </w:r>
      <w:bookmarkEnd w:id="26"/>
    </w:p>
    <w:p w:rsidR="00086B44" w:rsidRDefault="00086B44" w:rsidP="00086B44">
      <w:pPr>
        <w:pStyle w:val="BodyText"/>
      </w:pPr>
      <w:r>
        <w:t>Looking more closely, we can see that these overall trends vary depending what a</w:t>
      </w:r>
      <w:r w:rsidR="001E7C55">
        <w:t xml:space="preserve"> graduate has studied (</w:t>
      </w:r>
      <w:r w:rsidR="00D565BA">
        <w:t xml:space="preserve">see </w:t>
      </w:r>
      <w:r w:rsidR="006611AE">
        <w:t xml:space="preserve">Figure </w:t>
      </w:r>
      <w:r w:rsidR="00437DD8">
        <w:t>6</w:t>
      </w:r>
      <w:r>
        <w:t>). For example:</w:t>
      </w:r>
    </w:p>
    <w:p w:rsidR="00D565BA" w:rsidRDefault="00D565BA" w:rsidP="00D565BA">
      <w:pPr>
        <w:pStyle w:val="BodyText"/>
        <w:numPr>
          <w:ilvl w:val="0"/>
          <w:numId w:val="50"/>
        </w:numPr>
      </w:pPr>
      <w:r>
        <w:t xml:space="preserve">In the second year after study, employment rates are highest for those who study education (76 percent), information technology (62 percent), management and commerce (61 percent), creative arts (58 percent) and health (57 percent). </w:t>
      </w:r>
    </w:p>
    <w:p w:rsidR="00086B44" w:rsidRDefault="00D565BA" w:rsidP="001E7C55">
      <w:pPr>
        <w:pStyle w:val="BodyText"/>
        <w:numPr>
          <w:ilvl w:val="0"/>
          <w:numId w:val="50"/>
        </w:numPr>
      </w:pPr>
      <w:r>
        <w:t>Employment rates are highest</w:t>
      </w:r>
      <w:r w:rsidR="00086B44">
        <w:t xml:space="preserve"> for those who complete a bachelors degree in education in all years after study, varying from 73 percent in the first year after study</w:t>
      </w:r>
      <w:r w:rsidR="007B6F0D">
        <w:t xml:space="preserve">, to a maximum of 76 percent in the second year after study, </w:t>
      </w:r>
      <w:r>
        <w:t xml:space="preserve">to </w:t>
      </w:r>
      <w:r w:rsidR="00086B44">
        <w:t>6</w:t>
      </w:r>
      <w:r>
        <w:t>4</w:t>
      </w:r>
      <w:r w:rsidR="00086B44">
        <w:t xml:space="preserve"> percent </w:t>
      </w:r>
      <w:r>
        <w:t>seven</w:t>
      </w:r>
      <w:r w:rsidR="00086B44">
        <w:t xml:space="preserve"> year</w:t>
      </w:r>
      <w:r w:rsidR="00A5518A">
        <w:t>s</w:t>
      </w:r>
      <w:r w:rsidR="007B6F0D">
        <w:t xml:space="preserve"> after study.</w:t>
      </w:r>
    </w:p>
    <w:p w:rsidR="00086B44" w:rsidRDefault="00086B44" w:rsidP="001E7C55">
      <w:pPr>
        <w:pStyle w:val="BodyText"/>
        <w:numPr>
          <w:ilvl w:val="0"/>
          <w:numId w:val="50"/>
        </w:numPr>
      </w:pPr>
      <w:r>
        <w:t>Bachelors graduates who have studied natural and physical sciences (5</w:t>
      </w:r>
      <w:r w:rsidR="00D565BA">
        <w:t>4</w:t>
      </w:r>
      <w:r>
        <w:t xml:space="preserve"> percent), society and culture (47 percent), </w:t>
      </w:r>
      <w:r w:rsidR="00C61A9B">
        <w:t xml:space="preserve">architecture and building (45 percent) </w:t>
      </w:r>
      <w:r>
        <w:t xml:space="preserve">or agricultural and environmental and related studies (43 percent) are more likely to be doing further study in the first year after they complete their bachelors degree.  </w:t>
      </w:r>
    </w:p>
    <w:p w:rsidR="00086B44" w:rsidRDefault="00086B44" w:rsidP="001E7C55">
      <w:pPr>
        <w:pStyle w:val="BodyText"/>
        <w:numPr>
          <w:ilvl w:val="0"/>
          <w:numId w:val="50"/>
        </w:numPr>
      </w:pPr>
      <w:r w:rsidRPr="00AF62CE">
        <w:t>The percentage of graduates who go overseas is highest in the first year after study for young, domestic engineering graduates (1</w:t>
      </w:r>
      <w:r w:rsidR="00C61A9B">
        <w:t>8</w:t>
      </w:r>
      <w:r w:rsidRPr="00AF62CE">
        <w:t xml:space="preserve"> percent) </w:t>
      </w:r>
      <w:r w:rsidR="00C61A9B">
        <w:t>and lowest for those who study educatio</w:t>
      </w:r>
      <w:r w:rsidR="00A950D0">
        <w:t xml:space="preserve">n (5 percent), agricultural, </w:t>
      </w:r>
      <w:r w:rsidR="00C61A9B">
        <w:t xml:space="preserve">environmental and related studies (7 percent) or information technology (8 percent).  This compares to around 10 </w:t>
      </w:r>
      <w:r w:rsidRPr="00AF62CE">
        <w:t xml:space="preserve">percent for all other </w:t>
      </w:r>
      <w:r w:rsidR="00C61A9B">
        <w:t xml:space="preserve">young domestic bachelors </w:t>
      </w:r>
      <w:r w:rsidRPr="00AF62CE">
        <w:t xml:space="preserve">graduates.  </w:t>
      </w:r>
    </w:p>
    <w:p w:rsidR="00086B44" w:rsidRDefault="00086B44" w:rsidP="001E7C55">
      <w:pPr>
        <w:pStyle w:val="BodyText"/>
        <w:numPr>
          <w:ilvl w:val="0"/>
          <w:numId w:val="50"/>
        </w:numPr>
      </w:pPr>
      <w:r>
        <w:t>The percentage of graduates who go overseas increases each year after study in almost all cases</w:t>
      </w:r>
      <w:r w:rsidR="00671A37">
        <w:t>. H</w:t>
      </w:r>
      <w:r>
        <w:t xml:space="preserve">owever the rate of increase is lower for young domestic graduates who study education, or </w:t>
      </w:r>
      <w:r w:rsidRPr="00AF62CE">
        <w:t>agriculture, environmental and relat</w:t>
      </w:r>
      <w:r>
        <w:t xml:space="preserve">ed studies, with only 18 and 21 percent respectively of these graduates overseas </w:t>
      </w:r>
      <w:r w:rsidR="00C61A9B">
        <w:t>seven</w:t>
      </w:r>
      <w:r>
        <w:t xml:space="preserve"> years after they complete their studies.  This compares with around 30 percent or higher for young, domestic bachelors graduates</w:t>
      </w:r>
      <w:r w:rsidR="0094260D">
        <w:t xml:space="preserve"> in all other broad fields of study</w:t>
      </w:r>
      <w:r w:rsidR="00F061B8">
        <w:t xml:space="preserve"> and is in line with findings by Papadopoulos (2012).</w:t>
      </w:r>
      <w:r>
        <w:t xml:space="preserve">  Graduates with the highest percentages overseas after </w:t>
      </w:r>
      <w:r w:rsidR="00C61A9B">
        <w:t>seven</w:t>
      </w:r>
      <w:r>
        <w:t xml:space="preserve"> years are those who have studied architecture and building (3</w:t>
      </w:r>
      <w:r w:rsidR="00C61A9B">
        <w:t>9</w:t>
      </w:r>
      <w:r>
        <w:t xml:space="preserve"> percent), </w:t>
      </w:r>
      <w:r w:rsidR="00C61A9B">
        <w:t xml:space="preserve">management and commerce (38 percent), information technology (36 percent), or </w:t>
      </w:r>
      <w:r>
        <w:t>engineering and related technologies (3</w:t>
      </w:r>
      <w:r w:rsidR="00C61A9B">
        <w:t>5 percent).</w:t>
      </w:r>
    </w:p>
    <w:p w:rsidR="00ED2261" w:rsidRDefault="00ED2261" w:rsidP="001E7C55">
      <w:pPr>
        <w:pStyle w:val="BodyText"/>
        <w:numPr>
          <w:ilvl w:val="0"/>
          <w:numId w:val="50"/>
        </w:numPr>
      </w:pPr>
      <w:r>
        <w:t xml:space="preserve">The </w:t>
      </w:r>
      <w:r w:rsidRPr="000137D0">
        <w:t>percentage of graduates who</w:t>
      </w:r>
      <w:r>
        <w:t xml:space="preserve"> receive a benefit is low, around 1 percent, in each of the first seven years after study and for all fields of study.  However, </w:t>
      </w:r>
      <w:r w:rsidRPr="000137D0">
        <w:t xml:space="preserve">rates are marginally higher for </w:t>
      </w:r>
      <w:r>
        <w:t xml:space="preserve">young, domestic </w:t>
      </w:r>
      <w:r w:rsidRPr="000137D0">
        <w:t>graduates who s</w:t>
      </w:r>
      <w:r>
        <w:t>tudy creative arts (around 3 percent).</w:t>
      </w:r>
    </w:p>
    <w:p w:rsidR="00086B44" w:rsidRDefault="00086B44" w:rsidP="00ED2261">
      <w:pPr>
        <w:pStyle w:val="BodyText"/>
        <w:shd w:val="clear" w:color="auto" w:fill="FFFFFF"/>
        <w:ind w:left="360"/>
        <w:rPr>
          <w:b/>
          <w:color w:val="303030"/>
          <w:szCs w:val="22"/>
        </w:rPr>
        <w:sectPr w:rsidR="00086B44" w:rsidSect="00071877">
          <w:headerReference w:type="even" r:id="rId74"/>
          <w:headerReference w:type="default" r:id="rId75"/>
          <w:footerReference w:type="even" r:id="rId76"/>
          <w:footerReference w:type="default" r:id="rId77"/>
          <w:headerReference w:type="first" r:id="rId78"/>
          <w:pgSz w:w="11906" w:h="16838" w:code="9"/>
          <w:pgMar w:top="1418" w:right="1701" w:bottom="1418" w:left="1701" w:header="709" w:footer="709" w:gutter="0"/>
          <w:cols w:space="708"/>
          <w:docGrid w:linePitch="360"/>
        </w:sectPr>
      </w:pPr>
    </w:p>
    <w:p w:rsidR="00F13DBA" w:rsidRDefault="00F13DBA" w:rsidP="00F13DBA">
      <w:pPr>
        <w:pStyle w:val="Caption"/>
      </w:pPr>
      <w:r>
        <w:lastRenderedPageBreak/>
        <w:t xml:space="preserve">Figure </w:t>
      </w:r>
      <w:r w:rsidR="00437DD8">
        <w:t>6</w:t>
      </w:r>
    </w:p>
    <w:p w:rsidR="00F13DBA" w:rsidRDefault="00F13DBA" w:rsidP="00F13DBA">
      <w:pPr>
        <w:pStyle w:val="Figurelabel"/>
        <w:rPr>
          <w:szCs w:val="22"/>
        </w:rPr>
      </w:pPr>
      <w:bookmarkStart w:id="27" w:name="_Toc385923100"/>
      <w:bookmarkStart w:id="28" w:name="_Toc387305360"/>
      <w:r w:rsidRPr="002076A0">
        <w:t>Destinations for young d</w:t>
      </w:r>
      <w:r>
        <w:t>omestic bachelors graduates in the first seven</w:t>
      </w:r>
      <w:r w:rsidRPr="002076A0">
        <w:t xml:space="preserve"> years</w:t>
      </w:r>
      <w:r>
        <w:t xml:space="preserve"> after qualification completion by broad field of study</w:t>
      </w:r>
      <w:bookmarkEnd w:id="27"/>
      <w:bookmarkEnd w:id="28"/>
    </w:p>
    <w:p w:rsidR="001E7C55" w:rsidRDefault="00C25483" w:rsidP="00086B44">
      <w:pPr>
        <w:rPr>
          <w:noProof/>
          <w:szCs w:val="22"/>
          <w:lang w:eastAsia="en-NZ"/>
        </w:rPr>
      </w:pPr>
      <w:r w:rsidRPr="00C25483">
        <w:rPr>
          <w:noProof/>
          <w:szCs w:val="22"/>
          <w:lang w:eastAsia="en-NZ"/>
        </w:rPr>
        <w:drawing>
          <wp:inline distT="0" distB="0" distL="0" distR="0">
            <wp:extent cx="8891270" cy="4441507"/>
            <wp:effectExtent l="19050" t="0" r="508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srcRect/>
                    <a:stretch>
                      <a:fillRect/>
                    </a:stretch>
                  </pic:blipFill>
                  <pic:spPr bwMode="auto">
                    <a:xfrm>
                      <a:off x="0" y="0"/>
                      <a:ext cx="8891270" cy="4441507"/>
                    </a:xfrm>
                    <a:prstGeom prst="rect">
                      <a:avLst/>
                    </a:prstGeom>
                    <a:noFill/>
                    <a:ln w="9525">
                      <a:noFill/>
                      <a:miter lim="800000"/>
                      <a:headEnd/>
                      <a:tailEnd/>
                    </a:ln>
                  </pic:spPr>
                </pic:pic>
              </a:graphicData>
            </a:graphic>
          </wp:inline>
        </w:drawing>
      </w:r>
    </w:p>
    <w:p w:rsidR="001E7C55" w:rsidRDefault="001E7C55" w:rsidP="001E7C55">
      <w:pPr>
        <w:jc w:val="right"/>
        <w:rPr>
          <w:szCs w:val="22"/>
          <w:lang w:eastAsia="en-NZ"/>
        </w:rPr>
      </w:pPr>
    </w:p>
    <w:p w:rsidR="00086B44" w:rsidRPr="001E7C55" w:rsidRDefault="00086B44" w:rsidP="001E7C55">
      <w:pPr>
        <w:rPr>
          <w:szCs w:val="22"/>
          <w:lang w:eastAsia="en-NZ"/>
        </w:rPr>
        <w:sectPr w:rsidR="00086B44" w:rsidRPr="001E7C55" w:rsidSect="00C750C5">
          <w:pgSz w:w="16838" w:h="11906" w:orient="landscape" w:code="9"/>
          <w:pgMar w:top="1701" w:right="1418" w:bottom="1701" w:left="1418" w:header="709" w:footer="709" w:gutter="0"/>
          <w:cols w:space="708"/>
          <w:docGrid w:linePitch="360"/>
        </w:sectPr>
      </w:pPr>
    </w:p>
    <w:p w:rsidR="008116CF" w:rsidRDefault="008116CF" w:rsidP="008116CF">
      <w:pPr>
        <w:pStyle w:val="Heading2"/>
      </w:pPr>
      <w:bookmarkStart w:id="29" w:name="_Toc387305284"/>
      <w:r>
        <w:lastRenderedPageBreak/>
        <w:t>Outcomes for bachelors graduates by narrow field of study</w:t>
      </w:r>
      <w:bookmarkEnd w:id="29"/>
    </w:p>
    <w:p w:rsidR="008116CF" w:rsidRDefault="00C479A8" w:rsidP="00086B44">
      <w:pPr>
        <w:pStyle w:val="BodyText"/>
      </w:pPr>
      <w:r>
        <w:t xml:space="preserve">Each broad field of study encompasses a range of narrow fields of study, and graduates who study different narrow fields of study may tend to be employed in different occupations.  </w:t>
      </w:r>
      <w:r w:rsidR="00883224">
        <w:t>In the following sections, we look more closely at two broad fields of study – health, and society and culture – and analyse the outcomes for graduates by narrow field of study.</w:t>
      </w:r>
      <w:r w:rsidR="00883224">
        <w:rPr>
          <w:lang w:eastAsia="en-NZ"/>
        </w:rPr>
        <w:t xml:space="preserve">  Both of these broad fields of study encompass a wide range of occupations.  </w:t>
      </w:r>
      <w:r>
        <w:t xml:space="preserve">For example, the broad field of health includes </w:t>
      </w:r>
      <w:r w:rsidRPr="00C479A8">
        <w:t>medicine,</w:t>
      </w:r>
      <w:r>
        <w:t xml:space="preserve"> veterinary science, dentistry, and </w:t>
      </w:r>
      <w:r w:rsidRPr="00C479A8">
        <w:t>nursing</w:t>
      </w:r>
      <w:r>
        <w:t xml:space="preserve"> as narrow fields of study.  And the </w:t>
      </w:r>
      <w:r w:rsidR="008116CF">
        <w:t xml:space="preserve">range of occupations for those who study the broad field of </w:t>
      </w:r>
      <w:r w:rsidR="00D3087E">
        <w:t xml:space="preserve">study of </w:t>
      </w:r>
      <w:r>
        <w:t xml:space="preserve">society and culture </w:t>
      </w:r>
      <w:r w:rsidR="008116CF">
        <w:t xml:space="preserve">will </w:t>
      </w:r>
      <w:r w:rsidR="00842B2B">
        <w:t xml:space="preserve">also </w:t>
      </w:r>
      <w:r w:rsidR="008116CF">
        <w:t>be wide, with narrow fields of study ranging from s</w:t>
      </w:r>
      <w:r>
        <w:t>tudies in human society to law to</w:t>
      </w:r>
      <w:r w:rsidR="008116CF">
        <w:t xml:space="preserve"> sport and recreation</w:t>
      </w:r>
      <w:r w:rsidR="00D3087E">
        <w:t>.</w:t>
      </w:r>
    </w:p>
    <w:p w:rsidR="008116CF" w:rsidRDefault="003557CB" w:rsidP="00086B44">
      <w:pPr>
        <w:pStyle w:val="BodyText"/>
        <w:rPr>
          <w:lang w:eastAsia="en-NZ"/>
        </w:rPr>
      </w:pPr>
      <w:r>
        <w:rPr>
          <w:lang w:eastAsia="en-NZ"/>
        </w:rPr>
        <w:t xml:space="preserve">Graphs showing destinations by narrow field of study for all other young domestic bachelors graduates are shown in Figures </w:t>
      </w:r>
      <w:r w:rsidR="00437DD8">
        <w:rPr>
          <w:lang w:eastAsia="en-NZ"/>
        </w:rPr>
        <w:t>10 to 13</w:t>
      </w:r>
      <w:r>
        <w:rPr>
          <w:lang w:eastAsia="en-NZ"/>
        </w:rPr>
        <w:t xml:space="preserve"> in appendix A.</w:t>
      </w:r>
    </w:p>
    <w:p w:rsidR="00086B44" w:rsidRPr="0054476E" w:rsidRDefault="00086B44" w:rsidP="0069594B">
      <w:pPr>
        <w:pStyle w:val="Heading3"/>
        <w:rPr>
          <w:lang w:eastAsia="en-NZ"/>
        </w:rPr>
      </w:pPr>
      <w:r w:rsidRPr="0054476E">
        <w:rPr>
          <w:lang w:eastAsia="en-NZ"/>
        </w:rPr>
        <w:t>Health</w:t>
      </w:r>
    </w:p>
    <w:p w:rsidR="00086B44" w:rsidRDefault="00086B44" w:rsidP="00086B44">
      <w:pPr>
        <w:pStyle w:val="BodyText"/>
        <w:rPr>
          <w:lang w:eastAsia="en-NZ"/>
        </w:rPr>
      </w:pPr>
      <w:r>
        <w:rPr>
          <w:lang w:eastAsia="en-NZ"/>
        </w:rPr>
        <w:t xml:space="preserve">The broad field of study of health encompasses </w:t>
      </w:r>
      <w:r w:rsidR="008116CF">
        <w:rPr>
          <w:lang w:eastAsia="en-NZ"/>
        </w:rPr>
        <w:t>the following</w:t>
      </w:r>
      <w:r>
        <w:rPr>
          <w:lang w:eastAsia="en-NZ"/>
        </w:rPr>
        <w:t xml:space="preserve"> narrow fields of study:</w:t>
      </w:r>
    </w:p>
    <w:tbl>
      <w:tblPr>
        <w:tblW w:w="5400" w:type="dxa"/>
        <w:tblInd w:w="93" w:type="dxa"/>
        <w:tblLook w:val="04A0"/>
      </w:tblPr>
      <w:tblGrid>
        <w:gridCol w:w="5400"/>
      </w:tblGrid>
      <w:tr w:rsidR="00086B44" w:rsidRPr="00DB7EF3" w:rsidTr="00532571">
        <w:trPr>
          <w:trHeight w:val="300"/>
        </w:trPr>
        <w:tc>
          <w:tcPr>
            <w:tcW w:w="5400" w:type="dxa"/>
            <w:tcBorders>
              <w:top w:val="nil"/>
              <w:left w:val="nil"/>
              <w:bottom w:val="nil"/>
              <w:right w:val="nil"/>
            </w:tcBorders>
            <w:shd w:val="clear" w:color="auto" w:fill="auto"/>
            <w:noWrap/>
            <w:vAlign w:val="bottom"/>
            <w:hideMark/>
          </w:tcPr>
          <w:p w:rsidR="00086B44" w:rsidRPr="00DB7EF3" w:rsidRDefault="00086B44" w:rsidP="00EA4871">
            <w:pPr>
              <w:pStyle w:val="BodyText"/>
              <w:numPr>
                <w:ilvl w:val="0"/>
                <w:numId w:val="52"/>
              </w:numPr>
              <w:rPr>
                <w:rFonts w:cs="Arial"/>
              </w:rPr>
            </w:pPr>
            <w:r w:rsidRPr="00DB7EF3">
              <w:rPr>
                <w:rFonts w:cs="Arial"/>
              </w:rPr>
              <w:t>Medical Studies</w:t>
            </w:r>
          </w:p>
        </w:tc>
      </w:tr>
      <w:tr w:rsidR="00086B44" w:rsidRPr="00DB7EF3" w:rsidTr="00532571">
        <w:trPr>
          <w:trHeight w:val="300"/>
        </w:trPr>
        <w:tc>
          <w:tcPr>
            <w:tcW w:w="5400" w:type="dxa"/>
            <w:tcBorders>
              <w:top w:val="nil"/>
              <w:left w:val="nil"/>
              <w:bottom w:val="nil"/>
              <w:right w:val="nil"/>
            </w:tcBorders>
            <w:shd w:val="clear" w:color="auto" w:fill="auto"/>
            <w:noWrap/>
            <w:vAlign w:val="bottom"/>
            <w:hideMark/>
          </w:tcPr>
          <w:p w:rsidR="00086B44" w:rsidRPr="00DB7EF3" w:rsidRDefault="00086B44" w:rsidP="00EA4871">
            <w:pPr>
              <w:pStyle w:val="BodyText"/>
              <w:numPr>
                <w:ilvl w:val="0"/>
                <w:numId w:val="52"/>
              </w:numPr>
              <w:rPr>
                <w:rFonts w:cs="Arial"/>
              </w:rPr>
            </w:pPr>
            <w:r w:rsidRPr="00DB7EF3">
              <w:rPr>
                <w:rFonts w:cs="Arial"/>
              </w:rPr>
              <w:t>Nursing</w:t>
            </w:r>
          </w:p>
        </w:tc>
      </w:tr>
      <w:tr w:rsidR="00086B44" w:rsidRPr="00DB7EF3" w:rsidTr="00532571">
        <w:trPr>
          <w:trHeight w:val="300"/>
        </w:trPr>
        <w:tc>
          <w:tcPr>
            <w:tcW w:w="5400" w:type="dxa"/>
            <w:tcBorders>
              <w:top w:val="nil"/>
              <w:left w:val="nil"/>
              <w:bottom w:val="nil"/>
              <w:right w:val="nil"/>
            </w:tcBorders>
            <w:shd w:val="clear" w:color="auto" w:fill="auto"/>
            <w:noWrap/>
            <w:vAlign w:val="bottom"/>
            <w:hideMark/>
          </w:tcPr>
          <w:p w:rsidR="00086B44" w:rsidRPr="00DB7EF3" w:rsidRDefault="00086B44" w:rsidP="00EA4871">
            <w:pPr>
              <w:pStyle w:val="BodyText"/>
              <w:numPr>
                <w:ilvl w:val="0"/>
                <w:numId w:val="52"/>
              </w:numPr>
              <w:rPr>
                <w:rFonts w:cs="Arial"/>
              </w:rPr>
            </w:pPr>
            <w:r w:rsidRPr="00DB7EF3">
              <w:rPr>
                <w:rFonts w:cs="Arial"/>
              </w:rPr>
              <w:t>Pharmacy</w:t>
            </w:r>
          </w:p>
        </w:tc>
      </w:tr>
      <w:tr w:rsidR="00086B44" w:rsidRPr="00DB7EF3" w:rsidTr="00532571">
        <w:trPr>
          <w:trHeight w:val="300"/>
        </w:trPr>
        <w:tc>
          <w:tcPr>
            <w:tcW w:w="5400" w:type="dxa"/>
            <w:tcBorders>
              <w:top w:val="nil"/>
              <w:left w:val="nil"/>
              <w:bottom w:val="nil"/>
              <w:right w:val="nil"/>
            </w:tcBorders>
            <w:shd w:val="clear" w:color="auto" w:fill="auto"/>
            <w:noWrap/>
            <w:vAlign w:val="bottom"/>
            <w:hideMark/>
          </w:tcPr>
          <w:p w:rsidR="00086B44" w:rsidRPr="00DB7EF3" w:rsidRDefault="00086B44" w:rsidP="00EA4871">
            <w:pPr>
              <w:pStyle w:val="BodyText"/>
              <w:numPr>
                <w:ilvl w:val="0"/>
                <w:numId w:val="52"/>
              </w:numPr>
              <w:rPr>
                <w:rFonts w:cs="Arial"/>
              </w:rPr>
            </w:pPr>
            <w:r w:rsidRPr="00DB7EF3">
              <w:rPr>
                <w:rFonts w:cs="Arial"/>
              </w:rPr>
              <w:t>Dental Studies</w:t>
            </w:r>
          </w:p>
        </w:tc>
      </w:tr>
      <w:tr w:rsidR="00086B44" w:rsidRPr="00DB7EF3" w:rsidTr="00532571">
        <w:trPr>
          <w:trHeight w:val="300"/>
        </w:trPr>
        <w:tc>
          <w:tcPr>
            <w:tcW w:w="5400" w:type="dxa"/>
            <w:tcBorders>
              <w:top w:val="nil"/>
              <w:left w:val="nil"/>
              <w:bottom w:val="nil"/>
              <w:right w:val="nil"/>
            </w:tcBorders>
            <w:shd w:val="clear" w:color="auto" w:fill="auto"/>
            <w:noWrap/>
            <w:vAlign w:val="bottom"/>
            <w:hideMark/>
          </w:tcPr>
          <w:p w:rsidR="00086B44" w:rsidRPr="00DB7EF3" w:rsidRDefault="00086B44" w:rsidP="00EA4871">
            <w:pPr>
              <w:pStyle w:val="BodyText"/>
              <w:numPr>
                <w:ilvl w:val="0"/>
                <w:numId w:val="52"/>
              </w:numPr>
              <w:rPr>
                <w:rFonts w:cs="Arial"/>
              </w:rPr>
            </w:pPr>
            <w:r w:rsidRPr="00DB7EF3">
              <w:rPr>
                <w:rFonts w:cs="Arial"/>
              </w:rPr>
              <w:t>Veterinary Studies</w:t>
            </w:r>
          </w:p>
        </w:tc>
      </w:tr>
      <w:tr w:rsidR="00086B44" w:rsidRPr="00DB7EF3" w:rsidTr="00532571">
        <w:trPr>
          <w:trHeight w:val="300"/>
        </w:trPr>
        <w:tc>
          <w:tcPr>
            <w:tcW w:w="5400" w:type="dxa"/>
            <w:tcBorders>
              <w:top w:val="nil"/>
              <w:left w:val="nil"/>
              <w:bottom w:val="nil"/>
              <w:right w:val="nil"/>
            </w:tcBorders>
            <w:shd w:val="clear" w:color="auto" w:fill="auto"/>
            <w:noWrap/>
            <w:vAlign w:val="bottom"/>
            <w:hideMark/>
          </w:tcPr>
          <w:p w:rsidR="00086B44" w:rsidRPr="00DB7EF3" w:rsidRDefault="00086B44" w:rsidP="00EA4871">
            <w:pPr>
              <w:pStyle w:val="BodyText"/>
              <w:numPr>
                <w:ilvl w:val="0"/>
                <w:numId w:val="52"/>
              </w:numPr>
              <w:rPr>
                <w:rFonts w:cs="Arial"/>
              </w:rPr>
            </w:pPr>
            <w:r w:rsidRPr="00DB7EF3">
              <w:rPr>
                <w:rFonts w:cs="Arial"/>
              </w:rPr>
              <w:t>Public Health</w:t>
            </w:r>
          </w:p>
        </w:tc>
      </w:tr>
      <w:tr w:rsidR="00086B44" w:rsidRPr="00DB7EF3" w:rsidTr="00532571">
        <w:trPr>
          <w:trHeight w:val="300"/>
        </w:trPr>
        <w:tc>
          <w:tcPr>
            <w:tcW w:w="5400" w:type="dxa"/>
            <w:tcBorders>
              <w:top w:val="nil"/>
              <w:left w:val="nil"/>
              <w:bottom w:val="nil"/>
              <w:right w:val="nil"/>
            </w:tcBorders>
            <w:shd w:val="clear" w:color="auto" w:fill="auto"/>
            <w:noWrap/>
            <w:vAlign w:val="bottom"/>
            <w:hideMark/>
          </w:tcPr>
          <w:p w:rsidR="00086B44" w:rsidRPr="00DB7EF3" w:rsidRDefault="00086B44" w:rsidP="00EA4871">
            <w:pPr>
              <w:pStyle w:val="BodyText"/>
              <w:numPr>
                <w:ilvl w:val="0"/>
                <w:numId w:val="52"/>
              </w:numPr>
              <w:rPr>
                <w:rFonts w:cs="Arial"/>
              </w:rPr>
            </w:pPr>
            <w:r w:rsidRPr="00DB7EF3">
              <w:rPr>
                <w:rFonts w:cs="Arial"/>
              </w:rPr>
              <w:t>Radiography</w:t>
            </w:r>
          </w:p>
        </w:tc>
      </w:tr>
      <w:tr w:rsidR="00086B44" w:rsidRPr="00DB7EF3" w:rsidTr="00532571">
        <w:trPr>
          <w:trHeight w:val="300"/>
        </w:trPr>
        <w:tc>
          <w:tcPr>
            <w:tcW w:w="5400" w:type="dxa"/>
            <w:tcBorders>
              <w:top w:val="nil"/>
              <w:left w:val="nil"/>
              <w:bottom w:val="nil"/>
              <w:right w:val="nil"/>
            </w:tcBorders>
            <w:shd w:val="clear" w:color="auto" w:fill="auto"/>
            <w:noWrap/>
            <w:vAlign w:val="bottom"/>
            <w:hideMark/>
          </w:tcPr>
          <w:p w:rsidR="00086B44" w:rsidRPr="00DB7EF3" w:rsidRDefault="00086B44" w:rsidP="00EA4871">
            <w:pPr>
              <w:pStyle w:val="BodyText"/>
              <w:numPr>
                <w:ilvl w:val="0"/>
                <w:numId w:val="52"/>
              </w:numPr>
              <w:rPr>
                <w:rFonts w:cs="Arial"/>
              </w:rPr>
            </w:pPr>
            <w:r w:rsidRPr="00DB7EF3">
              <w:rPr>
                <w:rFonts w:cs="Arial"/>
              </w:rPr>
              <w:t>Rehabilitation Therapies</w:t>
            </w:r>
          </w:p>
        </w:tc>
      </w:tr>
      <w:tr w:rsidR="00086B44" w:rsidRPr="00DB7EF3" w:rsidTr="00532571">
        <w:trPr>
          <w:trHeight w:val="300"/>
        </w:trPr>
        <w:tc>
          <w:tcPr>
            <w:tcW w:w="5400" w:type="dxa"/>
            <w:tcBorders>
              <w:top w:val="nil"/>
              <w:left w:val="nil"/>
              <w:bottom w:val="nil"/>
              <w:right w:val="nil"/>
            </w:tcBorders>
            <w:shd w:val="clear" w:color="auto" w:fill="auto"/>
            <w:noWrap/>
            <w:vAlign w:val="bottom"/>
            <w:hideMark/>
          </w:tcPr>
          <w:p w:rsidR="00086B44" w:rsidRPr="00DB7EF3" w:rsidRDefault="00086B44" w:rsidP="00EA4871">
            <w:pPr>
              <w:pStyle w:val="BodyText"/>
              <w:numPr>
                <w:ilvl w:val="0"/>
                <w:numId w:val="52"/>
              </w:numPr>
              <w:rPr>
                <w:rFonts w:cs="Arial"/>
              </w:rPr>
            </w:pPr>
            <w:r w:rsidRPr="00DB7EF3">
              <w:rPr>
                <w:rFonts w:cs="Arial"/>
              </w:rPr>
              <w:t>Other Health</w:t>
            </w:r>
          </w:p>
        </w:tc>
      </w:tr>
    </w:tbl>
    <w:p w:rsidR="00086B44" w:rsidRPr="00CC1BAE" w:rsidRDefault="00086B44" w:rsidP="00086B44">
      <w:pPr>
        <w:pStyle w:val="BodyText"/>
        <w:rPr>
          <w:lang w:eastAsia="en-NZ"/>
        </w:rPr>
      </w:pPr>
      <w:r>
        <w:rPr>
          <w:lang w:eastAsia="en-NZ"/>
        </w:rPr>
        <w:t xml:space="preserve">Looking at what graduates from each of these narrow fields of study </w:t>
      </w:r>
      <w:r w:rsidR="00EA4871">
        <w:rPr>
          <w:lang w:eastAsia="en-NZ"/>
        </w:rPr>
        <w:t>do (see F</w:t>
      </w:r>
      <w:r>
        <w:rPr>
          <w:lang w:eastAsia="en-NZ"/>
        </w:rPr>
        <w:t>igure</w:t>
      </w:r>
      <w:r w:rsidR="001502AD">
        <w:rPr>
          <w:lang w:eastAsia="en-NZ"/>
        </w:rPr>
        <w:t xml:space="preserve"> </w:t>
      </w:r>
      <w:r w:rsidR="00437DD8">
        <w:rPr>
          <w:lang w:eastAsia="en-NZ"/>
        </w:rPr>
        <w:t>7</w:t>
      </w:r>
      <w:r>
        <w:rPr>
          <w:lang w:eastAsia="en-NZ"/>
        </w:rPr>
        <w:t>), we can see that there are large differences.  For example:</w:t>
      </w:r>
    </w:p>
    <w:p w:rsidR="00086B44" w:rsidRDefault="00086B44" w:rsidP="00EA4871">
      <w:pPr>
        <w:pStyle w:val="BodyText"/>
        <w:numPr>
          <w:ilvl w:val="0"/>
          <w:numId w:val="51"/>
        </w:numPr>
      </w:pPr>
      <w:r w:rsidRPr="004A201E">
        <w:rPr>
          <w:lang w:eastAsia="en-NZ"/>
        </w:rPr>
        <w:t>Employment rates are highest in the first year after study for young, domestic graduates who have completed a bachelors qualification in the pharmacy narrow field of study (9</w:t>
      </w:r>
      <w:r w:rsidR="001975BA">
        <w:rPr>
          <w:lang w:eastAsia="en-NZ"/>
        </w:rPr>
        <w:t>4</w:t>
      </w:r>
      <w:r w:rsidRPr="004A201E">
        <w:rPr>
          <w:lang w:eastAsia="en-NZ"/>
        </w:rPr>
        <w:t xml:space="preserve"> percent).  However, the </w:t>
      </w:r>
      <w:r w:rsidR="00337CE9">
        <w:rPr>
          <w:lang w:eastAsia="en-NZ"/>
        </w:rPr>
        <w:t xml:space="preserve">employment </w:t>
      </w:r>
      <w:r w:rsidRPr="004A201E">
        <w:rPr>
          <w:lang w:eastAsia="en-NZ"/>
        </w:rPr>
        <w:t xml:space="preserve">rate </w:t>
      </w:r>
      <w:r w:rsidR="00337CE9">
        <w:rPr>
          <w:lang w:eastAsia="en-NZ"/>
        </w:rPr>
        <w:t xml:space="preserve">of young domestic pharmacy graduates </w:t>
      </w:r>
      <w:r w:rsidRPr="004A201E">
        <w:rPr>
          <w:lang w:eastAsia="en-NZ"/>
        </w:rPr>
        <w:t>drops sharply in the following years</w:t>
      </w:r>
      <w:r w:rsidR="00337CE9">
        <w:rPr>
          <w:lang w:eastAsia="en-NZ"/>
        </w:rPr>
        <w:t>,</w:t>
      </w:r>
      <w:r w:rsidRPr="004A201E">
        <w:rPr>
          <w:lang w:eastAsia="en-NZ"/>
        </w:rPr>
        <w:t xml:space="preserve"> mostly because of the increase in </w:t>
      </w:r>
      <w:r w:rsidR="00337CE9">
        <w:rPr>
          <w:lang w:eastAsia="en-NZ"/>
        </w:rPr>
        <w:t xml:space="preserve">the number of </w:t>
      </w:r>
      <w:r w:rsidRPr="004A201E">
        <w:rPr>
          <w:lang w:eastAsia="en-NZ"/>
        </w:rPr>
        <w:t>graduates going overseas</w:t>
      </w:r>
      <w:r w:rsidR="00337CE9">
        <w:rPr>
          <w:lang w:eastAsia="en-NZ"/>
        </w:rPr>
        <w:t>; the proportion overseas</w:t>
      </w:r>
      <w:r w:rsidRPr="004A201E">
        <w:rPr>
          <w:lang w:eastAsia="en-NZ"/>
        </w:rPr>
        <w:t xml:space="preserve"> steadily </w:t>
      </w:r>
      <w:r w:rsidR="00337CE9" w:rsidRPr="004A201E">
        <w:rPr>
          <w:lang w:eastAsia="en-NZ"/>
        </w:rPr>
        <w:t>increas</w:t>
      </w:r>
      <w:r w:rsidR="00337CE9">
        <w:rPr>
          <w:lang w:eastAsia="en-NZ"/>
        </w:rPr>
        <w:t>es</w:t>
      </w:r>
      <w:r w:rsidR="00337CE9" w:rsidRPr="004A201E">
        <w:rPr>
          <w:lang w:eastAsia="en-NZ"/>
        </w:rPr>
        <w:t xml:space="preserve"> </w:t>
      </w:r>
      <w:r w:rsidRPr="004A201E">
        <w:rPr>
          <w:lang w:eastAsia="en-NZ"/>
        </w:rPr>
        <w:t xml:space="preserve">to reach </w:t>
      </w:r>
      <w:r w:rsidR="00361BB3">
        <w:rPr>
          <w:lang w:eastAsia="en-NZ"/>
        </w:rPr>
        <w:t>39 percent seven</w:t>
      </w:r>
      <w:r w:rsidRPr="004A201E">
        <w:rPr>
          <w:lang w:eastAsia="en-NZ"/>
        </w:rPr>
        <w:t xml:space="preserve"> years after they have finished their bachelors qualification. </w:t>
      </w:r>
      <w:r w:rsidR="00CF51BE">
        <w:rPr>
          <w:lang w:eastAsia="en-NZ"/>
        </w:rPr>
        <w:t xml:space="preserve">Employment rates are also very high initially for young domestic bachelors graduates who study radiography (85 percent) or dental studies (69 percent) but these rates similarly drop </w:t>
      </w:r>
      <w:r w:rsidR="00515285">
        <w:rPr>
          <w:lang w:eastAsia="en-NZ"/>
        </w:rPr>
        <w:t xml:space="preserve">(to 50 percent and 34 percent respectively) </w:t>
      </w:r>
      <w:r w:rsidR="00CF51BE">
        <w:rPr>
          <w:lang w:eastAsia="en-NZ"/>
        </w:rPr>
        <w:t>with a high proportion of graduates overseas several years after they complete their studies.</w:t>
      </w:r>
    </w:p>
    <w:p w:rsidR="00CF51BE" w:rsidRPr="00114595" w:rsidRDefault="00CF51BE" w:rsidP="00CF51BE">
      <w:pPr>
        <w:pStyle w:val="BodyText"/>
        <w:numPr>
          <w:ilvl w:val="0"/>
          <w:numId w:val="51"/>
        </w:numPr>
        <w:rPr>
          <w:lang w:eastAsia="en-NZ"/>
        </w:rPr>
      </w:pPr>
      <w:r>
        <w:rPr>
          <w:lang w:eastAsia="en-NZ"/>
        </w:rPr>
        <w:t>Employment rates after seven years are highest for young domestic graduates who have completed a bachelors degree in medical studies (63 percent).  They are also high</w:t>
      </w:r>
      <w:r w:rsidR="00337CE9">
        <w:rPr>
          <w:lang w:eastAsia="en-NZ"/>
        </w:rPr>
        <w:t>,</w:t>
      </w:r>
      <w:r>
        <w:rPr>
          <w:lang w:eastAsia="en-NZ"/>
        </w:rPr>
        <w:t xml:space="preserve"> seven years after study, with more than half of young, domestic graduates employed, for those </w:t>
      </w:r>
      <w:r>
        <w:rPr>
          <w:lang w:eastAsia="en-NZ"/>
        </w:rPr>
        <w:lastRenderedPageBreak/>
        <w:t>who study</w:t>
      </w:r>
      <w:r w:rsidR="00A215C7" w:rsidRPr="00A215C7">
        <w:rPr>
          <w:lang w:eastAsia="en-NZ"/>
        </w:rPr>
        <w:t xml:space="preserve"> </w:t>
      </w:r>
      <w:r w:rsidR="00A215C7">
        <w:rPr>
          <w:lang w:eastAsia="en-NZ"/>
        </w:rPr>
        <w:t xml:space="preserve">veterinary studies (60 percent), </w:t>
      </w:r>
      <w:r>
        <w:rPr>
          <w:lang w:eastAsia="en-NZ"/>
        </w:rPr>
        <w:t xml:space="preserve"> </w:t>
      </w:r>
      <w:r w:rsidR="00A215C7">
        <w:rPr>
          <w:lang w:eastAsia="en-NZ"/>
        </w:rPr>
        <w:t xml:space="preserve">public or </w:t>
      </w:r>
      <w:r>
        <w:rPr>
          <w:lang w:eastAsia="en-NZ"/>
        </w:rPr>
        <w:t>other health (</w:t>
      </w:r>
      <w:r w:rsidR="00A215C7">
        <w:rPr>
          <w:lang w:eastAsia="en-NZ"/>
        </w:rPr>
        <w:t xml:space="preserve">both </w:t>
      </w:r>
      <w:r>
        <w:rPr>
          <w:lang w:eastAsia="en-NZ"/>
        </w:rPr>
        <w:t>5</w:t>
      </w:r>
      <w:r w:rsidR="00A215C7">
        <w:rPr>
          <w:lang w:eastAsia="en-NZ"/>
        </w:rPr>
        <w:t>8</w:t>
      </w:r>
      <w:r>
        <w:rPr>
          <w:lang w:eastAsia="en-NZ"/>
        </w:rPr>
        <w:t xml:space="preserve"> percent), and nursing (5</w:t>
      </w:r>
      <w:r w:rsidR="00A215C7">
        <w:rPr>
          <w:lang w:eastAsia="en-NZ"/>
        </w:rPr>
        <w:t>5</w:t>
      </w:r>
      <w:r>
        <w:rPr>
          <w:lang w:eastAsia="en-NZ"/>
        </w:rPr>
        <w:t xml:space="preserve"> percent).  Part of the reason for these higher employment rates is because </w:t>
      </w:r>
      <w:r w:rsidR="00337CE9">
        <w:rPr>
          <w:lang w:eastAsia="en-NZ"/>
        </w:rPr>
        <w:t xml:space="preserve">fewer </w:t>
      </w:r>
      <w:r>
        <w:rPr>
          <w:lang w:eastAsia="en-NZ"/>
        </w:rPr>
        <w:t xml:space="preserve">graduates who complete a qualification in these narrow fields of study go overseas. </w:t>
      </w:r>
    </w:p>
    <w:p w:rsidR="00086B44" w:rsidRPr="00224CCA" w:rsidRDefault="00086B44" w:rsidP="00EA4871">
      <w:pPr>
        <w:pStyle w:val="BodyText"/>
        <w:numPr>
          <w:ilvl w:val="0"/>
          <w:numId w:val="51"/>
        </w:numPr>
      </w:pPr>
      <w:r w:rsidRPr="00F7537D">
        <w:rPr>
          <w:lang w:eastAsia="en-NZ"/>
        </w:rPr>
        <w:t xml:space="preserve">Further study rates are high in the first year after study for </w:t>
      </w:r>
      <w:r w:rsidR="00361BB3">
        <w:rPr>
          <w:lang w:eastAsia="en-NZ"/>
        </w:rPr>
        <w:t xml:space="preserve">nursing and </w:t>
      </w:r>
      <w:r w:rsidRPr="00F7537D">
        <w:rPr>
          <w:lang w:eastAsia="en-NZ"/>
        </w:rPr>
        <w:t>public health</w:t>
      </w:r>
      <w:r w:rsidR="00361BB3">
        <w:rPr>
          <w:lang w:eastAsia="en-NZ"/>
        </w:rPr>
        <w:t xml:space="preserve"> </w:t>
      </w:r>
      <w:r w:rsidRPr="00F7537D">
        <w:rPr>
          <w:lang w:eastAsia="en-NZ"/>
        </w:rPr>
        <w:t>(</w:t>
      </w:r>
      <w:r w:rsidR="00361BB3">
        <w:rPr>
          <w:lang w:eastAsia="en-NZ"/>
        </w:rPr>
        <w:t xml:space="preserve">both </w:t>
      </w:r>
      <w:r w:rsidRPr="00F7537D">
        <w:rPr>
          <w:lang w:eastAsia="en-NZ"/>
        </w:rPr>
        <w:t>63 percent), and other health (4</w:t>
      </w:r>
      <w:r w:rsidR="006D6B24">
        <w:rPr>
          <w:lang w:eastAsia="en-NZ"/>
        </w:rPr>
        <w:t>5</w:t>
      </w:r>
      <w:r w:rsidRPr="00F7537D">
        <w:rPr>
          <w:lang w:eastAsia="en-NZ"/>
        </w:rPr>
        <w:t xml:space="preserve"> percent) young domestic graduates.  </w:t>
      </w:r>
      <w:r w:rsidR="00337CE9">
        <w:rPr>
          <w:lang w:eastAsia="en-NZ"/>
        </w:rPr>
        <w:t>But</w:t>
      </w:r>
      <w:r w:rsidR="00337CE9" w:rsidRPr="00F7537D">
        <w:rPr>
          <w:lang w:eastAsia="en-NZ"/>
        </w:rPr>
        <w:t xml:space="preserve"> </w:t>
      </w:r>
      <w:r w:rsidRPr="00F7537D">
        <w:rPr>
          <w:lang w:eastAsia="en-NZ"/>
        </w:rPr>
        <w:t>graduates in all of the other health related narrow fields of study have relatively low further study rates</w:t>
      </w:r>
      <w:r w:rsidR="00760452">
        <w:rPr>
          <w:lang w:eastAsia="en-NZ"/>
        </w:rPr>
        <w:t xml:space="preserve"> in all of the first seven years after study: these are </w:t>
      </w:r>
      <w:r w:rsidRPr="00F7537D">
        <w:rPr>
          <w:lang w:eastAsia="en-NZ"/>
        </w:rPr>
        <w:t xml:space="preserve">less than </w:t>
      </w:r>
      <w:r w:rsidR="00337CE9">
        <w:rPr>
          <w:lang w:eastAsia="en-NZ"/>
        </w:rPr>
        <w:t>20</w:t>
      </w:r>
      <w:r w:rsidR="00337CE9" w:rsidRPr="00F7537D">
        <w:rPr>
          <w:lang w:eastAsia="en-NZ"/>
        </w:rPr>
        <w:t xml:space="preserve"> </w:t>
      </w:r>
      <w:r w:rsidR="00760452">
        <w:rPr>
          <w:lang w:eastAsia="en-NZ"/>
        </w:rPr>
        <w:t>percent in all cases except for the second year after study for medical studies graduates where the rate is 28 percent.</w:t>
      </w:r>
    </w:p>
    <w:p w:rsidR="00086B44" w:rsidRDefault="00086B44" w:rsidP="00EA4871">
      <w:pPr>
        <w:pStyle w:val="BodyText"/>
        <w:numPr>
          <w:ilvl w:val="0"/>
          <w:numId w:val="51"/>
        </w:numPr>
        <w:rPr>
          <w:lang w:eastAsia="en-NZ"/>
        </w:rPr>
      </w:pPr>
      <w:r w:rsidRPr="00224CCA">
        <w:rPr>
          <w:lang w:eastAsia="en-NZ"/>
        </w:rPr>
        <w:t xml:space="preserve">The percentage of </w:t>
      </w:r>
      <w:r w:rsidR="00337CE9" w:rsidRPr="00224CCA">
        <w:rPr>
          <w:lang w:eastAsia="en-NZ"/>
        </w:rPr>
        <w:t xml:space="preserve">young domestic </w:t>
      </w:r>
      <w:r w:rsidRPr="00224CCA">
        <w:rPr>
          <w:lang w:eastAsia="en-NZ"/>
        </w:rPr>
        <w:t xml:space="preserve">graduates who go overseas increases </w:t>
      </w:r>
      <w:r w:rsidR="006D6B24">
        <w:rPr>
          <w:lang w:eastAsia="en-NZ"/>
        </w:rPr>
        <w:t xml:space="preserve">in the first few years after study </w:t>
      </w:r>
      <w:r w:rsidRPr="00224CCA">
        <w:rPr>
          <w:lang w:eastAsia="en-NZ"/>
        </w:rPr>
        <w:t>in all narrow fields of health</w:t>
      </w:r>
      <w:r w:rsidR="006D6B24">
        <w:rPr>
          <w:lang w:eastAsia="en-NZ"/>
        </w:rPr>
        <w:t xml:space="preserve">.  However, the rate starts to plateau after five to six years and even shows some signs of decreasing by the seventh year.  There are differences between narrow fields in the level that the rate </w:t>
      </w:r>
      <w:r w:rsidR="00337CE9">
        <w:rPr>
          <w:lang w:eastAsia="en-NZ"/>
        </w:rPr>
        <w:t xml:space="preserve">appears to plateau </w:t>
      </w:r>
      <w:r w:rsidR="006D6B24">
        <w:rPr>
          <w:lang w:eastAsia="en-NZ"/>
        </w:rPr>
        <w:t>at</w:t>
      </w:r>
      <w:r w:rsidR="003D74CD">
        <w:rPr>
          <w:lang w:eastAsia="en-NZ"/>
        </w:rPr>
        <w:t>: after s</w:t>
      </w:r>
      <w:r w:rsidR="005B0348">
        <w:rPr>
          <w:lang w:eastAsia="en-NZ"/>
        </w:rPr>
        <w:t>even</w:t>
      </w:r>
      <w:r w:rsidR="003D74CD">
        <w:rPr>
          <w:lang w:eastAsia="en-NZ"/>
        </w:rPr>
        <w:t xml:space="preserve"> years, the percentage of young domestic graduates who are overseas is</w:t>
      </w:r>
      <w:r>
        <w:rPr>
          <w:lang w:eastAsia="en-NZ"/>
        </w:rPr>
        <w:t xml:space="preserve"> highest for pharmacy (</w:t>
      </w:r>
      <w:r w:rsidR="003D74CD">
        <w:rPr>
          <w:lang w:eastAsia="en-NZ"/>
        </w:rPr>
        <w:t>39</w:t>
      </w:r>
      <w:r>
        <w:rPr>
          <w:lang w:eastAsia="en-NZ"/>
        </w:rPr>
        <w:t xml:space="preserve"> percent) </w:t>
      </w:r>
      <w:r w:rsidR="003D74CD">
        <w:rPr>
          <w:lang w:eastAsia="en-NZ"/>
        </w:rPr>
        <w:t>and radiography (35 percent)</w:t>
      </w:r>
      <w:r w:rsidR="005B0348">
        <w:rPr>
          <w:rStyle w:val="FootnoteReference"/>
          <w:lang w:eastAsia="en-NZ"/>
        </w:rPr>
        <w:footnoteReference w:id="10"/>
      </w:r>
      <w:r w:rsidR="005B0348">
        <w:rPr>
          <w:lang w:eastAsia="en-NZ"/>
        </w:rPr>
        <w:t xml:space="preserve">.  </w:t>
      </w:r>
      <w:r w:rsidR="00337CE9">
        <w:rPr>
          <w:lang w:eastAsia="en-NZ"/>
        </w:rPr>
        <w:t xml:space="preserve">But </w:t>
      </w:r>
      <w:r w:rsidR="003D74CD">
        <w:rPr>
          <w:lang w:eastAsia="en-NZ"/>
        </w:rPr>
        <w:t xml:space="preserve">the overseas rate is lowest for those who study medical studies (26 percent), </w:t>
      </w:r>
      <w:r w:rsidR="00A96A3A">
        <w:rPr>
          <w:lang w:eastAsia="en-NZ"/>
        </w:rPr>
        <w:t>nursing, veterinary studies, or public health (all 25 percent), or other health (23 percent).</w:t>
      </w:r>
    </w:p>
    <w:p w:rsidR="00086B44" w:rsidRDefault="00086B44" w:rsidP="00EA4871">
      <w:pPr>
        <w:pStyle w:val="BodyText"/>
        <w:numPr>
          <w:ilvl w:val="0"/>
          <w:numId w:val="51"/>
        </w:numPr>
        <w:rPr>
          <w:lang w:eastAsia="en-NZ"/>
        </w:rPr>
      </w:pPr>
      <w:r w:rsidRPr="00114595">
        <w:rPr>
          <w:lang w:eastAsia="en-NZ"/>
        </w:rPr>
        <w:t xml:space="preserve">The percentage of young domestic graduates who complete a bachelors degree in any health narrow field of study </w:t>
      </w:r>
      <w:r w:rsidR="006D6B24">
        <w:rPr>
          <w:lang w:eastAsia="en-NZ"/>
        </w:rPr>
        <w:t xml:space="preserve">and go on a benefit </w:t>
      </w:r>
      <w:r w:rsidR="00A85C14">
        <w:rPr>
          <w:lang w:eastAsia="en-NZ"/>
        </w:rPr>
        <w:t xml:space="preserve">is very low, </w:t>
      </w:r>
      <w:r w:rsidR="006D6B24">
        <w:rPr>
          <w:lang w:eastAsia="en-NZ"/>
        </w:rPr>
        <w:t>1</w:t>
      </w:r>
      <w:r w:rsidRPr="00114595">
        <w:rPr>
          <w:lang w:eastAsia="en-NZ"/>
        </w:rPr>
        <w:t xml:space="preserve"> percent </w:t>
      </w:r>
      <w:r w:rsidR="00A85C14">
        <w:rPr>
          <w:lang w:eastAsia="en-NZ"/>
        </w:rPr>
        <w:t xml:space="preserve">or less </w:t>
      </w:r>
      <w:r w:rsidRPr="00114595">
        <w:rPr>
          <w:lang w:eastAsia="en-NZ"/>
        </w:rPr>
        <w:t>in almost all cases</w:t>
      </w:r>
      <w:r>
        <w:rPr>
          <w:lang w:eastAsia="en-NZ"/>
        </w:rPr>
        <w:t>.</w:t>
      </w:r>
    </w:p>
    <w:p w:rsidR="0070533B" w:rsidRDefault="0070533B" w:rsidP="00A54D60">
      <w:pPr>
        <w:pStyle w:val="Heading3"/>
        <w:rPr>
          <w:lang w:eastAsia="en-NZ"/>
        </w:rPr>
      </w:pPr>
    </w:p>
    <w:p w:rsidR="00A54D60" w:rsidRPr="0054476E" w:rsidRDefault="00A54D60" w:rsidP="00A54D60">
      <w:pPr>
        <w:pStyle w:val="Heading3"/>
        <w:rPr>
          <w:lang w:eastAsia="en-NZ"/>
        </w:rPr>
      </w:pPr>
      <w:r>
        <w:rPr>
          <w:lang w:eastAsia="en-NZ"/>
        </w:rPr>
        <w:t>Society and Culture</w:t>
      </w:r>
    </w:p>
    <w:p w:rsidR="00A54D60" w:rsidRDefault="00A54D60" w:rsidP="00A54D60">
      <w:pPr>
        <w:pStyle w:val="BodyText"/>
        <w:rPr>
          <w:lang w:eastAsia="en-NZ"/>
        </w:rPr>
      </w:pPr>
      <w:r>
        <w:rPr>
          <w:lang w:eastAsia="en-NZ"/>
        </w:rPr>
        <w:t>The broad field of study of society and culture encompasses the following narrow fields of study:</w:t>
      </w:r>
    </w:p>
    <w:p w:rsidR="00CB621B" w:rsidRDefault="00CB621B" w:rsidP="00CB621B">
      <w:pPr>
        <w:pStyle w:val="BodyText"/>
        <w:numPr>
          <w:ilvl w:val="0"/>
          <w:numId w:val="64"/>
        </w:numPr>
        <w:rPr>
          <w:lang w:eastAsia="en-NZ"/>
        </w:rPr>
      </w:pPr>
      <w:r>
        <w:rPr>
          <w:lang w:eastAsia="en-NZ"/>
        </w:rPr>
        <w:t>Political Science and Policy Studies</w:t>
      </w:r>
    </w:p>
    <w:p w:rsidR="00CB621B" w:rsidRDefault="00CB621B" w:rsidP="00CB621B">
      <w:pPr>
        <w:pStyle w:val="BodyText"/>
        <w:numPr>
          <w:ilvl w:val="0"/>
          <w:numId w:val="64"/>
        </w:numPr>
        <w:rPr>
          <w:lang w:eastAsia="en-NZ"/>
        </w:rPr>
      </w:pPr>
      <w:r>
        <w:rPr>
          <w:lang w:eastAsia="en-NZ"/>
        </w:rPr>
        <w:t>Studies in Human Society</w:t>
      </w:r>
    </w:p>
    <w:p w:rsidR="00CB621B" w:rsidRDefault="00CB621B" w:rsidP="00CB621B">
      <w:pPr>
        <w:pStyle w:val="BodyText"/>
        <w:numPr>
          <w:ilvl w:val="0"/>
          <w:numId w:val="64"/>
        </w:numPr>
        <w:rPr>
          <w:lang w:eastAsia="en-NZ"/>
        </w:rPr>
      </w:pPr>
      <w:r>
        <w:rPr>
          <w:lang w:eastAsia="en-NZ"/>
        </w:rPr>
        <w:t>Human Welfare Studies and Services</w:t>
      </w:r>
    </w:p>
    <w:p w:rsidR="00CB621B" w:rsidRDefault="00CB621B" w:rsidP="00CB621B">
      <w:pPr>
        <w:pStyle w:val="BodyText"/>
        <w:numPr>
          <w:ilvl w:val="0"/>
          <w:numId w:val="64"/>
        </w:numPr>
        <w:rPr>
          <w:lang w:eastAsia="en-NZ"/>
        </w:rPr>
      </w:pPr>
      <w:r>
        <w:rPr>
          <w:lang w:eastAsia="en-NZ"/>
        </w:rPr>
        <w:t>Behavioural Science</w:t>
      </w:r>
    </w:p>
    <w:p w:rsidR="00CB621B" w:rsidRDefault="00CB621B" w:rsidP="00CB621B">
      <w:pPr>
        <w:pStyle w:val="BodyText"/>
        <w:numPr>
          <w:ilvl w:val="0"/>
          <w:numId w:val="64"/>
        </w:numPr>
        <w:rPr>
          <w:lang w:eastAsia="en-NZ"/>
        </w:rPr>
      </w:pPr>
      <w:r>
        <w:rPr>
          <w:lang w:eastAsia="en-NZ"/>
        </w:rPr>
        <w:t>Law</w:t>
      </w:r>
    </w:p>
    <w:p w:rsidR="00CB621B" w:rsidRDefault="00CB621B" w:rsidP="00CB621B">
      <w:pPr>
        <w:pStyle w:val="BodyText"/>
        <w:numPr>
          <w:ilvl w:val="0"/>
          <w:numId w:val="64"/>
        </w:numPr>
        <w:rPr>
          <w:lang w:eastAsia="en-NZ"/>
        </w:rPr>
      </w:pPr>
      <w:r>
        <w:rPr>
          <w:lang w:eastAsia="en-NZ"/>
        </w:rPr>
        <w:t>Justice and Law Enforcement</w:t>
      </w:r>
    </w:p>
    <w:p w:rsidR="00CB621B" w:rsidRDefault="00CB621B" w:rsidP="00CB621B">
      <w:pPr>
        <w:pStyle w:val="BodyText"/>
        <w:numPr>
          <w:ilvl w:val="0"/>
          <w:numId w:val="64"/>
        </w:numPr>
        <w:rPr>
          <w:lang w:eastAsia="en-NZ"/>
        </w:rPr>
      </w:pPr>
      <w:r>
        <w:rPr>
          <w:lang w:eastAsia="en-NZ"/>
        </w:rPr>
        <w:t>Language and Literature</w:t>
      </w:r>
    </w:p>
    <w:p w:rsidR="00CB621B" w:rsidRDefault="00CB621B" w:rsidP="00CB621B">
      <w:pPr>
        <w:pStyle w:val="BodyText"/>
        <w:numPr>
          <w:ilvl w:val="0"/>
          <w:numId w:val="64"/>
        </w:numPr>
        <w:rPr>
          <w:lang w:eastAsia="en-NZ"/>
        </w:rPr>
      </w:pPr>
      <w:r>
        <w:rPr>
          <w:lang w:eastAsia="en-NZ"/>
        </w:rPr>
        <w:t>Philosophy and Religious Studies</w:t>
      </w:r>
    </w:p>
    <w:p w:rsidR="00CB621B" w:rsidRDefault="00CB621B" w:rsidP="00CB621B">
      <w:pPr>
        <w:pStyle w:val="BodyText"/>
        <w:numPr>
          <w:ilvl w:val="0"/>
          <w:numId w:val="64"/>
        </w:numPr>
        <w:rPr>
          <w:lang w:eastAsia="en-NZ"/>
        </w:rPr>
      </w:pPr>
      <w:r>
        <w:rPr>
          <w:lang w:eastAsia="en-NZ"/>
        </w:rPr>
        <w:t>Economics and Econometrics</w:t>
      </w:r>
    </w:p>
    <w:p w:rsidR="00CB621B" w:rsidRDefault="00CB621B" w:rsidP="00CB621B">
      <w:pPr>
        <w:pStyle w:val="BodyText"/>
        <w:numPr>
          <w:ilvl w:val="0"/>
          <w:numId w:val="64"/>
        </w:numPr>
        <w:rPr>
          <w:lang w:eastAsia="en-NZ"/>
        </w:rPr>
      </w:pPr>
      <w:r>
        <w:rPr>
          <w:lang w:eastAsia="en-NZ"/>
        </w:rPr>
        <w:t>Sport and Recreation</w:t>
      </w:r>
    </w:p>
    <w:p w:rsidR="00CB621B" w:rsidRDefault="00CB621B" w:rsidP="00CB621B">
      <w:pPr>
        <w:pStyle w:val="BodyText"/>
        <w:numPr>
          <w:ilvl w:val="0"/>
          <w:numId w:val="64"/>
        </w:numPr>
        <w:rPr>
          <w:lang w:eastAsia="en-NZ"/>
        </w:rPr>
      </w:pPr>
      <w:r>
        <w:rPr>
          <w:lang w:eastAsia="en-NZ"/>
        </w:rPr>
        <w:t>Other Society and Culture</w:t>
      </w:r>
    </w:p>
    <w:p w:rsidR="00C9190D" w:rsidRDefault="00C9190D" w:rsidP="00C9190D">
      <w:pPr>
        <w:pStyle w:val="BodyText"/>
        <w:rPr>
          <w:lang w:eastAsia="en-NZ"/>
        </w:rPr>
      </w:pPr>
      <w:r>
        <w:rPr>
          <w:lang w:eastAsia="en-NZ"/>
        </w:rPr>
        <w:lastRenderedPageBreak/>
        <w:t xml:space="preserve">Looking at what graduates from each of these narrow </w:t>
      </w:r>
      <w:r w:rsidR="00437DD8">
        <w:rPr>
          <w:lang w:eastAsia="en-NZ"/>
        </w:rPr>
        <w:t>fields of study do (see Figure 8</w:t>
      </w:r>
      <w:r>
        <w:rPr>
          <w:lang w:eastAsia="en-NZ"/>
        </w:rPr>
        <w:t xml:space="preserve">), we can see that: </w:t>
      </w:r>
    </w:p>
    <w:p w:rsidR="00DF25FD" w:rsidRDefault="0070533B" w:rsidP="0070533B">
      <w:pPr>
        <w:pStyle w:val="BodyText"/>
        <w:numPr>
          <w:ilvl w:val="0"/>
          <w:numId w:val="64"/>
        </w:numPr>
        <w:rPr>
          <w:lang w:eastAsia="en-NZ"/>
        </w:rPr>
      </w:pPr>
      <w:r>
        <w:rPr>
          <w:lang w:eastAsia="en-NZ"/>
        </w:rPr>
        <w:t>Employment rates increase over the first two to three years for most narrow fields of study, and then stabilise</w:t>
      </w:r>
      <w:r w:rsidR="003179AA">
        <w:rPr>
          <w:lang w:eastAsia="en-NZ"/>
        </w:rPr>
        <w:t>,</w:t>
      </w:r>
      <w:r>
        <w:rPr>
          <w:lang w:eastAsia="en-NZ"/>
        </w:rPr>
        <w:t xml:space="preserve"> with around half of all young domestic graduates in employment by seven years after study.  The percentage of graduates in employment is highest for those who study sport and recreation (</w:t>
      </w:r>
      <w:r w:rsidR="00DF25FD">
        <w:rPr>
          <w:lang w:eastAsia="en-NZ"/>
        </w:rPr>
        <w:t>59 percent after seven years)</w:t>
      </w:r>
      <w:r w:rsidR="007A2F03">
        <w:rPr>
          <w:lang w:eastAsia="en-NZ"/>
        </w:rPr>
        <w:t xml:space="preserve"> and human welfare</w:t>
      </w:r>
      <w:r w:rsidR="00636429">
        <w:rPr>
          <w:lang w:eastAsia="en-NZ"/>
        </w:rPr>
        <w:t xml:space="preserve"> studies and services</w:t>
      </w:r>
      <w:r w:rsidR="007A2F03">
        <w:rPr>
          <w:rStyle w:val="FootnoteReference"/>
          <w:lang w:eastAsia="en-NZ"/>
        </w:rPr>
        <w:footnoteReference w:id="11"/>
      </w:r>
      <w:r w:rsidR="007A2F03">
        <w:rPr>
          <w:lang w:eastAsia="en-NZ"/>
        </w:rPr>
        <w:t xml:space="preserve"> (57 percent)</w:t>
      </w:r>
      <w:r w:rsidR="00DF25FD">
        <w:rPr>
          <w:lang w:eastAsia="en-NZ"/>
        </w:rPr>
        <w:t>.  Employment rates are slightly lower</w:t>
      </w:r>
      <w:r w:rsidR="00DF25FD" w:rsidRPr="00DF25FD">
        <w:rPr>
          <w:lang w:eastAsia="en-NZ"/>
        </w:rPr>
        <w:t xml:space="preserve"> </w:t>
      </w:r>
      <w:r w:rsidR="00DF25FD">
        <w:rPr>
          <w:lang w:eastAsia="en-NZ"/>
        </w:rPr>
        <w:t>for graduates who study philosophy and religious studies (43 percent) and behavioural science (45 percent)</w:t>
      </w:r>
      <w:r w:rsidR="003179AA">
        <w:rPr>
          <w:lang w:eastAsia="en-NZ"/>
        </w:rPr>
        <w:t>.</w:t>
      </w:r>
      <w:r w:rsidR="00DF25FD">
        <w:rPr>
          <w:lang w:eastAsia="en-NZ"/>
        </w:rPr>
        <w:t xml:space="preserve"> </w:t>
      </w:r>
      <w:r w:rsidR="003179AA">
        <w:rPr>
          <w:lang w:eastAsia="en-NZ"/>
        </w:rPr>
        <w:t xml:space="preserve"> H</w:t>
      </w:r>
      <w:r w:rsidR="00DF25FD">
        <w:rPr>
          <w:lang w:eastAsia="en-NZ"/>
        </w:rPr>
        <w:t>owever these percentages are not much lower than the average for all young domestic society and culture graduates</w:t>
      </w:r>
      <w:r w:rsidR="003179AA">
        <w:rPr>
          <w:lang w:eastAsia="en-NZ"/>
        </w:rPr>
        <w:t xml:space="preserve"> (49 percent)</w:t>
      </w:r>
      <w:r w:rsidR="00DF25FD">
        <w:rPr>
          <w:lang w:eastAsia="en-NZ"/>
        </w:rPr>
        <w:t>.</w:t>
      </w:r>
    </w:p>
    <w:p w:rsidR="008C0E70" w:rsidRDefault="00413CF9" w:rsidP="0070533B">
      <w:pPr>
        <w:pStyle w:val="BodyText"/>
        <w:numPr>
          <w:ilvl w:val="0"/>
          <w:numId w:val="64"/>
        </w:numPr>
        <w:rPr>
          <w:lang w:eastAsia="en-NZ"/>
        </w:rPr>
      </w:pPr>
      <w:r>
        <w:rPr>
          <w:lang w:eastAsia="en-NZ"/>
        </w:rPr>
        <w:t xml:space="preserve">Employment rates for law graduates </w:t>
      </w:r>
      <w:r w:rsidR="008C0E70">
        <w:rPr>
          <w:lang w:eastAsia="en-NZ"/>
        </w:rPr>
        <w:t xml:space="preserve">follow a </w:t>
      </w:r>
      <w:r w:rsidR="004D5511">
        <w:rPr>
          <w:lang w:eastAsia="en-NZ"/>
        </w:rPr>
        <w:t>slightly different trend as these</w:t>
      </w:r>
      <w:r w:rsidR="008C0E70">
        <w:rPr>
          <w:lang w:eastAsia="en-NZ"/>
        </w:rPr>
        <w:t xml:space="preserve"> increase sharply </w:t>
      </w:r>
      <w:r w:rsidR="004D5511">
        <w:rPr>
          <w:lang w:eastAsia="en-NZ"/>
        </w:rPr>
        <w:t>from the first</w:t>
      </w:r>
      <w:r w:rsidR="008C0E70">
        <w:rPr>
          <w:lang w:eastAsia="en-NZ"/>
        </w:rPr>
        <w:t xml:space="preserve"> to second year after study</w:t>
      </w:r>
      <w:r w:rsidR="007A2F03">
        <w:rPr>
          <w:lang w:eastAsia="en-NZ"/>
        </w:rPr>
        <w:t xml:space="preserve"> and then drop again in subsequent years.  Part of the reason for the initial</w:t>
      </w:r>
      <w:r w:rsidR="008C0E70">
        <w:rPr>
          <w:lang w:eastAsia="en-NZ"/>
        </w:rPr>
        <w:t xml:space="preserve"> increase will be that many </w:t>
      </w:r>
      <w:r w:rsidR="004D5511">
        <w:rPr>
          <w:lang w:eastAsia="en-NZ"/>
        </w:rPr>
        <w:t xml:space="preserve">law </w:t>
      </w:r>
      <w:r w:rsidR="008C0E70">
        <w:rPr>
          <w:lang w:eastAsia="en-NZ"/>
        </w:rPr>
        <w:t xml:space="preserve">bachelors graduates continue </w:t>
      </w:r>
      <w:r w:rsidR="003179AA">
        <w:rPr>
          <w:lang w:eastAsia="en-NZ"/>
        </w:rPr>
        <w:t xml:space="preserve">studying </w:t>
      </w:r>
      <w:r w:rsidR="008C0E70">
        <w:rPr>
          <w:lang w:eastAsia="en-NZ"/>
        </w:rPr>
        <w:t xml:space="preserve">to complete their ‘professionals’ in the first year after completion of their bachelors qualification, so are initially classified in the further study destination.  Job prospects are very good for those who have completed this additional qualification and employment rates are </w:t>
      </w:r>
      <w:r w:rsidR="009167D2">
        <w:rPr>
          <w:lang w:eastAsia="en-NZ"/>
        </w:rPr>
        <w:t xml:space="preserve">consequently </w:t>
      </w:r>
      <w:r w:rsidR="008C0E70">
        <w:rPr>
          <w:lang w:eastAsia="en-NZ"/>
        </w:rPr>
        <w:t>high in the second and third years after completion of the ini</w:t>
      </w:r>
      <w:r w:rsidR="007A2F03">
        <w:rPr>
          <w:lang w:eastAsia="en-NZ"/>
        </w:rPr>
        <w:t xml:space="preserve">tial bachelors </w:t>
      </w:r>
      <w:r w:rsidR="008C0E70">
        <w:rPr>
          <w:lang w:eastAsia="en-NZ"/>
        </w:rPr>
        <w:t>qualification.  The number of graduates in employment t</w:t>
      </w:r>
      <w:r w:rsidR="004D5511">
        <w:rPr>
          <w:lang w:eastAsia="en-NZ"/>
        </w:rPr>
        <w:t>hen drops a little in subsequen</w:t>
      </w:r>
      <w:r w:rsidR="008C0E70">
        <w:rPr>
          <w:lang w:eastAsia="en-NZ"/>
        </w:rPr>
        <w:t>t years as the number of graduates who go overseas increases.</w:t>
      </w:r>
    </w:p>
    <w:p w:rsidR="007A2F03" w:rsidRDefault="0070533B" w:rsidP="007A2F03">
      <w:pPr>
        <w:pStyle w:val="BodyText"/>
        <w:numPr>
          <w:ilvl w:val="0"/>
          <w:numId w:val="64"/>
        </w:numPr>
        <w:rPr>
          <w:lang w:eastAsia="en-NZ"/>
        </w:rPr>
      </w:pPr>
      <w:r>
        <w:rPr>
          <w:lang w:eastAsia="en-NZ"/>
        </w:rPr>
        <w:t xml:space="preserve">Further study rates </w:t>
      </w:r>
      <w:r w:rsidR="004D5511">
        <w:rPr>
          <w:lang w:eastAsia="en-NZ"/>
        </w:rPr>
        <w:t>are high in the first year post study for almost all narrow fields of study</w:t>
      </w:r>
      <w:r w:rsidR="00122D55">
        <w:rPr>
          <w:lang w:eastAsia="en-NZ"/>
        </w:rPr>
        <w:t xml:space="preserve">: </w:t>
      </w:r>
      <w:r w:rsidR="004D5511">
        <w:rPr>
          <w:lang w:eastAsia="en-NZ"/>
        </w:rPr>
        <w:t xml:space="preserve">from </w:t>
      </w:r>
      <w:r w:rsidR="007A2F03">
        <w:rPr>
          <w:lang w:eastAsia="en-NZ"/>
        </w:rPr>
        <w:t>38</w:t>
      </w:r>
      <w:r w:rsidR="004D5511">
        <w:rPr>
          <w:lang w:eastAsia="en-NZ"/>
        </w:rPr>
        <w:t xml:space="preserve"> percent for young domestic </w:t>
      </w:r>
      <w:r w:rsidR="00122D55">
        <w:rPr>
          <w:lang w:eastAsia="en-NZ"/>
        </w:rPr>
        <w:t xml:space="preserve">graduates who have studied </w:t>
      </w:r>
      <w:r w:rsidR="004D5511">
        <w:rPr>
          <w:lang w:eastAsia="en-NZ"/>
        </w:rPr>
        <w:t>sport and recreation</w:t>
      </w:r>
      <w:r w:rsidR="007A2F03">
        <w:rPr>
          <w:lang w:eastAsia="en-NZ"/>
        </w:rPr>
        <w:t>, and economics and econometrics</w:t>
      </w:r>
      <w:r w:rsidR="004D5511">
        <w:rPr>
          <w:lang w:eastAsia="en-NZ"/>
        </w:rPr>
        <w:t xml:space="preserve"> to </w:t>
      </w:r>
      <w:r w:rsidR="00122D55">
        <w:rPr>
          <w:lang w:eastAsia="en-NZ"/>
        </w:rPr>
        <w:t xml:space="preserve">54 percent for law graduates and </w:t>
      </w:r>
      <w:r w:rsidR="007A2F03">
        <w:rPr>
          <w:lang w:eastAsia="en-NZ"/>
        </w:rPr>
        <w:t>56</w:t>
      </w:r>
      <w:r w:rsidR="004D5511">
        <w:rPr>
          <w:lang w:eastAsia="en-NZ"/>
        </w:rPr>
        <w:t xml:space="preserve"> percent for political science and policy </w:t>
      </w:r>
      <w:r w:rsidR="009F6147">
        <w:rPr>
          <w:lang w:eastAsia="en-NZ"/>
        </w:rPr>
        <w:t xml:space="preserve">studies </w:t>
      </w:r>
      <w:r w:rsidR="004D5511">
        <w:rPr>
          <w:lang w:eastAsia="en-NZ"/>
        </w:rPr>
        <w:t xml:space="preserve">graduates.  </w:t>
      </w:r>
      <w:r w:rsidR="00122D55">
        <w:rPr>
          <w:lang w:eastAsia="en-NZ"/>
        </w:rPr>
        <w:t>In contrast, h</w:t>
      </w:r>
      <w:r w:rsidR="004D5511">
        <w:rPr>
          <w:lang w:eastAsia="en-NZ"/>
        </w:rPr>
        <w:t xml:space="preserve">uman welfare studies and services graduates </w:t>
      </w:r>
      <w:r w:rsidR="008F7819">
        <w:rPr>
          <w:lang w:eastAsia="en-NZ"/>
        </w:rPr>
        <w:t xml:space="preserve">have lower rates </w:t>
      </w:r>
      <w:r w:rsidR="007A2F03">
        <w:rPr>
          <w:lang w:eastAsia="en-NZ"/>
        </w:rPr>
        <w:t>with 21</w:t>
      </w:r>
      <w:r w:rsidR="004D5511">
        <w:rPr>
          <w:lang w:eastAsia="en-NZ"/>
        </w:rPr>
        <w:t xml:space="preserve"> percent </w:t>
      </w:r>
      <w:r w:rsidR="00122D55">
        <w:rPr>
          <w:lang w:eastAsia="en-NZ"/>
        </w:rPr>
        <w:t xml:space="preserve">of </w:t>
      </w:r>
      <w:r w:rsidR="004D5511">
        <w:rPr>
          <w:lang w:eastAsia="en-NZ"/>
        </w:rPr>
        <w:t>graduates in further study in the first year post study.</w:t>
      </w:r>
    </w:p>
    <w:p w:rsidR="0070533B" w:rsidRDefault="007A2F03" w:rsidP="007A2F03">
      <w:pPr>
        <w:pStyle w:val="BodyText"/>
        <w:numPr>
          <w:ilvl w:val="0"/>
          <w:numId w:val="64"/>
        </w:numPr>
        <w:rPr>
          <w:lang w:eastAsia="en-NZ"/>
        </w:rPr>
      </w:pPr>
      <w:r>
        <w:rPr>
          <w:lang w:eastAsia="en-NZ"/>
        </w:rPr>
        <w:t>The percentage of graduates who go overseas steadily increases over time.  Seven years after study, rates are lowest for those who study human welfare</w:t>
      </w:r>
      <w:r w:rsidR="009F6147">
        <w:rPr>
          <w:lang w:eastAsia="en-NZ"/>
        </w:rPr>
        <w:t xml:space="preserve"> studies and services</w:t>
      </w:r>
      <w:r>
        <w:rPr>
          <w:lang w:eastAsia="en-NZ"/>
        </w:rPr>
        <w:t xml:space="preserve"> </w:t>
      </w:r>
      <w:r w:rsidR="0098044A">
        <w:rPr>
          <w:lang w:eastAsia="en-NZ"/>
        </w:rPr>
        <w:t>(21 percent) and sport and recreation (24 percent), and are highest for young domestic graduates who study economics and econometrics (41 percent), justice and law enforcement (36 percent) and</w:t>
      </w:r>
      <w:r w:rsidR="0098044A" w:rsidRPr="0098044A">
        <w:rPr>
          <w:lang w:eastAsia="en-NZ"/>
        </w:rPr>
        <w:t xml:space="preserve"> </w:t>
      </w:r>
      <w:r w:rsidR="0098044A">
        <w:rPr>
          <w:lang w:eastAsia="en-NZ"/>
        </w:rPr>
        <w:t>law (35 percent).</w:t>
      </w:r>
    </w:p>
    <w:p w:rsidR="0070533B" w:rsidRDefault="0070533B">
      <w:pPr>
        <w:rPr>
          <w:szCs w:val="20"/>
          <w:lang w:eastAsia="en-NZ"/>
        </w:rPr>
      </w:pPr>
      <w:r>
        <w:rPr>
          <w:lang w:eastAsia="en-NZ"/>
        </w:rPr>
        <w:br w:type="page"/>
      </w:r>
    </w:p>
    <w:p w:rsidR="00A54D60" w:rsidRDefault="00A54D60" w:rsidP="00086B44">
      <w:pPr>
        <w:pStyle w:val="BodyText"/>
        <w:rPr>
          <w:lang w:eastAsia="en-NZ"/>
        </w:rPr>
        <w:sectPr w:rsidR="00A54D60" w:rsidSect="00C750C5">
          <w:pgSz w:w="11906" w:h="16838" w:code="9"/>
          <w:pgMar w:top="1418" w:right="1701" w:bottom="1418" w:left="1701" w:header="709" w:footer="709" w:gutter="0"/>
          <w:cols w:space="708"/>
          <w:docGrid w:linePitch="360"/>
        </w:sectPr>
      </w:pPr>
    </w:p>
    <w:p w:rsidR="00F13DBA" w:rsidRDefault="00F13DBA" w:rsidP="00F13DBA">
      <w:pPr>
        <w:pStyle w:val="Caption"/>
      </w:pPr>
      <w:r>
        <w:lastRenderedPageBreak/>
        <w:t xml:space="preserve">Figure </w:t>
      </w:r>
      <w:r w:rsidR="00437DD8">
        <w:t>7</w:t>
      </w:r>
    </w:p>
    <w:p w:rsidR="00F13DBA" w:rsidRDefault="00F13DBA" w:rsidP="00F13DBA">
      <w:pPr>
        <w:pStyle w:val="Figurelabel"/>
        <w:rPr>
          <w:szCs w:val="22"/>
        </w:rPr>
      </w:pPr>
      <w:bookmarkStart w:id="30" w:name="_Toc385923101"/>
      <w:bookmarkStart w:id="31" w:name="_Toc387305361"/>
      <w:r w:rsidRPr="002076A0">
        <w:t>Destinations for young d</w:t>
      </w:r>
      <w:r>
        <w:t>omestic bachelors graduates who study the broad field of health, for the first seven</w:t>
      </w:r>
      <w:r w:rsidRPr="002076A0">
        <w:t xml:space="preserve"> years</w:t>
      </w:r>
      <w:r>
        <w:t xml:space="preserve"> after qualification completion by narrow field of study</w:t>
      </w:r>
      <w:bookmarkEnd w:id="30"/>
      <w:bookmarkEnd w:id="31"/>
    </w:p>
    <w:p w:rsidR="00041834" w:rsidRDefault="00F13DBA" w:rsidP="00C61A9B">
      <w:pPr>
        <w:pStyle w:val="BodyText"/>
        <w:rPr>
          <w:rFonts w:ascii="Arial" w:hAnsi="Arial"/>
          <w:color w:val="303030"/>
          <w:szCs w:val="22"/>
          <w:lang w:eastAsia="en-NZ"/>
        </w:rPr>
      </w:pPr>
      <w:r w:rsidRPr="00F13DBA">
        <w:rPr>
          <w:rFonts w:ascii="Arial" w:hAnsi="Arial"/>
          <w:noProof/>
          <w:color w:val="303030"/>
          <w:szCs w:val="22"/>
          <w:lang w:eastAsia="en-NZ"/>
        </w:rPr>
        <w:drawing>
          <wp:inline distT="0" distB="0" distL="0" distR="0">
            <wp:extent cx="8891270" cy="4420891"/>
            <wp:effectExtent l="19050" t="0" r="508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srcRect/>
                    <a:stretch>
                      <a:fillRect/>
                    </a:stretch>
                  </pic:blipFill>
                  <pic:spPr bwMode="auto">
                    <a:xfrm>
                      <a:off x="0" y="0"/>
                      <a:ext cx="8891270" cy="4420891"/>
                    </a:xfrm>
                    <a:prstGeom prst="rect">
                      <a:avLst/>
                    </a:prstGeom>
                    <a:noFill/>
                    <a:ln w="9525">
                      <a:noFill/>
                      <a:miter lim="800000"/>
                      <a:headEnd/>
                      <a:tailEnd/>
                    </a:ln>
                  </pic:spPr>
                </pic:pic>
              </a:graphicData>
            </a:graphic>
          </wp:inline>
        </w:drawing>
      </w:r>
    </w:p>
    <w:p w:rsidR="00041834" w:rsidRDefault="00041834">
      <w:pPr>
        <w:rPr>
          <w:rFonts w:ascii="Arial" w:hAnsi="Arial"/>
          <w:color w:val="303030"/>
          <w:szCs w:val="22"/>
          <w:lang w:eastAsia="en-NZ"/>
        </w:rPr>
      </w:pPr>
      <w:r>
        <w:rPr>
          <w:rFonts w:ascii="Arial" w:hAnsi="Arial"/>
          <w:color w:val="303030"/>
          <w:szCs w:val="22"/>
          <w:lang w:eastAsia="en-NZ"/>
        </w:rPr>
        <w:br w:type="page"/>
      </w:r>
    </w:p>
    <w:p w:rsidR="00041834" w:rsidRDefault="00041834" w:rsidP="00041834">
      <w:pPr>
        <w:pStyle w:val="Caption"/>
      </w:pPr>
      <w:r>
        <w:lastRenderedPageBreak/>
        <w:t xml:space="preserve">Figure </w:t>
      </w:r>
      <w:r w:rsidR="00437DD8">
        <w:t>8</w:t>
      </w:r>
    </w:p>
    <w:p w:rsidR="00041834" w:rsidRDefault="00041834" w:rsidP="00041834">
      <w:pPr>
        <w:pStyle w:val="Figurelabel"/>
      </w:pPr>
      <w:bookmarkStart w:id="32" w:name="_Toc387305362"/>
      <w:r w:rsidRPr="002076A0">
        <w:t>Destinations for young d</w:t>
      </w:r>
      <w:r>
        <w:t>omestic bachelors graduates who study the broad field of society and culture, for the first seven</w:t>
      </w:r>
      <w:r w:rsidRPr="002076A0">
        <w:t xml:space="preserve"> years</w:t>
      </w:r>
      <w:r>
        <w:t xml:space="preserve"> after qualification completion by narrow field of study</w:t>
      </w:r>
      <w:bookmarkEnd w:id="32"/>
    </w:p>
    <w:p w:rsidR="00041834" w:rsidRPr="00041834" w:rsidRDefault="00041834" w:rsidP="00041834">
      <w:pPr>
        <w:pStyle w:val="BodyText"/>
      </w:pPr>
    </w:p>
    <w:p w:rsidR="00A96A3A" w:rsidRDefault="00041834" w:rsidP="00C61A9B">
      <w:pPr>
        <w:pStyle w:val="BodyText"/>
        <w:rPr>
          <w:rFonts w:ascii="Arial" w:hAnsi="Arial"/>
          <w:color w:val="303030"/>
          <w:szCs w:val="22"/>
          <w:lang w:eastAsia="en-NZ"/>
        </w:rPr>
      </w:pPr>
      <w:r w:rsidRPr="00041834">
        <w:rPr>
          <w:noProof/>
          <w:szCs w:val="22"/>
          <w:lang w:eastAsia="en-NZ"/>
        </w:rPr>
        <w:drawing>
          <wp:inline distT="0" distB="0" distL="0" distR="0">
            <wp:extent cx="8891270" cy="4066961"/>
            <wp:effectExtent l="19050" t="0" r="508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srcRect/>
                    <a:stretch>
                      <a:fillRect/>
                    </a:stretch>
                  </pic:blipFill>
                  <pic:spPr bwMode="auto">
                    <a:xfrm>
                      <a:off x="0" y="0"/>
                      <a:ext cx="8891270" cy="4066961"/>
                    </a:xfrm>
                    <a:prstGeom prst="rect">
                      <a:avLst/>
                    </a:prstGeom>
                    <a:noFill/>
                    <a:ln w="9525">
                      <a:noFill/>
                      <a:miter lim="800000"/>
                      <a:headEnd/>
                      <a:tailEnd/>
                    </a:ln>
                  </pic:spPr>
                </pic:pic>
              </a:graphicData>
            </a:graphic>
          </wp:inline>
        </w:drawing>
      </w:r>
    </w:p>
    <w:p w:rsidR="00A96A3A" w:rsidRDefault="00A96A3A" w:rsidP="00C61A9B">
      <w:pPr>
        <w:pStyle w:val="BodyText"/>
        <w:rPr>
          <w:rFonts w:ascii="Arial" w:hAnsi="Arial"/>
          <w:color w:val="303030"/>
          <w:szCs w:val="22"/>
          <w:lang w:eastAsia="en-NZ"/>
        </w:rPr>
      </w:pPr>
    </w:p>
    <w:p w:rsidR="00A96A3A" w:rsidRPr="00200162" w:rsidRDefault="00A96A3A" w:rsidP="00C61A9B">
      <w:pPr>
        <w:pStyle w:val="BodyText"/>
        <w:rPr>
          <w:rFonts w:ascii="Arial" w:hAnsi="Arial"/>
          <w:color w:val="303030"/>
          <w:szCs w:val="22"/>
          <w:lang w:eastAsia="en-NZ"/>
        </w:rPr>
        <w:sectPr w:rsidR="00A96A3A" w:rsidRPr="00200162" w:rsidSect="00C750C5">
          <w:pgSz w:w="16838" w:h="11906" w:orient="landscape" w:code="9"/>
          <w:pgMar w:top="1701" w:right="1418" w:bottom="1701" w:left="1418" w:header="709" w:footer="709" w:gutter="0"/>
          <w:cols w:space="708"/>
          <w:docGrid w:linePitch="360"/>
        </w:sectPr>
      </w:pPr>
    </w:p>
    <w:p w:rsidR="006611AE" w:rsidRDefault="006611AE" w:rsidP="0069594B">
      <w:pPr>
        <w:pStyle w:val="Heading1"/>
      </w:pPr>
      <w:bookmarkStart w:id="33" w:name="_Toc387305285"/>
      <w:r>
        <w:lastRenderedPageBreak/>
        <w:t>Focusing on graduates who remain in new zealand</w:t>
      </w:r>
      <w:bookmarkEnd w:id="33"/>
    </w:p>
    <w:p w:rsidR="006611AE" w:rsidRDefault="006611AE" w:rsidP="006611AE">
      <w:pPr>
        <w:pStyle w:val="BodyText"/>
        <w:rPr>
          <w:rFonts w:cs="Arial"/>
        </w:rPr>
      </w:pPr>
      <w:r w:rsidRPr="00962BA1">
        <w:rPr>
          <w:rFonts w:cs="Arial"/>
        </w:rPr>
        <w:t xml:space="preserve">If we </w:t>
      </w:r>
      <w:r w:rsidR="005F2A77">
        <w:rPr>
          <w:rFonts w:cs="Arial"/>
        </w:rPr>
        <w:t>focus only on young</w:t>
      </w:r>
      <w:r>
        <w:rPr>
          <w:rFonts w:cs="Arial"/>
        </w:rPr>
        <w:t xml:space="preserve"> domestic graduates who remain in New Zealand in any particular year (see Figure </w:t>
      </w:r>
      <w:r w:rsidR="00437DD8">
        <w:rPr>
          <w:rFonts w:cs="Arial"/>
        </w:rPr>
        <w:t>9</w:t>
      </w:r>
      <w:r>
        <w:rPr>
          <w:rFonts w:cs="Arial"/>
        </w:rPr>
        <w:t>), we can see that</w:t>
      </w:r>
      <w:r w:rsidR="00592F68">
        <w:rPr>
          <w:rFonts w:cs="Arial"/>
        </w:rPr>
        <w:t>,</w:t>
      </w:r>
      <w:r>
        <w:rPr>
          <w:rFonts w:cs="Arial"/>
        </w:rPr>
        <w:t xml:space="preserve"> compared to the trends observed when we look at all </w:t>
      </w:r>
      <w:r w:rsidR="005F2A77">
        <w:rPr>
          <w:rFonts w:cs="Arial"/>
        </w:rPr>
        <w:t xml:space="preserve">young domestic </w:t>
      </w:r>
      <w:r>
        <w:rPr>
          <w:rFonts w:cs="Arial"/>
        </w:rPr>
        <w:t>graduates:</w:t>
      </w:r>
    </w:p>
    <w:p w:rsidR="006611AE" w:rsidRDefault="006611AE" w:rsidP="006611AE">
      <w:pPr>
        <w:pStyle w:val="BodyText"/>
        <w:numPr>
          <w:ilvl w:val="0"/>
          <w:numId w:val="49"/>
        </w:numPr>
        <w:rPr>
          <w:rFonts w:cs="Arial"/>
        </w:rPr>
      </w:pPr>
      <w:r w:rsidRPr="00B137B0">
        <w:rPr>
          <w:rFonts w:cs="Arial"/>
        </w:rPr>
        <w:t>Employment rates increase at a higher rate over time for those who complete a level 1-4 certificate or level 5-7 diploma</w:t>
      </w:r>
      <w:r w:rsidR="00BA52DC">
        <w:rPr>
          <w:rFonts w:cs="Arial"/>
        </w:rPr>
        <w:t xml:space="preserve"> and remain in New Zealand</w:t>
      </w:r>
      <w:r w:rsidRPr="00B137B0">
        <w:rPr>
          <w:rFonts w:cs="Arial"/>
        </w:rPr>
        <w:t>.  Employment rates increase by 20 percent</w:t>
      </w:r>
      <w:r w:rsidR="00423EC0">
        <w:rPr>
          <w:rFonts w:cs="Arial"/>
        </w:rPr>
        <w:t>age points</w:t>
      </w:r>
      <w:r w:rsidRPr="00B137B0">
        <w:rPr>
          <w:rFonts w:cs="Arial"/>
        </w:rPr>
        <w:t xml:space="preserve"> (level 1-3 certificates) to 23 percent</w:t>
      </w:r>
      <w:r w:rsidR="00423EC0">
        <w:rPr>
          <w:rFonts w:cs="Arial"/>
        </w:rPr>
        <w:t>age points</w:t>
      </w:r>
      <w:r w:rsidRPr="00B137B0">
        <w:rPr>
          <w:rFonts w:cs="Arial"/>
        </w:rPr>
        <w:t xml:space="preserve"> (</w:t>
      </w:r>
      <w:r w:rsidR="008C5520">
        <w:rPr>
          <w:rFonts w:cs="Arial"/>
        </w:rPr>
        <w:t xml:space="preserve">level 5-7 </w:t>
      </w:r>
      <w:r w:rsidRPr="00B137B0">
        <w:rPr>
          <w:rFonts w:cs="Arial"/>
        </w:rPr>
        <w:t>diplomas) to 24 percent</w:t>
      </w:r>
      <w:r w:rsidR="00423EC0">
        <w:rPr>
          <w:rFonts w:cs="Arial"/>
        </w:rPr>
        <w:t>age points</w:t>
      </w:r>
      <w:r w:rsidRPr="00B137B0">
        <w:rPr>
          <w:rFonts w:cs="Arial"/>
        </w:rPr>
        <w:t xml:space="preserve"> (level 4 certificates) across the seven years.  On average, these increases are around 10 percent</w:t>
      </w:r>
      <w:r w:rsidR="00423EC0">
        <w:rPr>
          <w:rFonts w:cs="Arial"/>
        </w:rPr>
        <w:t>age points</w:t>
      </w:r>
      <w:r w:rsidRPr="00B137B0">
        <w:rPr>
          <w:rFonts w:cs="Arial"/>
        </w:rPr>
        <w:t xml:space="preserve"> higher than those for all </w:t>
      </w:r>
      <w:r w:rsidR="005F2A77">
        <w:rPr>
          <w:rFonts w:cs="Arial"/>
        </w:rPr>
        <w:t xml:space="preserve">young domestic </w:t>
      </w:r>
      <w:r w:rsidRPr="00B137B0">
        <w:rPr>
          <w:rFonts w:cs="Arial"/>
        </w:rPr>
        <w:t>graduates</w:t>
      </w:r>
      <w:r w:rsidR="00BA52DC">
        <w:rPr>
          <w:rFonts w:cs="Arial"/>
        </w:rPr>
        <w:t xml:space="preserve"> (including those who go overseas)</w:t>
      </w:r>
      <w:r w:rsidRPr="00B137B0">
        <w:rPr>
          <w:rFonts w:cs="Arial"/>
        </w:rPr>
        <w:t>.</w:t>
      </w:r>
    </w:p>
    <w:p w:rsidR="006611AE" w:rsidRDefault="008E5C9A" w:rsidP="006611AE">
      <w:pPr>
        <w:pStyle w:val="BodyText"/>
        <w:numPr>
          <w:ilvl w:val="0"/>
          <w:numId w:val="49"/>
        </w:numPr>
        <w:rPr>
          <w:rFonts w:cs="Arial"/>
        </w:rPr>
      </w:pPr>
      <w:r>
        <w:rPr>
          <w:rFonts w:cs="Arial"/>
        </w:rPr>
        <w:t>When we focus only on those who remain in New Zealand, e</w:t>
      </w:r>
      <w:r w:rsidR="006611AE" w:rsidRPr="00B137B0">
        <w:rPr>
          <w:rFonts w:cs="Arial"/>
        </w:rPr>
        <w:t xml:space="preserve">mployment rates increase over time for bachelors and </w:t>
      </w:r>
      <w:r w:rsidR="008C5520">
        <w:rPr>
          <w:rFonts w:cs="Arial"/>
        </w:rPr>
        <w:t xml:space="preserve">bachelors with </w:t>
      </w:r>
      <w:r w:rsidR="006611AE" w:rsidRPr="00B137B0">
        <w:rPr>
          <w:rFonts w:cs="Arial"/>
        </w:rPr>
        <w:t xml:space="preserve">honours </w:t>
      </w:r>
      <w:r w:rsidR="008C5520">
        <w:rPr>
          <w:rFonts w:cs="Arial"/>
        </w:rPr>
        <w:t xml:space="preserve">and postgraduate certificate or diploma </w:t>
      </w:r>
      <w:r w:rsidR="006611AE" w:rsidRPr="00B137B0">
        <w:rPr>
          <w:rFonts w:cs="Arial"/>
        </w:rPr>
        <w:t>graduates</w:t>
      </w:r>
      <w:r>
        <w:rPr>
          <w:rFonts w:cs="Arial"/>
        </w:rPr>
        <w:t xml:space="preserve"> – whereas the employment rate </w:t>
      </w:r>
      <w:r w:rsidR="007743F4">
        <w:rPr>
          <w:rFonts w:cs="Arial"/>
        </w:rPr>
        <w:t xml:space="preserve">tends to </w:t>
      </w:r>
      <w:r>
        <w:rPr>
          <w:rFonts w:cs="Arial"/>
        </w:rPr>
        <w:t>decrease when we look at the whole cohort</w:t>
      </w:r>
      <w:r w:rsidR="006611AE" w:rsidRPr="00B137B0">
        <w:rPr>
          <w:rFonts w:cs="Arial"/>
        </w:rPr>
        <w:t>.  The difference in the rate of increase compared to all graduates is around 20 percent</w:t>
      </w:r>
      <w:r w:rsidR="00423EC0">
        <w:rPr>
          <w:rFonts w:cs="Arial"/>
        </w:rPr>
        <w:t>age points</w:t>
      </w:r>
      <w:r w:rsidR="00BA52DC">
        <w:rPr>
          <w:rFonts w:cs="Arial"/>
        </w:rPr>
        <w:t xml:space="preserve"> </w:t>
      </w:r>
      <w:r w:rsidR="006611AE" w:rsidRPr="00B137B0">
        <w:rPr>
          <w:rFonts w:cs="Arial"/>
        </w:rPr>
        <w:t>on average</w:t>
      </w:r>
      <w:r w:rsidR="006611AE">
        <w:rPr>
          <w:rFonts w:cs="Arial"/>
        </w:rPr>
        <w:t xml:space="preserve"> (17 percent</w:t>
      </w:r>
      <w:r w:rsidR="00423EC0">
        <w:rPr>
          <w:rFonts w:cs="Arial"/>
        </w:rPr>
        <w:t>age points</w:t>
      </w:r>
      <w:r w:rsidR="006611AE">
        <w:rPr>
          <w:rFonts w:cs="Arial"/>
        </w:rPr>
        <w:t xml:space="preserve"> for bachelors graduates and 22 percent</w:t>
      </w:r>
      <w:r w:rsidR="00423EC0">
        <w:rPr>
          <w:rFonts w:cs="Arial"/>
        </w:rPr>
        <w:t>age points</w:t>
      </w:r>
      <w:r w:rsidR="006611AE">
        <w:rPr>
          <w:rFonts w:cs="Arial"/>
        </w:rPr>
        <w:t xml:space="preserve"> for honours graduates).</w:t>
      </w:r>
      <w:r w:rsidR="006611AE" w:rsidRPr="00B137B0">
        <w:rPr>
          <w:rFonts w:cs="Arial"/>
        </w:rPr>
        <w:t xml:space="preserve">  Employment rates also generally increase for masters and doctorate graduates</w:t>
      </w:r>
      <w:r w:rsidR="00BA52DC">
        <w:rPr>
          <w:rFonts w:cs="Arial"/>
        </w:rPr>
        <w:t>, whereas they</w:t>
      </w:r>
      <w:r w:rsidR="006611AE" w:rsidRPr="00B137B0">
        <w:rPr>
          <w:rFonts w:cs="Arial"/>
        </w:rPr>
        <w:t xml:space="preserve"> drop</w:t>
      </w:r>
      <w:r w:rsidR="00BA52DC">
        <w:rPr>
          <w:rFonts w:cs="Arial"/>
        </w:rPr>
        <w:t xml:space="preserve"> when we look at all graduates, including those who go overseas.  T</w:t>
      </w:r>
      <w:r w:rsidR="006611AE" w:rsidRPr="00B137B0">
        <w:rPr>
          <w:rFonts w:cs="Arial"/>
        </w:rPr>
        <w:t xml:space="preserve">he difference in the rate of increase </w:t>
      </w:r>
      <w:r w:rsidR="00BA52DC">
        <w:rPr>
          <w:rFonts w:cs="Arial"/>
        </w:rPr>
        <w:t xml:space="preserve">is </w:t>
      </w:r>
      <w:r w:rsidR="006611AE" w:rsidRPr="00B137B0">
        <w:rPr>
          <w:rFonts w:cs="Arial"/>
        </w:rPr>
        <w:t>around 10 percent</w:t>
      </w:r>
      <w:r w:rsidR="00423EC0">
        <w:rPr>
          <w:rFonts w:cs="Arial"/>
        </w:rPr>
        <w:t>age points</w:t>
      </w:r>
      <w:r w:rsidR="006611AE" w:rsidRPr="00B137B0">
        <w:rPr>
          <w:rFonts w:cs="Arial"/>
        </w:rPr>
        <w:t xml:space="preserve"> on average</w:t>
      </w:r>
      <w:r w:rsidR="006611AE">
        <w:rPr>
          <w:rFonts w:cs="Arial"/>
        </w:rPr>
        <w:t xml:space="preserve"> across the seven years</w:t>
      </w:r>
      <w:r w:rsidR="006611AE" w:rsidRPr="00B137B0">
        <w:rPr>
          <w:rFonts w:cs="Arial"/>
        </w:rPr>
        <w:t>.</w:t>
      </w:r>
    </w:p>
    <w:p w:rsidR="006611AE" w:rsidRDefault="00BA52DC" w:rsidP="006611AE">
      <w:pPr>
        <w:pStyle w:val="BodyText"/>
        <w:numPr>
          <w:ilvl w:val="0"/>
          <w:numId w:val="49"/>
        </w:numPr>
        <w:rPr>
          <w:rFonts w:cs="Arial"/>
        </w:rPr>
      </w:pPr>
      <w:r>
        <w:rPr>
          <w:rFonts w:cs="Arial"/>
        </w:rPr>
        <w:t>Among those who are in New Zealand, e</w:t>
      </w:r>
      <w:r w:rsidR="006611AE">
        <w:rPr>
          <w:rFonts w:cs="Arial"/>
        </w:rPr>
        <w:t xml:space="preserve">mployment rates </w:t>
      </w:r>
      <w:r>
        <w:rPr>
          <w:rFonts w:cs="Arial"/>
        </w:rPr>
        <w:t>don’t</w:t>
      </w:r>
      <w:r w:rsidR="006611AE">
        <w:rPr>
          <w:rFonts w:cs="Arial"/>
        </w:rPr>
        <w:t xml:space="preserve"> drop dramatically over time for graduate certificate </w:t>
      </w:r>
      <w:r w:rsidR="007743F4">
        <w:rPr>
          <w:rFonts w:cs="Arial"/>
        </w:rPr>
        <w:t xml:space="preserve">or diploma </w:t>
      </w:r>
      <w:r>
        <w:rPr>
          <w:rFonts w:cs="Arial"/>
        </w:rPr>
        <w:t>completers</w:t>
      </w:r>
      <w:r w:rsidR="006611AE">
        <w:rPr>
          <w:rFonts w:cs="Arial"/>
        </w:rPr>
        <w:t xml:space="preserve">, with the decrease over the seven years </w:t>
      </w:r>
      <w:r>
        <w:rPr>
          <w:rFonts w:cs="Arial"/>
        </w:rPr>
        <w:t xml:space="preserve">being </w:t>
      </w:r>
      <w:r w:rsidR="006611AE">
        <w:rPr>
          <w:rFonts w:cs="Arial"/>
        </w:rPr>
        <w:t>5 percent</w:t>
      </w:r>
      <w:r w:rsidR="00682F7D">
        <w:rPr>
          <w:rFonts w:cs="Arial"/>
        </w:rPr>
        <w:t>age points</w:t>
      </w:r>
      <w:r w:rsidR="006611AE">
        <w:rPr>
          <w:rFonts w:cs="Arial"/>
        </w:rPr>
        <w:t xml:space="preserve"> compared to 20 percent</w:t>
      </w:r>
      <w:r w:rsidR="00682F7D">
        <w:rPr>
          <w:rFonts w:cs="Arial"/>
        </w:rPr>
        <w:t>age points</w:t>
      </w:r>
      <w:r w:rsidR="006611AE">
        <w:rPr>
          <w:rFonts w:cs="Arial"/>
        </w:rPr>
        <w:t xml:space="preserve"> for all graduates</w:t>
      </w:r>
      <w:r>
        <w:rPr>
          <w:rFonts w:cs="Arial"/>
        </w:rPr>
        <w:t xml:space="preserve"> at that level</w:t>
      </w:r>
      <w:r w:rsidR="006611AE">
        <w:rPr>
          <w:rFonts w:cs="Arial"/>
        </w:rPr>
        <w:t>. Most of the drop in employment rate for those who stay in New Zealand is due to an increase of graduates in the Other/Unknown category, which is likely due to some graduates taking time out of the workforce</w:t>
      </w:r>
      <w:r>
        <w:rPr>
          <w:rFonts w:cs="Arial"/>
        </w:rPr>
        <w:t xml:space="preserve">, for instance, </w:t>
      </w:r>
      <w:r w:rsidR="006611AE">
        <w:rPr>
          <w:rFonts w:cs="Arial"/>
        </w:rPr>
        <w:t>for caregiving purposes.</w:t>
      </w:r>
    </w:p>
    <w:p w:rsidR="006611AE" w:rsidRDefault="006611AE" w:rsidP="006611AE">
      <w:pPr>
        <w:pStyle w:val="BodyText"/>
        <w:ind w:left="360"/>
        <w:rPr>
          <w:rFonts w:cs="Arial"/>
        </w:rPr>
      </w:pPr>
      <w:r w:rsidRPr="00BE0A96">
        <w:rPr>
          <w:rFonts w:cs="Arial"/>
        </w:rPr>
        <w:t>These changes in patterns occur because at higher qualification levels, an increasing number of graduates go overseas which reduces the employment rate for graduates at these levels when all graduates are considered.  However, of the graduates who remain in New Zealand, over time</w:t>
      </w:r>
      <w:r w:rsidR="00BA52DC">
        <w:rPr>
          <w:rFonts w:cs="Arial"/>
        </w:rPr>
        <w:t>,</w:t>
      </w:r>
      <w:r w:rsidRPr="00BE0A96">
        <w:rPr>
          <w:rFonts w:cs="Arial"/>
        </w:rPr>
        <w:t xml:space="preserve"> an increasing number of these graduates gain employment.</w:t>
      </w:r>
    </w:p>
    <w:p w:rsidR="006611AE" w:rsidRPr="00BE0A96" w:rsidRDefault="006611AE" w:rsidP="006611AE">
      <w:pPr>
        <w:pStyle w:val="BodyText"/>
        <w:ind w:left="360"/>
        <w:rPr>
          <w:rFonts w:cs="Arial"/>
        </w:rPr>
        <w:sectPr w:rsidR="006611AE" w:rsidRPr="00BE0A96" w:rsidSect="00086B44">
          <w:pgSz w:w="11906" w:h="16838"/>
          <w:pgMar w:top="1440" w:right="1800" w:bottom="1440" w:left="1800" w:header="708" w:footer="708" w:gutter="0"/>
          <w:cols w:space="708"/>
          <w:docGrid w:linePitch="360"/>
        </w:sectPr>
      </w:pPr>
    </w:p>
    <w:p w:rsidR="00BC4ED1" w:rsidRDefault="00BC4ED1" w:rsidP="00BC4ED1">
      <w:pPr>
        <w:pStyle w:val="Caption"/>
      </w:pPr>
      <w:r>
        <w:lastRenderedPageBreak/>
        <w:t xml:space="preserve">Figure </w:t>
      </w:r>
      <w:r w:rsidR="00437DD8">
        <w:t>9</w:t>
      </w:r>
    </w:p>
    <w:p w:rsidR="006611AE" w:rsidRDefault="006611AE" w:rsidP="00CF0181">
      <w:pPr>
        <w:pStyle w:val="Figurelabel"/>
      </w:pPr>
      <w:bookmarkStart w:id="34" w:name="_Toc385923102"/>
      <w:bookmarkStart w:id="35" w:name="_Toc387305363"/>
      <w:r w:rsidRPr="002076A0">
        <w:t xml:space="preserve">Destinations for young domestic graduates </w:t>
      </w:r>
      <w:r>
        <w:t>who remain in New Zealand in the first seven</w:t>
      </w:r>
      <w:r w:rsidRPr="002076A0">
        <w:t xml:space="preserve"> years after qualification completion</w:t>
      </w:r>
      <w:bookmarkEnd w:id="34"/>
      <w:bookmarkEnd w:id="35"/>
    </w:p>
    <w:p w:rsidR="00BC4ED1" w:rsidRPr="00BC4ED1" w:rsidRDefault="00BC4ED1" w:rsidP="00BC4ED1">
      <w:pPr>
        <w:pStyle w:val="BodyText"/>
        <w:rPr>
          <w:b/>
        </w:rPr>
      </w:pPr>
      <w:r w:rsidRPr="00BC4ED1">
        <w:rPr>
          <w:b/>
          <w:noProof/>
          <w:lang w:eastAsia="en-NZ"/>
        </w:rPr>
        <w:drawing>
          <wp:inline distT="0" distB="0" distL="0" distR="0">
            <wp:extent cx="8863330" cy="4419321"/>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srcRect/>
                    <a:stretch>
                      <a:fillRect/>
                    </a:stretch>
                  </pic:blipFill>
                  <pic:spPr bwMode="auto">
                    <a:xfrm>
                      <a:off x="0" y="0"/>
                      <a:ext cx="8863330" cy="4419321"/>
                    </a:xfrm>
                    <a:prstGeom prst="rect">
                      <a:avLst/>
                    </a:prstGeom>
                    <a:noFill/>
                    <a:ln w="9525">
                      <a:noFill/>
                      <a:miter lim="800000"/>
                      <a:headEnd/>
                      <a:tailEnd/>
                    </a:ln>
                  </pic:spPr>
                </pic:pic>
              </a:graphicData>
            </a:graphic>
          </wp:inline>
        </w:drawing>
      </w:r>
    </w:p>
    <w:p w:rsidR="006611AE" w:rsidRDefault="006611AE" w:rsidP="00CF0181">
      <w:pPr>
        <w:pStyle w:val="Figurelabel"/>
        <w:sectPr w:rsidR="006611AE" w:rsidSect="00C750C5">
          <w:pgSz w:w="16838" w:h="11906" w:orient="landscape" w:code="9"/>
          <w:pgMar w:top="1701" w:right="1418" w:bottom="1701" w:left="1418" w:header="709" w:footer="709" w:gutter="0"/>
          <w:cols w:space="708"/>
          <w:docGrid w:linePitch="360"/>
        </w:sectPr>
      </w:pPr>
    </w:p>
    <w:p w:rsidR="005211FD" w:rsidRPr="000045D2" w:rsidRDefault="005211FD" w:rsidP="005211FD">
      <w:pPr>
        <w:pStyle w:val="Heading1"/>
      </w:pPr>
      <w:bookmarkStart w:id="36" w:name="_Toc387305286"/>
      <w:r>
        <w:lastRenderedPageBreak/>
        <w:t>Conclusion</w:t>
      </w:r>
      <w:bookmarkEnd w:id="36"/>
    </w:p>
    <w:p w:rsidR="005572C5" w:rsidRPr="00842B2B" w:rsidRDefault="00A10B25">
      <w:pPr>
        <w:pStyle w:val="BodyText"/>
      </w:pPr>
      <w:r w:rsidRPr="00842B2B">
        <w:t xml:space="preserve">The destinations of </w:t>
      </w:r>
      <w:r w:rsidR="00881FCF" w:rsidRPr="00842B2B">
        <w:t xml:space="preserve">young domestic </w:t>
      </w:r>
      <w:r w:rsidRPr="00842B2B">
        <w:t xml:space="preserve">graduates vary considerably depending on both the level of qualification that a graduate has completed and the field of study.  </w:t>
      </w:r>
      <w:r w:rsidR="0036567C" w:rsidRPr="00842B2B">
        <w:t xml:space="preserve">Around half of level </w:t>
      </w:r>
      <w:r w:rsidRPr="00842B2B">
        <w:t xml:space="preserve">1-4 certificate and level </w:t>
      </w:r>
      <w:r w:rsidR="00DB046F">
        <w:t>5-7 diploma graduates continue</w:t>
      </w:r>
      <w:r w:rsidRPr="00842B2B">
        <w:t xml:space="preserve"> on to do further study</w:t>
      </w:r>
      <w:r w:rsidR="0036567C" w:rsidRPr="00842B2B">
        <w:t xml:space="preserve"> in their first year after they complete their first qualification </w:t>
      </w:r>
      <w:r w:rsidR="0010237F" w:rsidRPr="00842B2B">
        <w:t>–</w:t>
      </w:r>
      <w:r w:rsidR="0036567C" w:rsidRPr="00842B2B">
        <w:t xml:space="preserve"> as</w:t>
      </w:r>
      <w:r w:rsidR="0010237F" w:rsidRPr="00842B2B">
        <w:t xml:space="preserve"> </w:t>
      </w:r>
      <w:r w:rsidR="0036567C" w:rsidRPr="00842B2B">
        <w:t xml:space="preserve">would be expected, given that many qualifications at those levels are designed to help people advance to study at higher levels.  </w:t>
      </w:r>
      <w:r w:rsidRPr="00842B2B">
        <w:t xml:space="preserve"> Those who complete qualifications at higher qualification levels are more likely to be employed in the first year post study, with around half of all bachelors and </w:t>
      </w:r>
      <w:r w:rsidR="00DB046F">
        <w:t xml:space="preserve">bachelors with </w:t>
      </w:r>
      <w:r w:rsidRPr="00842B2B">
        <w:t xml:space="preserve">honours </w:t>
      </w:r>
      <w:r w:rsidR="00DB046F">
        <w:t xml:space="preserve">and postgraduate certificate or diploma </w:t>
      </w:r>
      <w:r w:rsidRPr="00842B2B">
        <w:t>graduates employed, and 55</w:t>
      </w:r>
      <w:r w:rsidR="0010237F" w:rsidRPr="00842B2B">
        <w:t xml:space="preserve"> percent </w:t>
      </w:r>
      <w:r w:rsidRPr="00842B2B">
        <w:t>of masters and doctorate graduates.</w:t>
      </w:r>
      <w:r w:rsidR="00881FCF" w:rsidRPr="00842B2B">
        <w:t xml:space="preserve">  Employment rates generally increase over time for young domestic graduates who complete qualifications at below degree level, and for all young domestic graduates when we only consider those who are in New Zealand.</w:t>
      </w:r>
    </w:p>
    <w:p w:rsidR="005572C5" w:rsidRPr="00842B2B" w:rsidRDefault="0036567C">
      <w:pPr>
        <w:pStyle w:val="BodyText"/>
      </w:pPr>
      <w:r w:rsidRPr="00842B2B">
        <w:t xml:space="preserve">The proportion of young graduates who go overseas generally increases </w:t>
      </w:r>
      <w:r w:rsidR="00937652" w:rsidRPr="00842B2B">
        <w:t xml:space="preserve">both </w:t>
      </w:r>
      <w:r w:rsidRPr="00842B2B">
        <w:t>with the level of qualificat</w:t>
      </w:r>
      <w:r w:rsidR="00937652" w:rsidRPr="00842B2B">
        <w:t xml:space="preserve">ion gained and with time.  </w:t>
      </w:r>
      <w:r w:rsidR="002A38F1" w:rsidRPr="00842B2B">
        <w:t xml:space="preserve">Seven years after study, 17 percent of </w:t>
      </w:r>
      <w:r w:rsidR="00DB046F">
        <w:t xml:space="preserve">level 1-3 </w:t>
      </w:r>
      <w:r w:rsidR="002A38F1" w:rsidRPr="00842B2B">
        <w:t>certificate graduates are overseas, 21 percent of diploma graduates, 31 percent of bachelors graduates and 41 percent of doctorate graduates.</w:t>
      </w:r>
      <w:r w:rsidR="00881FCF" w:rsidRPr="00842B2B">
        <w:t xml:space="preserve">  These trends</w:t>
      </w:r>
      <w:r w:rsidR="002A38F1" w:rsidRPr="00842B2B">
        <w:t xml:space="preserve"> are similar to those observed for earlier cohorts of graduates over the past eight years. </w:t>
      </w:r>
      <w:r w:rsidR="00881FCF" w:rsidRPr="00842B2B">
        <w:t xml:space="preserve"> </w:t>
      </w:r>
      <w:r w:rsidR="00937652" w:rsidRPr="00842B2B">
        <w:t xml:space="preserve">However, for young domestic graduates at bachelors level and higher, the </w:t>
      </w:r>
      <w:r w:rsidRPr="00842B2B">
        <w:t>percentage of young graduates who go overseas appears to be flattening off and reaching a maximum around six to seven years after graduation</w:t>
      </w:r>
      <w:r w:rsidR="00937652" w:rsidRPr="00842B2B">
        <w:t>.  The exception is doctorate graduates which reach a peak around three to four years after study.  This early flattening of the overseas proportion is most likely due to a large number of doctorate graduates going overseas immediately after their studies in order to complete a postdoctoral plac</w:t>
      </w:r>
      <w:r w:rsidR="00881FCF" w:rsidRPr="00842B2B">
        <w:t>ement</w:t>
      </w:r>
      <w:r w:rsidR="0010237F" w:rsidRPr="00842B2B">
        <w:t>, with</w:t>
      </w:r>
      <w:r w:rsidR="00881FCF" w:rsidRPr="00842B2B">
        <w:t xml:space="preserve"> some then returning.</w:t>
      </w:r>
    </w:p>
    <w:p w:rsidR="005572C5" w:rsidRPr="00842B2B" w:rsidRDefault="002A38F1">
      <w:pPr>
        <w:pStyle w:val="BodyText"/>
      </w:pPr>
      <w:r w:rsidRPr="00842B2B">
        <w:t xml:space="preserve">Graduate outcomes were affected by the recent global financial crisis with different trends seen for graduates at different qualification levels.  Employment rates dropped and benefit rates increased for young domestic graduates who had completed a qualification at certificate levels 1-3.  Employment rates also dropped for those who had completed a level 4 certificate or diploma, </w:t>
      </w:r>
      <w:r w:rsidR="0010237F" w:rsidRPr="00842B2B">
        <w:t xml:space="preserve">while further </w:t>
      </w:r>
      <w:r w:rsidRPr="00842B2B">
        <w:t xml:space="preserve">study rates increased over this time (and benefit rates to an extent) suggesting that these graduates focused on obtaining further qualifications to enhance their employment prospects.  Employment rates generally remained constant for young domestic graduates who completed a qualification at degree level or higher which suggests that having a higher qualification has helped to protect these graduates from the </w:t>
      </w:r>
      <w:r w:rsidR="00E908AD">
        <w:t xml:space="preserve">worst </w:t>
      </w:r>
      <w:r w:rsidRPr="00842B2B">
        <w:t>effects of the recession.</w:t>
      </w:r>
    </w:p>
    <w:p w:rsidR="005572C5" w:rsidRPr="00842B2B" w:rsidRDefault="0010237F">
      <w:pPr>
        <w:pStyle w:val="Heading3"/>
      </w:pPr>
      <w:r w:rsidRPr="00842B2B">
        <w:t xml:space="preserve">Future work on </w:t>
      </w:r>
      <w:r w:rsidR="005331DB" w:rsidRPr="00842B2B">
        <w:t xml:space="preserve">the </w:t>
      </w:r>
      <w:r w:rsidRPr="00842B2B">
        <w:t>destinations of graduates</w:t>
      </w:r>
    </w:p>
    <w:p w:rsidR="005572C5" w:rsidRDefault="00937652">
      <w:pPr>
        <w:pStyle w:val="BodyText"/>
      </w:pPr>
      <w:r w:rsidRPr="00842B2B">
        <w:t xml:space="preserve">In general, in this report we only report the proportion of graduates who are in each destination at a particular time </w:t>
      </w:r>
      <w:r w:rsidR="00ED4AE9">
        <w:t>following their</w:t>
      </w:r>
      <w:r w:rsidR="00ED4AE9" w:rsidRPr="00842B2B">
        <w:t xml:space="preserve"> </w:t>
      </w:r>
      <w:r w:rsidRPr="00842B2B">
        <w:t>study</w:t>
      </w:r>
      <w:r w:rsidR="0010237F" w:rsidRPr="00842B2B">
        <w:t>; we</w:t>
      </w:r>
      <w:r w:rsidRPr="00842B2B">
        <w:t xml:space="preserve"> do not look at what each graduate does over time.  </w:t>
      </w:r>
      <w:r w:rsidR="002A38F1" w:rsidRPr="00842B2B">
        <w:t xml:space="preserve">For </w:t>
      </w:r>
      <w:r w:rsidR="00ED4AE9">
        <w:t>instance</w:t>
      </w:r>
      <w:r w:rsidR="002A38F1" w:rsidRPr="00842B2B">
        <w:t xml:space="preserve">, </w:t>
      </w:r>
      <w:r w:rsidR="005331DB" w:rsidRPr="00842B2B">
        <w:t xml:space="preserve">we don’t ask whether </w:t>
      </w:r>
      <w:r w:rsidR="002A38F1" w:rsidRPr="00842B2B">
        <w:t xml:space="preserve">the graduates who are on a benefit </w:t>
      </w:r>
      <w:r w:rsidR="005331DB" w:rsidRPr="00842B2B">
        <w:t xml:space="preserve">remain on a benefit over more than one year.  Nor do we look at the rate of return of graduates from overseas or how long graduates spend overseas.  </w:t>
      </w:r>
      <w:r w:rsidR="00842B2B">
        <w:t>Or w</w:t>
      </w:r>
      <w:r w:rsidR="005331DB" w:rsidRPr="00842B2B">
        <w:t xml:space="preserve">hat proportion of graduates who go into work return for further study and </w:t>
      </w:r>
      <w:r w:rsidR="00ED4AE9">
        <w:t>whether their</w:t>
      </w:r>
      <w:r w:rsidR="005331DB" w:rsidRPr="00842B2B">
        <w:t xml:space="preserve"> return </w:t>
      </w:r>
      <w:r w:rsidR="00ED4AE9">
        <w:t xml:space="preserve">to study is </w:t>
      </w:r>
      <w:r w:rsidR="005331DB" w:rsidRPr="00842B2B">
        <w:t>for higher level qualifications</w:t>
      </w:r>
      <w:r w:rsidR="00ED4AE9">
        <w:t>.</w:t>
      </w:r>
      <w:r w:rsidR="005331DB" w:rsidRPr="00842B2B">
        <w:t xml:space="preserve"> </w:t>
      </w:r>
      <w:r w:rsidR="002A38F1" w:rsidRPr="00842B2B">
        <w:t xml:space="preserve"> </w:t>
      </w:r>
      <w:r w:rsidRPr="00842B2B">
        <w:t xml:space="preserve">We </w:t>
      </w:r>
      <w:r w:rsidR="005331DB" w:rsidRPr="00842B2B">
        <w:t>intend to take a dynamic look at graduate destinations in</w:t>
      </w:r>
      <w:r w:rsidRPr="00842B2B">
        <w:t xml:space="preserve"> a future report.</w:t>
      </w:r>
    </w:p>
    <w:p w:rsidR="00937652" w:rsidRPr="00937652" w:rsidRDefault="00937652" w:rsidP="00937652">
      <w:pPr>
        <w:pStyle w:val="Keypointtext"/>
        <w:rPr>
          <w:rFonts w:ascii="Times New Roman" w:hAnsi="Times New Roman"/>
          <w:sz w:val="22"/>
          <w:szCs w:val="20"/>
        </w:rPr>
      </w:pPr>
    </w:p>
    <w:p w:rsidR="002A38F1" w:rsidRDefault="002A38F1">
      <w:pPr>
        <w:rPr>
          <w:rFonts w:ascii="Arial" w:hAnsi="Arial"/>
          <w:caps/>
          <w:sz w:val="32"/>
        </w:rPr>
      </w:pPr>
      <w:r>
        <w:br w:type="page"/>
      </w:r>
    </w:p>
    <w:p w:rsidR="00086B44" w:rsidRPr="004031BB" w:rsidRDefault="00F51F1C" w:rsidP="0069594B">
      <w:pPr>
        <w:pStyle w:val="Heading1"/>
      </w:pPr>
      <w:bookmarkStart w:id="37" w:name="_Toc387305287"/>
      <w:r>
        <w:lastRenderedPageBreak/>
        <w:t>Data and Definitions</w:t>
      </w:r>
      <w:bookmarkEnd w:id="37"/>
    </w:p>
    <w:p w:rsidR="00333713" w:rsidRDefault="00333713" w:rsidP="0069594B">
      <w:pPr>
        <w:pStyle w:val="Heading3"/>
        <w:rPr>
          <w:rFonts w:ascii="Times New Roman" w:hAnsi="Times New Roman" w:cs="Arial"/>
          <w:b w:val="0"/>
          <w:color w:val="333333"/>
          <w:kern w:val="36"/>
          <w:szCs w:val="20"/>
          <w:lang w:val="en-GB" w:eastAsia="en-GB"/>
        </w:rPr>
      </w:pPr>
      <w:r w:rsidRPr="00333713">
        <w:rPr>
          <w:rFonts w:ascii="Times New Roman" w:hAnsi="Times New Roman" w:cs="Arial"/>
          <w:b w:val="0"/>
          <w:color w:val="333333"/>
          <w:kern w:val="36"/>
          <w:szCs w:val="20"/>
          <w:lang w:val="en-GB" w:eastAsia="en-GB"/>
        </w:rPr>
        <w:t xml:space="preserve">This </w:t>
      </w:r>
      <w:r>
        <w:rPr>
          <w:rFonts w:ascii="Times New Roman" w:hAnsi="Times New Roman" w:cs="Arial"/>
          <w:b w:val="0"/>
          <w:color w:val="333333"/>
          <w:kern w:val="36"/>
          <w:szCs w:val="20"/>
          <w:lang w:val="en-GB" w:eastAsia="en-GB"/>
        </w:rPr>
        <w:t>report looks at</w:t>
      </w:r>
      <w:r w:rsidRPr="00333713">
        <w:rPr>
          <w:rFonts w:ascii="Times New Roman" w:hAnsi="Times New Roman" w:cs="Arial"/>
          <w:b w:val="0"/>
          <w:color w:val="333333"/>
          <w:kern w:val="36"/>
          <w:szCs w:val="20"/>
          <w:lang w:val="en-GB" w:eastAsia="en-GB"/>
        </w:rPr>
        <w:t xml:space="preserve"> destinations for young graduates over the first </w:t>
      </w:r>
      <w:r>
        <w:rPr>
          <w:rFonts w:ascii="Times New Roman" w:hAnsi="Times New Roman" w:cs="Arial"/>
          <w:b w:val="0"/>
          <w:color w:val="333333"/>
          <w:kern w:val="36"/>
          <w:szCs w:val="20"/>
          <w:lang w:val="en-GB" w:eastAsia="en-GB"/>
        </w:rPr>
        <w:t>seven</w:t>
      </w:r>
      <w:r w:rsidRPr="00333713">
        <w:rPr>
          <w:rFonts w:ascii="Times New Roman" w:hAnsi="Times New Roman" w:cs="Arial"/>
          <w:b w:val="0"/>
          <w:color w:val="333333"/>
          <w:kern w:val="36"/>
          <w:szCs w:val="20"/>
          <w:lang w:val="en-GB" w:eastAsia="en-GB"/>
        </w:rPr>
        <w:t xml:space="preserve"> years after </w:t>
      </w:r>
      <w:r>
        <w:rPr>
          <w:rFonts w:ascii="Times New Roman" w:hAnsi="Times New Roman" w:cs="Arial"/>
          <w:b w:val="0"/>
          <w:color w:val="333333"/>
          <w:kern w:val="36"/>
          <w:szCs w:val="20"/>
          <w:lang w:val="en-GB" w:eastAsia="en-GB"/>
        </w:rPr>
        <w:t>they</w:t>
      </w:r>
      <w:r w:rsidRPr="00333713">
        <w:rPr>
          <w:rFonts w:ascii="Times New Roman" w:hAnsi="Times New Roman" w:cs="Arial"/>
          <w:b w:val="0"/>
          <w:color w:val="333333"/>
          <w:kern w:val="36"/>
          <w:szCs w:val="20"/>
          <w:lang w:val="en-GB" w:eastAsia="en-GB"/>
        </w:rPr>
        <w:t xml:space="preserve"> complete a qualification. Results are presented by qualification level and field of study. Technical details of the data used in this project and the associated definitions are provided below.</w:t>
      </w:r>
    </w:p>
    <w:p w:rsidR="00653F9F" w:rsidRDefault="00653F9F" w:rsidP="00653F9F">
      <w:pPr>
        <w:pStyle w:val="Heading3"/>
      </w:pPr>
      <w:r>
        <w:t>Integrated Data Infrastructure dataset.</w:t>
      </w:r>
    </w:p>
    <w:p w:rsidR="00653F9F" w:rsidRPr="005134B4" w:rsidRDefault="00653F9F" w:rsidP="00653F9F">
      <w:pPr>
        <w:jc w:val="both"/>
      </w:pPr>
      <w:r w:rsidRPr="005134B4">
        <w:t xml:space="preserve">The Integrated Data Infrastructure (IDI) dataset was used to obtain the results in this </w:t>
      </w:r>
      <w:r>
        <w:t>report.</w:t>
      </w:r>
      <w:r w:rsidRPr="005134B4">
        <w:t xml:space="preserve">  This longitudinal dataset is managed by Statistics New Zealand and links together each individual’s tertiary education enrolment</w:t>
      </w:r>
      <w:r>
        <w:t xml:space="preserve"> and completions data to data</w:t>
      </w:r>
      <w:r w:rsidRPr="00653F9F">
        <w:t xml:space="preserve"> </w:t>
      </w:r>
      <w:r>
        <w:t xml:space="preserve"> from a number of datasets including</w:t>
      </w:r>
      <w:r w:rsidRPr="005134B4">
        <w:t>:</w:t>
      </w:r>
    </w:p>
    <w:p w:rsidR="00653F9F" w:rsidRPr="005134B4" w:rsidRDefault="00653F9F" w:rsidP="00653F9F">
      <w:pPr>
        <w:jc w:val="both"/>
      </w:pPr>
    </w:p>
    <w:p w:rsidR="00653F9F" w:rsidRPr="005134B4" w:rsidRDefault="00653F9F" w:rsidP="00653F9F">
      <w:pPr>
        <w:jc w:val="both"/>
      </w:pPr>
      <w:r w:rsidRPr="005134B4">
        <w:t>•</w:t>
      </w:r>
      <w:r w:rsidRPr="005134B4">
        <w:tab/>
        <w:t>earnings (from Inland Revenue)</w:t>
      </w:r>
    </w:p>
    <w:p w:rsidR="00653F9F" w:rsidRPr="005134B4" w:rsidRDefault="00653F9F" w:rsidP="00653F9F">
      <w:pPr>
        <w:jc w:val="both"/>
      </w:pPr>
      <w:r w:rsidRPr="005134B4">
        <w:t>•</w:t>
      </w:r>
      <w:r w:rsidRPr="005134B4">
        <w:tab/>
        <w:t>welfare benefits (from the Ministry of Social Development)</w:t>
      </w:r>
    </w:p>
    <w:p w:rsidR="00653F9F" w:rsidRPr="005134B4" w:rsidRDefault="00653F9F" w:rsidP="00653F9F">
      <w:pPr>
        <w:jc w:val="both"/>
      </w:pPr>
      <w:r w:rsidRPr="005134B4">
        <w:t>•</w:t>
      </w:r>
      <w:r w:rsidRPr="005134B4">
        <w:tab/>
        <w:t>border crossings (from Immigration New Zealand)</w:t>
      </w:r>
      <w:r>
        <w:t>.</w:t>
      </w:r>
    </w:p>
    <w:p w:rsidR="00653F9F" w:rsidRPr="005134B4" w:rsidRDefault="00653F9F" w:rsidP="00653F9F">
      <w:pPr>
        <w:jc w:val="both"/>
      </w:pPr>
    </w:p>
    <w:p w:rsidR="00653F9F" w:rsidRPr="005555AE" w:rsidRDefault="00653F9F" w:rsidP="00653F9F">
      <w:pPr>
        <w:pStyle w:val="BodyText"/>
      </w:pPr>
      <w:r>
        <w:t>The tertiary education data in the IDI has been provided by the Ministry of Education and is sourced from the Single Data Return from tertiary providers. The immigration data is derived from passenger manifestos. The earnings data in the IDI is derived from tax data collected by Inland Revenue. Welfare benefits data is derived from data used by the Ministry of Social Development to administer the benefits system.</w:t>
      </w:r>
      <w:r w:rsidRPr="00653F9F">
        <w:t xml:space="preserve"> </w:t>
      </w:r>
    </w:p>
    <w:p w:rsidR="00333713" w:rsidRPr="00BB4C59" w:rsidRDefault="00333713" w:rsidP="00333713">
      <w:pPr>
        <w:pStyle w:val="Heading3"/>
      </w:pPr>
      <w:r w:rsidRPr="00BB4C59">
        <w:t>Graduate destinations</w:t>
      </w:r>
    </w:p>
    <w:p w:rsidR="00333713" w:rsidRDefault="00333713" w:rsidP="00333713">
      <w:pPr>
        <w:pStyle w:val="BodyText"/>
      </w:pPr>
      <w:r w:rsidRPr="00BB4C59">
        <w:t>The graduate destinations used in this report are:</w:t>
      </w:r>
    </w:p>
    <w:p w:rsidR="00333713" w:rsidRPr="00BB4C59" w:rsidRDefault="00333713" w:rsidP="00333713">
      <w:pPr>
        <w:pStyle w:val="Bullet1"/>
      </w:pPr>
      <w:r>
        <w:t>Overseas</w:t>
      </w:r>
    </w:p>
    <w:p w:rsidR="00333713" w:rsidRPr="00BB4C59" w:rsidRDefault="00333713" w:rsidP="00333713">
      <w:pPr>
        <w:pStyle w:val="Bullet1"/>
        <w:tabs>
          <w:tab w:val="clear" w:pos="680"/>
        </w:tabs>
      </w:pPr>
      <w:r w:rsidRPr="00BB4C59">
        <w:t>Further study</w:t>
      </w:r>
    </w:p>
    <w:p w:rsidR="00333713" w:rsidRPr="00BB4C59" w:rsidRDefault="00333713" w:rsidP="00333713">
      <w:pPr>
        <w:pStyle w:val="Bullet1"/>
        <w:tabs>
          <w:tab w:val="clear" w:pos="680"/>
        </w:tabs>
      </w:pPr>
      <w:r w:rsidRPr="00BB4C59">
        <w:t xml:space="preserve">Receiving a benefit </w:t>
      </w:r>
    </w:p>
    <w:p w:rsidR="00333713" w:rsidRPr="00BB4C59" w:rsidRDefault="00333713" w:rsidP="00333713">
      <w:pPr>
        <w:pStyle w:val="Bullet1"/>
        <w:tabs>
          <w:tab w:val="clear" w:pos="680"/>
        </w:tabs>
      </w:pPr>
      <w:r w:rsidRPr="00BB4C59">
        <w:t>Employment</w:t>
      </w:r>
    </w:p>
    <w:p w:rsidR="00333713" w:rsidRPr="00BB4C59" w:rsidRDefault="00333713" w:rsidP="00333713">
      <w:pPr>
        <w:pStyle w:val="Bullet1"/>
        <w:tabs>
          <w:tab w:val="clear" w:pos="680"/>
        </w:tabs>
      </w:pPr>
      <w:r w:rsidRPr="00BB4C59">
        <w:t>Unknown/Other</w:t>
      </w:r>
    </w:p>
    <w:p w:rsidR="00333713" w:rsidRPr="00BB4C59" w:rsidRDefault="00333713" w:rsidP="00333713">
      <w:pPr>
        <w:pStyle w:val="BodyText"/>
      </w:pPr>
      <w:r w:rsidRPr="00BB4C59">
        <w:t xml:space="preserve">Within each leaving cohort, graduates are assigned to only a single destination per year after study using the below business rules.  These rules take account of ‘substantiveness’ – how long a graduate is pursuing an activity – and a ‘predominance’ test – what is the ‘main’ activity.  Where a graduate meets the criteria for more than one destination, the destination is determined using the order of precedence: </w:t>
      </w:r>
      <w:r w:rsidR="00733A0F">
        <w:t xml:space="preserve">overseas, </w:t>
      </w:r>
      <w:r w:rsidRPr="00BB4C59">
        <w:t>further study, receiving a benefit, employment, unknown/other.</w:t>
      </w:r>
    </w:p>
    <w:p w:rsidR="00333713" w:rsidRPr="00BB4C59" w:rsidRDefault="00333713" w:rsidP="00333713">
      <w:pPr>
        <w:pStyle w:val="BodyText"/>
      </w:pPr>
      <w:r w:rsidRPr="00BB4C59">
        <w:t>Destinations are defined as follows:</w:t>
      </w:r>
    </w:p>
    <w:p w:rsidR="00333713" w:rsidRPr="00D61B65" w:rsidRDefault="00333713" w:rsidP="00333713">
      <w:pPr>
        <w:pStyle w:val="BodyText"/>
      </w:pPr>
      <w:r w:rsidRPr="00D61B65">
        <w:rPr>
          <w:i/>
        </w:rPr>
        <w:t xml:space="preserve">Overseas – </w:t>
      </w:r>
      <w:r w:rsidRPr="00D61B65">
        <w:t>9 months or more overseas overall in a year.</w:t>
      </w:r>
    </w:p>
    <w:p w:rsidR="00333713" w:rsidRPr="00D61B65" w:rsidRDefault="00333713" w:rsidP="00333713">
      <w:pPr>
        <w:pStyle w:val="BodyText"/>
      </w:pPr>
      <w:r w:rsidRPr="00BB4C59">
        <w:rPr>
          <w:i/>
        </w:rPr>
        <w:t>Further study</w:t>
      </w:r>
      <w:r w:rsidRPr="00D61B65">
        <w:rPr>
          <w:i/>
        </w:rPr>
        <w:t xml:space="preserve"> – </w:t>
      </w:r>
      <w:r w:rsidRPr="00D61B65">
        <w:t xml:space="preserve">graduates who </w:t>
      </w:r>
      <w:r>
        <w:t xml:space="preserve">are not classified in the </w:t>
      </w:r>
      <w:r w:rsidRPr="00D61B65">
        <w:rPr>
          <w:i/>
        </w:rPr>
        <w:t>Overseas</w:t>
      </w:r>
      <w:r>
        <w:t xml:space="preserve"> category and </w:t>
      </w:r>
      <w:r w:rsidRPr="00D61B65">
        <w:t>do any tertiary study in a calendar year.</w:t>
      </w:r>
    </w:p>
    <w:p w:rsidR="00333713" w:rsidRPr="00BB4C59" w:rsidRDefault="00333713" w:rsidP="00333713">
      <w:pPr>
        <w:pStyle w:val="BodyText"/>
      </w:pPr>
      <w:r w:rsidRPr="00BB4C59">
        <w:rPr>
          <w:i/>
        </w:rPr>
        <w:t>Receiving a benefit</w:t>
      </w:r>
      <w:r w:rsidRPr="00D61B65">
        <w:rPr>
          <w:i/>
        </w:rPr>
        <w:t xml:space="preserve"> – </w:t>
      </w:r>
      <w:r w:rsidRPr="00D61B65">
        <w:t xml:space="preserve">graduates who are not classified in either the </w:t>
      </w:r>
      <w:r w:rsidRPr="00D61B65">
        <w:rPr>
          <w:i/>
        </w:rPr>
        <w:t xml:space="preserve">Overseas </w:t>
      </w:r>
      <w:r w:rsidRPr="00E96354">
        <w:t>or</w:t>
      </w:r>
      <w:r w:rsidRPr="00D61B65">
        <w:rPr>
          <w:i/>
        </w:rPr>
        <w:t xml:space="preserve"> Further study </w:t>
      </w:r>
      <w:r w:rsidRPr="00D61B65">
        <w:t xml:space="preserve">categories and who are on a benefit for at least 4 months in a tax year </w:t>
      </w:r>
      <w:r w:rsidRPr="00BB4C59">
        <w:t xml:space="preserve">and who are not in employment for a longer time than this. </w:t>
      </w:r>
    </w:p>
    <w:p w:rsidR="00333713" w:rsidRPr="00BB4C59" w:rsidRDefault="00333713" w:rsidP="00333713">
      <w:pPr>
        <w:pStyle w:val="BodyText"/>
      </w:pPr>
      <w:r w:rsidRPr="00BB4C59">
        <w:rPr>
          <w:i/>
        </w:rPr>
        <w:lastRenderedPageBreak/>
        <w:t>Employment</w:t>
      </w:r>
      <w:r w:rsidRPr="00BB4C59">
        <w:t xml:space="preserve"> – graduates who are not classified in any of the above categories and who receive wages and salary</w:t>
      </w:r>
      <w:r w:rsidR="00E366C1">
        <w:t>, paid parental leave and/or accident</w:t>
      </w:r>
      <w:r w:rsidRPr="00BB4C59">
        <w:t xml:space="preserve"> compensation for at least four months or more in a tax year and/or receive any self-employment income.</w:t>
      </w:r>
    </w:p>
    <w:p w:rsidR="00653F9F" w:rsidRPr="005555AE" w:rsidRDefault="00333713" w:rsidP="00653F9F">
      <w:pPr>
        <w:pStyle w:val="BodyText"/>
      </w:pPr>
      <w:r w:rsidRPr="00BB4C59">
        <w:rPr>
          <w:i/>
        </w:rPr>
        <w:t>Other/Unknown</w:t>
      </w:r>
      <w:r w:rsidRPr="00BB4C59">
        <w:t xml:space="preserve"> – </w:t>
      </w:r>
      <w:r>
        <w:t>graduates who are involved in more than one activity during the year and who do not meet the criteria for any of the above four destinations</w:t>
      </w:r>
      <w:r w:rsidRPr="00BB4C59">
        <w:t>, or for whom no matching data can be found in the IDI.</w:t>
      </w:r>
      <w:r w:rsidR="00653F9F" w:rsidRPr="00653F9F">
        <w:t xml:space="preserve"> </w:t>
      </w:r>
    </w:p>
    <w:p w:rsidR="00333713" w:rsidRPr="00B15860" w:rsidRDefault="00333713" w:rsidP="00333713">
      <w:pPr>
        <w:pStyle w:val="Heading3"/>
        <w:jc w:val="both"/>
      </w:pPr>
      <w:r w:rsidRPr="00B15860">
        <w:t xml:space="preserve">Completions </w:t>
      </w:r>
    </w:p>
    <w:p w:rsidR="00333713" w:rsidRDefault="00333713" w:rsidP="00333713">
      <w:pPr>
        <w:pStyle w:val="BodyText"/>
        <w:rPr>
          <w:kern w:val="36"/>
          <w:lang w:val="en-GB" w:eastAsia="en-GB"/>
        </w:rPr>
      </w:pPr>
      <w:r w:rsidRPr="00B15860">
        <w:rPr>
          <w:kern w:val="36"/>
          <w:lang w:val="en-GB" w:eastAsia="en-GB"/>
        </w:rPr>
        <w:t xml:space="preserve">The analyses and results in this report only relate to students who have completed a qualification. Enrolments and completions must match by qualification code and level, and provider. Graduates may be included in the results more than once if they have completed a qualification in more than one field of study, or have completed more than one qualification if the qualifications are completed at different levels and/or in different years. </w:t>
      </w:r>
    </w:p>
    <w:p w:rsidR="00653F9F" w:rsidRPr="005555AE" w:rsidRDefault="00333713" w:rsidP="00653F9F">
      <w:pPr>
        <w:pStyle w:val="BodyText"/>
      </w:pPr>
      <w:r w:rsidRPr="00B15860">
        <w:rPr>
          <w:kern w:val="36"/>
          <w:lang w:val="en-GB" w:eastAsia="en-GB"/>
        </w:rPr>
        <w:t xml:space="preserve">The year that a qualification is completed is assumed to be the last year of enrolment in that qualification. This is because sometimes completions are not recorded in the year that a student actually completes their qualification, for example due to administrative delays or other peculiarities. Completions are excluded in cases where the recorded completion </w:t>
      </w:r>
      <w:r>
        <w:rPr>
          <w:kern w:val="36"/>
          <w:lang w:val="en-GB" w:eastAsia="en-GB"/>
        </w:rPr>
        <w:t>is shown as having occurred</w:t>
      </w:r>
      <w:r w:rsidRPr="00B15860">
        <w:rPr>
          <w:kern w:val="36"/>
          <w:lang w:val="en-GB" w:eastAsia="en-GB"/>
        </w:rPr>
        <w:t xml:space="preserve"> three or more years before the last year of e</w:t>
      </w:r>
      <w:r w:rsidR="00653F9F">
        <w:rPr>
          <w:kern w:val="36"/>
          <w:lang w:val="en-GB" w:eastAsia="en-GB"/>
        </w:rPr>
        <w:t>nrolment in that qualification.</w:t>
      </w:r>
      <w:r w:rsidR="00653F9F" w:rsidRPr="00653F9F">
        <w:t xml:space="preserve"> </w:t>
      </w:r>
    </w:p>
    <w:p w:rsidR="00333713" w:rsidRPr="00BB4C59" w:rsidRDefault="00333713" w:rsidP="00333713">
      <w:pPr>
        <w:pStyle w:val="Heading3"/>
        <w:jc w:val="both"/>
      </w:pPr>
      <w:r w:rsidRPr="00BB4C59">
        <w:t>Number of years post-study</w:t>
      </w:r>
    </w:p>
    <w:p w:rsidR="00FB3573" w:rsidRDefault="00333713" w:rsidP="00333713">
      <w:pPr>
        <w:pStyle w:val="BodyText"/>
      </w:pPr>
      <w:r w:rsidRPr="00BB4C59">
        <w:t xml:space="preserve">The number of years post study are defined using tax years for earnings and all destinations except further study where calendar years are used.  </w:t>
      </w:r>
      <w:r w:rsidR="00FB3573">
        <w:t>The results for two cohorts of graduates are aggregated together for each year post study, in order to increase the number of graduates.  This means that we are able to publish result</w:t>
      </w:r>
      <w:r w:rsidR="00E96354">
        <w:t>s for more qualification level by</w:t>
      </w:r>
      <w:r w:rsidR="00FB3573">
        <w:t xml:space="preserve"> field of study combinations</w:t>
      </w:r>
      <w:r w:rsidR="000A5A67">
        <w:t xml:space="preserve"> as more results meet Statistic</w:t>
      </w:r>
      <w:r w:rsidR="00F4634B">
        <w:t>s</w:t>
      </w:r>
      <w:r w:rsidR="000A5A67">
        <w:t xml:space="preserve"> New Zealand’s confidentiality requirements</w:t>
      </w:r>
      <w:r w:rsidR="00FB3573">
        <w:t xml:space="preserve">. </w:t>
      </w:r>
      <w:r w:rsidR="00087649">
        <w:t>Increased graduate numbers</w:t>
      </w:r>
      <w:r w:rsidR="00F51F1C">
        <w:t xml:space="preserve"> also</w:t>
      </w:r>
      <w:r w:rsidR="00087649">
        <w:t xml:space="preserve"> </w:t>
      </w:r>
      <w:r w:rsidR="00F51F1C">
        <w:t>improve</w:t>
      </w:r>
      <w:r w:rsidR="00087649">
        <w:t xml:space="preserve"> the statistical quality and robustness of the results.</w:t>
      </w:r>
    </w:p>
    <w:p w:rsidR="00333713" w:rsidRDefault="00087649" w:rsidP="00087649">
      <w:pPr>
        <w:jc w:val="both"/>
      </w:pPr>
      <w:r w:rsidRPr="005C37D1">
        <w:t>Cohorts are chosen so tha</w:t>
      </w:r>
      <w:r>
        <w:t xml:space="preserve">t their post-study employment outcomes are </w:t>
      </w:r>
      <w:r w:rsidRPr="005C37D1">
        <w:t>always compared in the same economic climate: the 20</w:t>
      </w:r>
      <w:r>
        <w:t>11</w:t>
      </w:r>
      <w:r w:rsidRPr="005C37D1">
        <w:t xml:space="preserve"> and 201</w:t>
      </w:r>
      <w:r>
        <w:t>2</w:t>
      </w:r>
      <w:r w:rsidRPr="005C37D1">
        <w:t xml:space="preserve"> tax years.  For instance, one year post-study outcomes are calculated for graduates who completed in 200</w:t>
      </w:r>
      <w:r>
        <w:t>9</w:t>
      </w:r>
      <w:r w:rsidRPr="005C37D1">
        <w:t xml:space="preserve"> or 20</w:t>
      </w:r>
      <w:r>
        <w:t>10</w:t>
      </w:r>
      <w:r w:rsidRPr="005C37D1">
        <w:t>, and five year post-study outcomes are calculated for graduates who completed in 200</w:t>
      </w:r>
      <w:r>
        <w:t>5</w:t>
      </w:r>
      <w:r w:rsidRPr="005C37D1">
        <w:t xml:space="preserve"> or 200</w:t>
      </w:r>
      <w:r>
        <w:t>6</w:t>
      </w:r>
      <w:r w:rsidRPr="005C37D1">
        <w:t>.</w:t>
      </w:r>
      <w:r>
        <w:t xml:space="preserve">  </w:t>
      </w:r>
      <w:r w:rsidR="00333713" w:rsidRPr="00BB4C59">
        <w:t xml:space="preserve">Table </w:t>
      </w:r>
      <w:r w:rsidR="006E019D">
        <w:t>3</w:t>
      </w:r>
      <w:r w:rsidR="00333713" w:rsidRPr="00BB4C59">
        <w:t xml:space="preserve"> below shows how the aggregated cohorts align with tax and calendar years for each pos</w:t>
      </w:r>
      <w:r w:rsidR="00333713">
        <w:t>t study year.</w:t>
      </w:r>
    </w:p>
    <w:p w:rsidR="00087649" w:rsidRDefault="00087649" w:rsidP="00333713">
      <w:pPr>
        <w:pStyle w:val="Caption"/>
        <w:jc w:val="both"/>
      </w:pPr>
    </w:p>
    <w:p w:rsidR="00333713" w:rsidRPr="00BB4C59" w:rsidRDefault="00333713" w:rsidP="00333713">
      <w:pPr>
        <w:pStyle w:val="Caption"/>
        <w:jc w:val="both"/>
      </w:pPr>
      <w:r w:rsidRPr="00BB4C59">
        <w:t xml:space="preserve">Table </w:t>
      </w:r>
      <w:r w:rsidR="006E019D">
        <w:t>3</w:t>
      </w:r>
    </w:p>
    <w:p w:rsidR="00333713" w:rsidRPr="00BB4C59" w:rsidRDefault="00333713" w:rsidP="00333713">
      <w:pPr>
        <w:pStyle w:val="Tablelabel"/>
        <w:jc w:val="both"/>
      </w:pPr>
      <w:bookmarkStart w:id="38" w:name="_Toc387134517"/>
      <w:r w:rsidRPr="00BB4C59">
        <w:t>Alignment of cohorts with tax and calendar years</w:t>
      </w:r>
      <w:bookmarkEnd w:id="38"/>
    </w:p>
    <w:tbl>
      <w:tblPr>
        <w:tblW w:w="6538" w:type="dxa"/>
        <w:tblInd w:w="91" w:type="dxa"/>
        <w:tblLook w:val="04A0"/>
      </w:tblPr>
      <w:tblGrid>
        <w:gridCol w:w="760"/>
        <w:gridCol w:w="1668"/>
        <w:gridCol w:w="1984"/>
        <w:gridCol w:w="2126"/>
      </w:tblGrid>
      <w:tr w:rsidR="00333713" w:rsidRPr="00BB4C59" w:rsidTr="00333713">
        <w:trPr>
          <w:trHeight w:val="315"/>
        </w:trPr>
        <w:tc>
          <w:tcPr>
            <w:tcW w:w="760" w:type="dxa"/>
            <w:tcBorders>
              <w:top w:val="single" w:sz="8" w:space="0" w:color="7F7F7F"/>
              <w:left w:val="single" w:sz="8" w:space="0" w:color="7F7F7F"/>
              <w:bottom w:val="single" w:sz="8" w:space="0" w:color="7F7F7F"/>
              <w:right w:val="single" w:sz="8" w:space="0" w:color="7F7F7F"/>
            </w:tcBorders>
            <w:shd w:val="clear" w:color="auto" w:fill="C4BC96" w:themeFill="background2" w:themeFillShade="BF"/>
            <w:vAlign w:val="center"/>
            <w:hideMark/>
          </w:tcPr>
          <w:p w:rsidR="00333713" w:rsidRPr="00BB4C59" w:rsidRDefault="00333713" w:rsidP="00333713">
            <w:pPr>
              <w:pStyle w:val="Tableheading"/>
              <w:jc w:val="both"/>
              <w:rPr>
                <w:rFonts w:cs="Arial"/>
                <w:lang w:eastAsia="en-NZ"/>
              </w:rPr>
            </w:pPr>
            <w:r w:rsidRPr="00BB4C59">
              <w:rPr>
                <w:rFonts w:cs="Arial"/>
                <w:lang w:eastAsia="en-NZ"/>
              </w:rPr>
              <w:t>Cohort</w:t>
            </w:r>
          </w:p>
        </w:tc>
        <w:tc>
          <w:tcPr>
            <w:tcW w:w="1668" w:type="dxa"/>
            <w:tcBorders>
              <w:top w:val="single" w:sz="8" w:space="0" w:color="7F7F7F"/>
              <w:left w:val="nil"/>
              <w:bottom w:val="single" w:sz="8" w:space="0" w:color="7F7F7F"/>
              <w:right w:val="single" w:sz="8" w:space="0" w:color="7F7F7F"/>
            </w:tcBorders>
            <w:shd w:val="clear" w:color="auto" w:fill="C4BC96" w:themeFill="background2" w:themeFillShade="BF"/>
            <w:vAlign w:val="center"/>
            <w:hideMark/>
          </w:tcPr>
          <w:p w:rsidR="00333713" w:rsidRPr="00BB4C59" w:rsidRDefault="00333713" w:rsidP="00333713">
            <w:pPr>
              <w:pStyle w:val="Tableheading"/>
              <w:rPr>
                <w:rFonts w:cs="Arial"/>
                <w:bCs/>
                <w:color w:val="000000"/>
                <w:szCs w:val="15"/>
                <w:lang w:eastAsia="en-NZ"/>
              </w:rPr>
            </w:pPr>
            <w:r w:rsidRPr="00BB4C59">
              <w:rPr>
                <w:rFonts w:cs="Arial"/>
                <w:bCs/>
                <w:color w:val="000000"/>
                <w:szCs w:val="15"/>
                <w:lang w:eastAsia="en-NZ"/>
              </w:rPr>
              <w:t>Years post study</w:t>
            </w:r>
          </w:p>
        </w:tc>
        <w:tc>
          <w:tcPr>
            <w:tcW w:w="1984" w:type="dxa"/>
            <w:tcBorders>
              <w:top w:val="single" w:sz="8" w:space="0" w:color="7F7F7F"/>
              <w:left w:val="nil"/>
              <w:bottom w:val="single" w:sz="8" w:space="0" w:color="7F7F7F"/>
              <w:right w:val="single" w:sz="8" w:space="0" w:color="7F7F7F"/>
            </w:tcBorders>
            <w:shd w:val="clear" w:color="auto" w:fill="C4BC96" w:themeFill="background2" w:themeFillShade="BF"/>
            <w:vAlign w:val="center"/>
            <w:hideMark/>
          </w:tcPr>
          <w:p w:rsidR="00333713" w:rsidRPr="00BB4C59" w:rsidRDefault="00333713" w:rsidP="00333713">
            <w:pPr>
              <w:pStyle w:val="Tableheading"/>
              <w:rPr>
                <w:rFonts w:cs="Arial"/>
                <w:bCs/>
                <w:color w:val="000000"/>
                <w:szCs w:val="15"/>
                <w:lang w:eastAsia="en-NZ"/>
              </w:rPr>
            </w:pPr>
            <w:r w:rsidRPr="00BB4C59">
              <w:rPr>
                <w:rFonts w:cs="Arial"/>
                <w:bCs/>
                <w:color w:val="000000"/>
                <w:szCs w:val="15"/>
                <w:lang w:eastAsia="en-NZ"/>
              </w:rPr>
              <w:t>Calendar year</w:t>
            </w:r>
          </w:p>
        </w:tc>
        <w:tc>
          <w:tcPr>
            <w:tcW w:w="2126" w:type="dxa"/>
            <w:tcBorders>
              <w:top w:val="single" w:sz="8" w:space="0" w:color="7F7F7F"/>
              <w:left w:val="nil"/>
              <w:bottom w:val="single" w:sz="8" w:space="0" w:color="7F7F7F"/>
              <w:right w:val="single" w:sz="8" w:space="0" w:color="7F7F7F"/>
            </w:tcBorders>
            <w:shd w:val="clear" w:color="auto" w:fill="C4BC96" w:themeFill="background2" w:themeFillShade="BF"/>
            <w:vAlign w:val="center"/>
            <w:hideMark/>
          </w:tcPr>
          <w:p w:rsidR="00333713" w:rsidRPr="00BB4C59" w:rsidRDefault="00333713" w:rsidP="00333713">
            <w:pPr>
              <w:pStyle w:val="Tableheading"/>
              <w:rPr>
                <w:rFonts w:cs="Arial"/>
                <w:bCs/>
                <w:color w:val="000000"/>
                <w:szCs w:val="15"/>
                <w:lang w:eastAsia="en-NZ"/>
              </w:rPr>
            </w:pPr>
            <w:r w:rsidRPr="00BB4C59">
              <w:rPr>
                <w:rFonts w:cs="Arial"/>
                <w:bCs/>
                <w:color w:val="000000"/>
                <w:szCs w:val="15"/>
                <w:lang w:eastAsia="en-NZ"/>
              </w:rPr>
              <w:t>Tax year</w:t>
            </w:r>
          </w:p>
        </w:tc>
      </w:tr>
      <w:tr w:rsidR="00333713" w:rsidRPr="00BB4C59" w:rsidTr="00333713">
        <w:trPr>
          <w:trHeight w:val="300"/>
        </w:trPr>
        <w:tc>
          <w:tcPr>
            <w:tcW w:w="760" w:type="dxa"/>
            <w:tcBorders>
              <w:top w:val="nil"/>
              <w:left w:val="single" w:sz="8" w:space="0" w:color="7F7F7F"/>
              <w:bottom w:val="nil"/>
              <w:right w:val="single" w:sz="8" w:space="0" w:color="7F7F7F"/>
            </w:tcBorders>
            <w:shd w:val="clear" w:color="auto" w:fill="auto"/>
            <w:vAlign w:val="center"/>
            <w:hideMark/>
          </w:tcPr>
          <w:p w:rsidR="00333713" w:rsidRPr="00BB4C59" w:rsidRDefault="00333713" w:rsidP="00333713">
            <w:pPr>
              <w:pStyle w:val="Tabletext"/>
              <w:jc w:val="both"/>
              <w:rPr>
                <w:rFonts w:cs="Arial"/>
                <w:lang w:eastAsia="en-NZ"/>
              </w:rPr>
            </w:pPr>
            <w:r w:rsidRPr="00BB4C59">
              <w:rPr>
                <w:rFonts w:cs="Arial"/>
                <w:lang w:eastAsia="en-NZ"/>
              </w:rPr>
              <w:t>09</w:t>
            </w:r>
            <w:r>
              <w:rPr>
                <w:rFonts w:cs="Arial"/>
                <w:lang w:eastAsia="en-NZ"/>
              </w:rPr>
              <w:t>/10</w:t>
            </w:r>
          </w:p>
        </w:tc>
        <w:tc>
          <w:tcPr>
            <w:tcW w:w="1668" w:type="dxa"/>
            <w:tcBorders>
              <w:top w:val="nil"/>
              <w:left w:val="nil"/>
              <w:bottom w:val="nil"/>
              <w:right w:val="single" w:sz="8" w:space="0" w:color="7F7F7F"/>
            </w:tcBorders>
            <w:shd w:val="clear" w:color="auto" w:fill="auto"/>
            <w:vAlign w:val="center"/>
            <w:hideMark/>
          </w:tcPr>
          <w:p w:rsidR="00333713" w:rsidRPr="00BB4C59" w:rsidRDefault="00333713" w:rsidP="00333713">
            <w:pPr>
              <w:pStyle w:val="Tabletext"/>
              <w:jc w:val="center"/>
              <w:rPr>
                <w:rFonts w:cs="Arial"/>
                <w:lang w:eastAsia="en-NZ"/>
              </w:rPr>
            </w:pPr>
            <w:r w:rsidRPr="00BB4C59">
              <w:rPr>
                <w:rFonts w:cs="Arial"/>
                <w:lang w:eastAsia="en-NZ"/>
              </w:rPr>
              <w:t>1</w:t>
            </w:r>
          </w:p>
        </w:tc>
        <w:tc>
          <w:tcPr>
            <w:tcW w:w="1984" w:type="dxa"/>
            <w:tcBorders>
              <w:top w:val="nil"/>
              <w:left w:val="nil"/>
              <w:bottom w:val="nil"/>
              <w:right w:val="single" w:sz="8" w:space="0" w:color="7F7F7F"/>
            </w:tcBorders>
            <w:shd w:val="clear" w:color="auto" w:fill="auto"/>
            <w:vAlign w:val="center"/>
            <w:hideMark/>
          </w:tcPr>
          <w:p w:rsidR="00333713" w:rsidRPr="00BB4C59" w:rsidRDefault="00333713" w:rsidP="00333713">
            <w:pPr>
              <w:pStyle w:val="Tabletext"/>
              <w:jc w:val="center"/>
              <w:rPr>
                <w:rFonts w:cs="Arial"/>
                <w:lang w:eastAsia="en-NZ"/>
              </w:rPr>
            </w:pPr>
            <w:r w:rsidRPr="00BB4C59">
              <w:rPr>
                <w:rFonts w:cs="Arial"/>
                <w:lang w:eastAsia="en-NZ"/>
              </w:rPr>
              <w:t>20</w:t>
            </w:r>
            <w:r>
              <w:rPr>
                <w:rFonts w:cs="Arial"/>
                <w:lang w:eastAsia="en-NZ"/>
              </w:rPr>
              <w:t>10</w:t>
            </w:r>
            <w:r w:rsidRPr="00BB4C59">
              <w:rPr>
                <w:rFonts w:cs="Arial"/>
                <w:lang w:eastAsia="en-NZ"/>
              </w:rPr>
              <w:t>/201</w:t>
            </w:r>
            <w:r>
              <w:rPr>
                <w:rFonts w:cs="Arial"/>
                <w:lang w:eastAsia="en-NZ"/>
              </w:rPr>
              <w:t>1</w:t>
            </w:r>
          </w:p>
        </w:tc>
        <w:tc>
          <w:tcPr>
            <w:tcW w:w="2126" w:type="dxa"/>
            <w:tcBorders>
              <w:top w:val="nil"/>
              <w:left w:val="nil"/>
              <w:bottom w:val="nil"/>
              <w:right w:val="single" w:sz="8" w:space="0" w:color="7F7F7F"/>
            </w:tcBorders>
            <w:shd w:val="clear" w:color="auto" w:fill="auto"/>
            <w:vAlign w:val="center"/>
            <w:hideMark/>
          </w:tcPr>
          <w:p w:rsidR="00333713" w:rsidRPr="00BB4C59" w:rsidRDefault="00333713" w:rsidP="00333713">
            <w:pPr>
              <w:pStyle w:val="Tabletext"/>
              <w:jc w:val="center"/>
              <w:rPr>
                <w:rFonts w:cs="Arial"/>
                <w:lang w:eastAsia="en-NZ"/>
              </w:rPr>
            </w:pPr>
            <w:r w:rsidRPr="00BB4C59">
              <w:rPr>
                <w:rFonts w:cs="Arial"/>
                <w:lang w:eastAsia="en-NZ"/>
              </w:rPr>
              <w:t>201</w:t>
            </w:r>
            <w:r>
              <w:rPr>
                <w:rFonts w:cs="Arial"/>
                <w:lang w:eastAsia="en-NZ"/>
              </w:rPr>
              <w:t>1</w:t>
            </w:r>
            <w:r w:rsidRPr="00BB4C59">
              <w:rPr>
                <w:rFonts w:cs="Arial"/>
                <w:lang w:eastAsia="en-NZ"/>
              </w:rPr>
              <w:t>/201</w:t>
            </w:r>
            <w:r>
              <w:rPr>
                <w:rFonts w:cs="Arial"/>
                <w:lang w:eastAsia="en-NZ"/>
              </w:rPr>
              <w:t>2</w:t>
            </w:r>
          </w:p>
        </w:tc>
      </w:tr>
      <w:tr w:rsidR="00333713" w:rsidRPr="00BB4C59" w:rsidTr="00333713">
        <w:trPr>
          <w:trHeight w:val="300"/>
        </w:trPr>
        <w:tc>
          <w:tcPr>
            <w:tcW w:w="760" w:type="dxa"/>
            <w:tcBorders>
              <w:top w:val="nil"/>
              <w:left w:val="single" w:sz="8" w:space="0" w:color="7F7F7F"/>
              <w:bottom w:val="nil"/>
              <w:right w:val="single" w:sz="8" w:space="0" w:color="7F7F7F"/>
            </w:tcBorders>
            <w:shd w:val="clear" w:color="auto" w:fill="C4BC96" w:themeFill="background2" w:themeFillShade="BF"/>
            <w:vAlign w:val="center"/>
            <w:hideMark/>
          </w:tcPr>
          <w:p w:rsidR="00333713" w:rsidRPr="00BB4C59" w:rsidRDefault="00333713" w:rsidP="00333713">
            <w:pPr>
              <w:pStyle w:val="Tabletext"/>
              <w:jc w:val="both"/>
              <w:rPr>
                <w:rFonts w:cs="Arial"/>
                <w:lang w:eastAsia="en-NZ"/>
              </w:rPr>
            </w:pPr>
            <w:r w:rsidRPr="00BB4C59">
              <w:rPr>
                <w:rFonts w:cs="Arial"/>
                <w:lang w:eastAsia="en-NZ"/>
              </w:rPr>
              <w:t>08</w:t>
            </w:r>
            <w:r>
              <w:rPr>
                <w:rFonts w:cs="Arial"/>
                <w:lang w:eastAsia="en-NZ"/>
              </w:rPr>
              <w:t>/09</w:t>
            </w:r>
          </w:p>
        </w:tc>
        <w:tc>
          <w:tcPr>
            <w:tcW w:w="1668" w:type="dxa"/>
            <w:tcBorders>
              <w:top w:val="nil"/>
              <w:left w:val="nil"/>
              <w:bottom w:val="nil"/>
              <w:right w:val="single" w:sz="8" w:space="0" w:color="7F7F7F"/>
            </w:tcBorders>
            <w:shd w:val="clear" w:color="auto" w:fill="C4BC96" w:themeFill="background2" w:themeFillShade="BF"/>
            <w:vAlign w:val="center"/>
            <w:hideMark/>
          </w:tcPr>
          <w:p w:rsidR="00333713" w:rsidRPr="00BB4C59" w:rsidRDefault="00333713" w:rsidP="00333713">
            <w:pPr>
              <w:pStyle w:val="Tabletext"/>
              <w:jc w:val="center"/>
              <w:rPr>
                <w:rFonts w:cs="Arial"/>
                <w:lang w:eastAsia="en-NZ"/>
              </w:rPr>
            </w:pPr>
            <w:r w:rsidRPr="00BB4C59">
              <w:rPr>
                <w:rFonts w:cs="Arial"/>
                <w:lang w:eastAsia="en-NZ"/>
              </w:rPr>
              <w:t>2</w:t>
            </w:r>
          </w:p>
        </w:tc>
        <w:tc>
          <w:tcPr>
            <w:tcW w:w="1984" w:type="dxa"/>
            <w:tcBorders>
              <w:top w:val="nil"/>
              <w:left w:val="nil"/>
              <w:bottom w:val="nil"/>
              <w:right w:val="single" w:sz="8" w:space="0" w:color="7F7F7F"/>
            </w:tcBorders>
            <w:shd w:val="clear" w:color="auto" w:fill="C4BC96" w:themeFill="background2" w:themeFillShade="BF"/>
            <w:vAlign w:val="center"/>
            <w:hideMark/>
          </w:tcPr>
          <w:p w:rsidR="00333713" w:rsidRPr="00BB4C59" w:rsidRDefault="00333713" w:rsidP="00333713">
            <w:pPr>
              <w:pStyle w:val="Tabletext"/>
              <w:jc w:val="center"/>
              <w:rPr>
                <w:rFonts w:cs="Arial"/>
                <w:lang w:eastAsia="en-NZ"/>
              </w:rPr>
            </w:pPr>
            <w:r w:rsidRPr="00BB4C59">
              <w:rPr>
                <w:rFonts w:cs="Arial"/>
                <w:lang w:eastAsia="en-NZ"/>
              </w:rPr>
              <w:t>20</w:t>
            </w:r>
            <w:r>
              <w:rPr>
                <w:rFonts w:cs="Arial"/>
                <w:lang w:eastAsia="en-NZ"/>
              </w:rPr>
              <w:t>10</w:t>
            </w:r>
            <w:r w:rsidRPr="00BB4C59">
              <w:rPr>
                <w:rFonts w:cs="Arial"/>
                <w:lang w:eastAsia="en-NZ"/>
              </w:rPr>
              <w:t>/201</w:t>
            </w:r>
            <w:r>
              <w:rPr>
                <w:rFonts w:cs="Arial"/>
                <w:lang w:eastAsia="en-NZ"/>
              </w:rPr>
              <w:t>1</w:t>
            </w:r>
          </w:p>
        </w:tc>
        <w:tc>
          <w:tcPr>
            <w:tcW w:w="2126" w:type="dxa"/>
            <w:tcBorders>
              <w:top w:val="nil"/>
              <w:left w:val="nil"/>
              <w:bottom w:val="nil"/>
              <w:right w:val="single" w:sz="8" w:space="0" w:color="7F7F7F"/>
            </w:tcBorders>
            <w:shd w:val="clear" w:color="auto" w:fill="C4BC96" w:themeFill="background2" w:themeFillShade="BF"/>
            <w:vAlign w:val="center"/>
            <w:hideMark/>
          </w:tcPr>
          <w:p w:rsidR="00333713" w:rsidRPr="00BB4C59" w:rsidRDefault="00333713" w:rsidP="00333713">
            <w:pPr>
              <w:pStyle w:val="Tabletext"/>
              <w:jc w:val="center"/>
              <w:rPr>
                <w:rFonts w:cs="Arial"/>
                <w:lang w:eastAsia="en-NZ"/>
              </w:rPr>
            </w:pPr>
            <w:r w:rsidRPr="00BB4C59">
              <w:rPr>
                <w:rFonts w:cs="Arial"/>
                <w:lang w:eastAsia="en-NZ"/>
              </w:rPr>
              <w:t>201</w:t>
            </w:r>
            <w:r>
              <w:rPr>
                <w:rFonts w:cs="Arial"/>
                <w:lang w:eastAsia="en-NZ"/>
              </w:rPr>
              <w:t>1</w:t>
            </w:r>
            <w:r w:rsidRPr="00BB4C59">
              <w:rPr>
                <w:rFonts w:cs="Arial"/>
                <w:lang w:eastAsia="en-NZ"/>
              </w:rPr>
              <w:t>/201</w:t>
            </w:r>
            <w:r>
              <w:rPr>
                <w:rFonts w:cs="Arial"/>
                <w:lang w:eastAsia="en-NZ"/>
              </w:rPr>
              <w:t>2</w:t>
            </w:r>
          </w:p>
        </w:tc>
      </w:tr>
      <w:tr w:rsidR="00333713" w:rsidRPr="00BB4C59" w:rsidTr="00333713">
        <w:trPr>
          <w:trHeight w:val="315"/>
        </w:trPr>
        <w:tc>
          <w:tcPr>
            <w:tcW w:w="760" w:type="dxa"/>
            <w:tcBorders>
              <w:top w:val="nil"/>
              <w:left w:val="single" w:sz="8" w:space="0" w:color="7F7F7F"/>
              <w:bottom w:val="nil"/>
              <w:right w:val="single" w:sz="8" w:space="0" w:color="7F7F7F"/>
            </w:tcBorders>
            <w:shd w:val="clear" w:color="auto" w:fill="auto"/>
            <w:vAlign w:val="center"/>
            <w:hideMark/>
          </w:tcPr>
          <w:p w:rsidR="00333713" w:rsidRPr="00BB4C59" w:rsidRDefault="00333713" w:rsidP="00333713">
            <w:pPr>
              <w:pStyle w:val="Tabletext"/>
              <w:jc w:val="both"/>
              <w:rPr>
                <w:rFonts w:cs="Arial"/>
                <w:lang w:eastAsia="en-NZ"/>
              </w:rPr>
            </w:pPr>
            <w:r w:rsidRPr="00BB4C59">
              <w:rPr>
                <w:rFonts w:cs="Arial"/>
                <w:lang w:eastAsia="en-NZ"/>
              </w:rPr>
              <w:t>07</w:t>
            </w:r>
            <w:r>
              <w:rPr>
                <w:rFonts w:cs="Arial"/>
                <w:lang w:eastAsia="en-NZ"/>
              </w:rPr>
              <w:t>/08</w:t>
            </w:r>
          </w:p>
        </w:tc>
        <w:tc>
          <w:tcPr>
            <w:tcW w:w="1668" w:type="dxa"/>
            <w:tcBorders>
              <w:top w:val="nil"/>
              <w:left w:val="nil"/>
              <w:bottom w:val="nil"/>
              <w:right w:val="single" w:sz="8" w:space="0" w:color="7F7F7F"/>
            </w:tcBorders>
            <w:shd w:val="clear" w:color="auto" w:fill="auto"/>
            <w:vAlign w:val="center"/>
            <w:hideMark/>
          </w:tcPr>
          <w:p w:rsidR="00333713" w:rsidRPr="00BB4C59" w:rsidRDefault="00333713" w:rsidP="00333713">
            <w:pPr>
              <w:pStyle w:val="Tabletext"/>
              <w:jc w:val="center"/>
              <w:rPr>
                <w:rFonts w:cs="Arial"/>
                <w:lang w:eastAsia="en-NZ"/>
              </w:rPr>
            </w:pPr>
            <w:r w:rsidRPr="00BB4C59">
              <w:rPr>
                <w:rFonts w:cs="Arial"/>
                <w:lang w:eastAsia="en-NZ"/>
              </w:rPr>
              <w:t>3</w:t>
            </w:r>
          </w:p>
        </w:tc>
        <w:tc>
          <w:tcPr>
            <w:tcW w:w="1984" w:type="dxa"/>
            <w:tcBorders>
              <w:top w:val="nil"/>
              <w:left w:val="nil"/>
              <w:bottom w:val="nil"/>
              <w:right w:val="single" w:sz="8" w:space="0" w:color="7F7F7F"/>
            </w:tcBorders>
            <w:shd w:val="clear" w:color="auto" w:fill="auto"/>
            <w:vAlign w:val="center"/>
            <w:hideMark/>
          </w:tcPr>
          <w:p w:rsidR="00333713" w:rsidRPr="00BB4C59" w:rsidRDefault="00333713" w:rsidP="00333713">
            <w:pPr>
              <w:pStyle w:val="Tabletext"/>
              <w:jc w:val="center"/>
              <w:rPr>
                <w:rFonts w:cs="Arial"/>
                <w:lang w:eastAsia="en-NZ"/>
              </w:rPr>
            </w:pPr>
            <w:r w:rsidRPr="00BB4C59">
              <w:rPr>
                <w:rFonts w:cs="Arial"/>
                <w:lang w:eastAsia="en-NZ"/>
              </w:rPr>
              <w:t>20</w:t>
            </w:r>
            <w:r>
              <w:rPr>
                <w:rFonts w:cs="Arial"/>
                <w:lang w:eastAsia="en-NZ"/>
              </w:rPr>
              <w:t>10</w:t>
            </w:r>
            <w:r w:rsidRPr="00BB4C59">
              <w:rPr>
                <w:rFonts w:cs="Arial"/>
                <w:lang w:eastAsia="en-NZ"/>
              </w:rPr>
              <w:t>/201</w:t>
            </w:r>
            <w:r>
              <w:rPr>
                <w:rFonts w:cs="Arial"/>
                <w:lang w:eastAsia="en-NZ"/>
              </w:rPr>
              <w:t>1</w:t>
            </w:r>
          </w:p>
        </w:tc>
        <w:tc>
          <w:tcPr>
            <w:tcW w:w="2126" w:type="dxa"/>
            <w:tcBorders>
              <w:top w:val="nil"/>
              <w:left w:val="nil"/>
              <w:bottom w:val="nil"/>
              <w:right w:val="single" w:sz="8" w:space="0" w:color="7F7F7F"/>
            </w:tcBorders>
            <w:shd w:val="clear" w:color="auto" w:fill="auto"/>
            <w:vAlign w:val="center"/>
            <w:hideMark/>
          </w:tcPr>
          <w:p w:rsidR="00333713" w:rsidRPr="00BB4C59" w:rsidRDefault="00333713" w:rsidP="00333713">
            <w:pPr>
              <w:pStyle w:val="Tabletext"/>
              <w:jc w:val="center"/>
              <w:rPr>
                <w:rFonts w:cs="Arial"/>
                <w:lang w:eastAsia="en-NZ"/>
              </w:rPr>
            </w:pPr>
            <w:r w:rsidRPr="00BB4C59">
              <w:rPr>
                <w:rFonts w:cs="Arial"/>
                <w:lang w:eastAsia="en-NZ"/>
              </w:rPr>
              <w:t>201</w:t>
            </w:r>
            <w:r>
              <w:rPr>
                <w:rFonts w:cs="Arial"/>
                <w:lang w:eastAsia="en-NZ"/>
              </w:rPr>
              <w:t>1</w:t>
            </w:r>
            <w:r w:rsidRPr="00BB4C59">
              <w:rPr>
                <w:rFonts w:cs="Arial"/>
                <w:lang w:eastAsia="en-NZ"/>
              </w:rPr>
              <w:t>/201</w:t>
            </w:r>
            <w:r>
              <w:rPr>
                <w:rFonts w:cs="Arial"/>
                <w:lang w:eastAsia="en-NZ"/>
              </w:rPr>
              <w:t>2</w:t>
            </w:r>
          </w:p>
        </w:tc>
      </w:tr>
      <w:tr w:rsidR="00333713" w:rsidRPr="00BB4C59" w:rsidTr="00333713">
        <w:trPr>
          <w:trHeight w:val="315"/>
        </w:trPr>
        <w:tc>
          <w:tcPr>
            <w:tcW w:w="760" w:type="dxa"/>
            <w:tcBorders>
              <w:top w:val="nil"/>
              <w:left w:val="single" w:sz="8" w:space="0" w:color="7F7F7F"/>
              <w:bottom w:val="nil"/>
              <w:right w:val="single" w:sz="8" w:space="0" w:color="7F7F7F"/>
            </w:tcBorders>
            <w:shd w:val="clear" w:color="auto" w:fill="C4BC96" w:themeFill="background2" w:themeFillShade="BF"/>
            <w:vAlign w:val="center"/>
            <w:hideMark/>
          </w:tcPr>
          <w:p w:rsidR="00333713" w:rsidRPr="00BB4C59" w:rsidRDefault="00333713" w:rsidP="00333713">
            <w:pPr>
              <w:pStyle w:val="Tabletext"/>
              <w:jc w:val="both"/>
              <w:rPr>
                <w:rFonts w:cs="Arial"/>
                <w:lang w:eastAsia="en-NZ"/>
              </w:rPr>
            </w:pPr>
            <w:r w:rsidRPr="00BB4C59">
              <w:rPr>
                <w:rFonts w:cs="Arial"/>
                <w:lang w:eastAsia="en-NZ"/>
              </w:rPr>
              <w:t>06</w:t>
            </w:r>
            <w:r>
              <w:rPr>
                <w:rFonts w:cs="Arial"/>
                <w:lang w:eastAsia="en-NZ"/>
              </w:rPr>
              <w:t>/07</w:t>
            </w:r>
          </w:p>
        </w:tc>
        <w:tc>
          <w:tcPr>
            <w:tcW w:w="1668" w:type="dxa"/>
            <w:tcBorders>
              <w:top w:val="nil"/>
              <w:left w:val="nil"/>
              <w:bottom w:val="nil"/>
              <w:right w:val="single" w:sz="8" w:space="0" w:color="7F7F7F"/>
            </w:tcBorders>
            <w:shd w:val="clear" w:color="auto" w:fill="C4BC96" w:themeFill="background2" w:themeFillShade="BF"/>
            <w:vAlign w:val="center"/>
            <w:hideMark/>
          </w:tcPr>
          <w:p w:rsidR="00333713" w:rsidRPr="00BB4C59" w:rsidRDefault="00333713" w:rsidP="00333713">
            <w:pPr>
              <w:pStyle w:val="Tabletext"/>
              <w:jc w:val="center"/>
              <w:rPr>
                <w:rFonts w:cs="Arial"/>
                <w:lang w:eastAsia="en-NZ"/>
              </w:rPr>
            </w:pPr>
            <w:r w:rsidRPr="00BB4C59">
              <w:rPr>
                <w:rFonts w:cs="Arial"/>
                <w:lang w:eastAsia="en-NZ"/>
              </w:rPr>
              <w:t>4</w:t>
            </w:r>
          </w:p>
        </w:tc>
        <w:tc>
          <w:tcPr>
            <w:tcW w:w="1984" w:type="dxa"/>
            <w:tcBorders>
              <w:top w:val="nil"/>
              <w:left w:val="nil"/>
              <w:bottom w:val="nil"/>
              <w:right w:val="single" w:sz="8" w:space="0" w:color="7F7F7F"/>
            </w:tcBorders>
            <w:shd w:val="clear" w:color="auto" w:fill="C4BC96" w:themeFill="background2" w:themeFillShade="BF"/>
            <w:vAlign w:val="center"/>
            <w:hideMark/>
          </w:tcPr>
          <w:p w:rsidR="00333713" w:rsidRPr="00BB4C59" w:rsidRDefault="00333713" w:rsidP="00333713">
            <w:pPr>
              <w:pStyle w:val="Tabletext"/>
              <w:jc w:val="center"/>
              <w:rPr>
                <w:rFonts w:cs="Arial"/>
                <w:lang w:eastAsia="en-NZ"/>
              </w:rPr>
            </w:pPr>
            <w:r w:rsidRPr="00BB4C59">
              <w:rPr>
                <w:rFonts w:cs="Arial"/>
                <w:lang w:eastAsia="en-NZ"/>
              </w:rPr>
              <w:t>20</w:t>
            </w:r>
            <w:r>
              <w:rPr>
                <w:rFonts w:cs="Arial"/>
                <w:lang w:eastAsia="en-NZ"/>
              </w:rPr>
              <w:t>10</w:t>
            </w:r>
            <w:r w:rsidRPr="00BB4C59">
              <w:rPr>
                <w:rFonts w:cs="Arial"/>
                <w:lang w:eastAsia="en-NZ"/>
              </w:rPr>
              <w:t>/201</w:t>
            </w:r>
            <w:r>
              <w:rPr>
                <w:rFonts w:cs="Arial"/>
                <w:lang w:eastAsia="en-NZ"/>
              </w:rPr>
              <w:t>1</w:t>
            </w:r>
          </w:p>
        </w:tc>
        <w:tc>
          <w:tcPr>
            <w:tcW w:w="2126" w:type="dxa"/>
            <w:tcBorders>
              <w:top w:val="nil"/>
              <w:left w:val="nil"/>
              <w:bottom w:val="nil"/>
              <w:right w:val="single" w:sz="8" w:space="0" w:color="7F7F7F"/>
            </w:tcBorders>
            <w:shd w:val="clear" w:color="auto" w:fill="C4BC96" w:themeFill="background2" w:themeFillShade="BF"/>
            <w:vAlign w:val="center"/>
            <w:hideMark/>
          </w:tcPr>
          <w:p w:rsidR="00333713" w:rsidRPr="00BB4C59" w:rsidRDefault="00333713" w:rsidP="00333713">
            <w:pPr>
              <w:pStyle w:val="Tabletext"/>
              <w:jc w:val="center"/>
              <w:rPr>
                <w:rFonts w:cs="Arial"/>
                <w:lang w:eastAsia="en-NZ"/>
              </w:rPr>
            </w:pPr>
            <w:r w:rsidRPr="00BB4C59">
              <w:rPr>
                <w:rFonts w:cs="Arial"/>
                <w:lang w:eastAsia="en-NZ"/>
              </w:rPr>
              <w:t>201</w:t>
            </w:r>
            <w:r>
              <w:rPr>
                <w:rFonts w:cs="Arial"/>
                <w:lang w:eastAsia="en-NZ"/>
              </w:rPr>
              <w:t>1</w:t>
            </w:r>
            <w:r w:rsidRPr="00BB4C59">
              <w:rPr>
                <w:rFonts w:cs="Arial"/>
                <w:lang w:eastAsia="en-NZ"/>
              </w:rPr>
              <w:t>/201</w:t>
            </w:r>
            <w:r>
              <w:rPr>
                <w:rFonts w:cs="Arial"/>
                <w:lang w:eastAsia="en-NZ"/>
              </w:rPr>
              <w:t>2</w:t>
            </w:r>
          </w:p>
        </w:tc>
      </w:tr>
      <w:tr w:rsidR="00333713" w:rsidRPr="00BB4C59" w:rsidTr="00333713">
        <w:trPr>
          <w:trHeight w:val="315"/>
        </w:trPr>
        <w:tc>
          <w:tcPr>
            <w:tcW w:w="760" w:type="dxa"/>
            <w:tcBorders>
              <w:top w:val="nil"/>
              <w:left w:val="single" w:sz="8" w:space="0" w:color="7F7F7F"/>
              <w:right w:val="single" w:sz="8" w:space="0" w:color="7F7F7F"/>
            </w:tcBorders>
            <w:shd w:val="clear" w:color="auto" w:fill="auto"/>
            <w:vAlign w:val="center"/>
            <w:hideMark/>
          </w:tcPr>
          <w:p w:rsidR="00333713" w:rsidRPr="00BB4C59" w:rsidRDefault="00333713" w:rsidP="00333713">
            <w:pPr>
              <w:pStyle w:val="Tabletext"/>
              <w:jc w:val="both"/>
              <w:rPr>
                <w:rFonts w:cs="Arial"/>
                <w:lang w:eastAsia="en-NZ"/>
              </w:rPr>
            </w:pPr>
            <w:r w:rsidRPr="00BB4C59">
              <w:rPr>
                <w:rFonts w:cs="Arial"/>
                <w:lang w:eastAsia="en-NZ"/>
              </w:rPr>
              <w:t>05</w:t>
            </w:r>
            <w:r>
              <w:rPr>
                <w:rFonts w:cs="Arial"/>
                <w:lang w:eastAsia="en-NZ"/>
              </w:rPr>
              <w:t>/06</w:t>
            </w:r>
          </w:p>
        </w:tc>
        <w:tc>
          <w:tcPr>
            <w:tcW w:w="1668" w:type="dxa"/>
            <w:tcBorders>
              <w:top w:val="nil"/>
              <w:left w:val="nil"/>
              <w:right w:val="single" w:sz="8" w:space="0" w:color="7F7F7F"/>
            </w:tcBorders>
            <w:shd w:val="clear" w:color="auto" w:fill="auto"/>
            <w:vAlign w:val="center"/>
            <w:hideMark/>
          </w:tcPr>
          <w:p w:rsidR="00333713" w:rsidRPr="00BB4C59" w:rsidRDefault="00333713" w:rsidP="00333713">
            <w:pPr>
              <w:pStyle w:val="Tabletext"/>
              <w:jc w:val="center"/>
              <w:rPr>
                <w:rFonts w:cs="Arial"/>
                <w:lang w:eastAsia="en-NZ"/>
              </w:rPr>
            </w:pPr>
            <w:r w:rsidRPr="00BB4C59">
              <w:rPr>
                <w:rFonts w:cs="Arial"/>
                <w:lang w:eastAsia="en-NZ"/>
              </w:rPr>
              <w:t>5</w:t>
            </w:r>
          </w:p>
        </w:tc>
        <w:tc>
          <w:tcPr>
            <w:tcW w:w="1984" w:type="dxa"/>
            <w:tcBorders>
              <w:top w:val="nil"/>
              <w:left w:val="nil"/>
              <w:right w:val="single" w:sz="8" w:space="0" w:color="7F7F7F"/>
            </w:tcBorders>
            <w:shd w:val="clear" w:color="auto" w:fill="auto"/>
            <w:vAlign w:val="center"/>
            <w:hideMark/>
          </w:tcPr>
          <w:p w:rsidR="00333713" w:rsidRPr="00BB4C59" w:rsidRDefault="00333713" w:rsidP="00333713">
            <w:pPr>
              <w:pStyle w:val="Tabletext"/>
              <w:jc w:val="center"/>
              <w:rPr>
                <w:rFonts w:cs="Arial"/>
                <w:lang w:eastAsia="en-NZ"/>
              </w:rPr>
            </w:pPr>
            <w:r w:rsidRPr="00BB4C59">
              <w:rPr>
                <w:rFonts w:cs="Arial"/>
                <w:lang w:eastAsia="en-NZ"/>
              </w:rPr>
              <w:t>20</w:t>
            </w:r>
            <w:r>
              <w:rPr>
                <w:rFonts w:cs="Arial"/>
                <w:lang w:eastAsia="en-NZ"/>
              </w:rPr>
              <w:t>10</w:t>
            </w:r>
            <w:r w:rsidRPr="00BB4C59">
              <w:rPr>
                <w:rFonts w:cs="Arial"/>
                <w:lang w:eastAsia="en-NZ"/>
              </w:rPr>
              <w:t>/201</w:t>
            </w:r>
            <w:r>
              <w:rPr>
                <w:rFonts w:cs="Arial"/>
                <w:lang w:eastAsia="en-NZ"/>
              </w:rPr>
              <w:t>1</w:t>
            </w:r>
          </w:p>
        </w:tc>
        <w:tc>
          <w:tcPr>
            <w:tcW w:w="2126" w:type="dxa"/>
            <w:tcBorders>
              <w:top w:val="nil"/>
              <w:left w:val="nil"/>
              <w:right w:val="single" w:sz="8" w:space="0" w:color="7F7F7F"/>
            </w:tcBorders>
            <w:shd w:val="clear" w:color="auto" w:fill="auto"/>
            <w:vAlign w:val="center"/>
            <w:hideMark/>
          </w:tcPr>
          <w:p w:rsidR="00333713" w:rsidRPr="00BB4C59" w:rsidRDefault="00333713" w:rsidP="00333713">
            <w:pPr>
              <w:pStyle w:val="Tabletext"/>
              <w:jc w:val="center"/>
              <w:rPr>
                <w:rFonts w:cs="Arial"/>
                <w:lang w:eastAsia="en-NZ"/>
              </w:rPr>
            </w:pPr>
            <w:r w:rsidRPr="00BB4C59">
              <w:rPr>
                <w:rFonts w:cs="Arial"/>
                <w:lang w:eastAsia="en-NZ"/>
              </w:rPr>
              <w:t>201</w:t>
            </w:r>
            <w:r>
              <w:rPr>
                <w:rFonts w:cs="Arial"/>
                <w:lang w:eastAsia="en-NZ"/>
              </w:rPr>
              <w:t>1</w:t>
            </w:r>
            <w:r w:rsidRPr="00BB4C59">
              <w:rPr>
                <w:rFonts w:cs="Arial"/>
                <w:lang w:eastAsia="en-NZ"/>
              </w:rPr>
              <w:t>/201</w:t>
            </w:r>
            <w:r>
              <w:rPr>
                <w:rFonts w:cs="Arial"/>
                <w:lang w:eastAsia="en-NZ"/>
              </w:rPr>
              <w:t>2</w:t>
            </w:r>
          </w:p>
        </w:tc>
      </w:tr>
      <w:tr w:rsidR="00333713" w:rsidRPr="00BB4C59" w:rsidTr="00333713">
        <w:trPr>
          <w:trHeight w:val="315"/>
        </w:trPr>
        <w:tc>
          <w:tcPr>
            <w:tcW w:w="760" w:type="dxa"/>
            <w:tcBorders>
              <w:top w:val="nil"/>
              <w:left w:val="single" w:sz="8" w:space="0" w:color="7F7F7F"/>
              <w:right w:val="single" w:sz="8" w:space="0" w:color="7F7F7F"/>
            </w:tcBorders>
            <w:shd w:val="clear" w:color="auto" w:fill="C4BC96" w:themeFill="background2" w:themeFillShade="BF"/>
            <w:vAlign w:val="center"/>
            <w:hideMark/>
          </w:tcPr>
          <w:p w:rsidR="00333713" w:rsidRPr="00BB4C59" w:rsidRDefault="00333713" w:rsidP="00333713">
            <w:pPr>
              <w:pStyle w:val="Tabletext"/>
              <w:jc w:val="both"/>
              <w:rPr>
                <w:rFonts w:cs="Arial"/>
                <w:lang w:eastAsia="en-NZ"/>
              </w:rPr>
            </w:pPr>
            <w:r>
              <w:rPr>
                <w:rFonts w:cs="Arial"/>
                <w:lang w:eastAsia="en-NZ"/>
              </w:rPr>
              <w:t>04/05</w:t>
            </w:r>
          </w:p>
        </w:tc>
        <w:tc>
          <w:tcPr>
            <w:tcW w:w="1668" w:type="dxa"/>
            <w:tcBorders>
              <w:top w:val="nil"/>
              <w:left w:val="nil"/>
              <w:right w:val="single" w:sz="8" w:space="0" w:color="7F7F7F"/>
            </w:tcBorders>
            <w:shd w:val="clear" w:color="auto" w:fill="C4BC96" w:themeFill="background2" w:themeFillShade="BF"/>
            <w:vAlign w:val="center"/>
            <w:hideMark/>
          </w:tcPr>
          <w:p w:rsidR="00333713" w:rsidRPr="00BB4C59" w:rsidRDefault="00333713" w:rsidP="00333713">
            <w:pPr>
              <w:pStyle w:val="Tabletext"/>
              <w:jc w:val="center"/>
              <w:rPr>
                <w:rFonts w:cs="Arial"/>
                <w:lang w:eastAsia="en-NZ"/>
              </w:rPr>
            </w:pPr>
            <w:r w:rsidRPr="00BB4C59">
              <w:rPr>
                <w:rFonts w:cs="Arial"/>
                <w:lang w:eastAsia="en-NZ"/>
              </w:rPr>
              <w:t>6</w:t>
            </w:r>
          </w:p>
        </w:tc>
        <w:tc>
          <w:tcPr>
            <w:tcW w:w="1984" w:type="dxa"/>
            <w:tcBorders>
              <w:top w:val="nil"/>
              <w:left w:val="nil"/>
              <w:right w:val="single" w:sz="8" w:space="0" w:color="7F7F7F"/>
            </w:tcBorders>
            <w:shd w:val="clear" w:color="auto" w:fill="C4BC96" w:themeFill="background2" w:themeFillShade="BF"/>
            <w:vAlign w:val="center"/>
            <w:hideMark/>
          </w:tcPr>
          <w:p w:rsidR="00333713" w:rsidRPr="00BB4C59" w:rsidRDefault="00333713" w:rsidP="00333713">
            <w:pPr>
              <w:pStyle w:val="Tabletext"/>
              <w:jc w:val="center"/>
              <w:rPr>
                <w:rFonts w:cs="Arial"/>
                <w:lang w:eastAsia="en-NZ"/>
              </w:rPr>
            </w:pPr>
            <w:r w:rsidRPr="00BB4C59">
              <w:rPr>
                <w:rFonts w:cs="Arial"/>
                <w:lang w:eastAsia="en-NZ"/>
              </w:rPr>
              <w:t>20</w:t>
            </w:r>
            <w:r>
              <w:rPr>
                <w:rFonts w:cs="Arial"/>
                <w:lang w:eastAsia="en-NZ"/>
              </w:rPr>
              <w:t>10</w:t>
            </w:r>
            <w:r w:rsidRPr="00BB4C59">
              <w:rPr>
                <w:rFonts w:cs="Arial"/>
                <w:lang w:eastAsia="en-NZ"/>
              </w:rPr>
              <w:t>/201</w:t>
            </w:r>
            <w:r>
              <w:rPr>
                <w:rFonts w:cs="Arial"/>
                <w:lang w:eastAsia="en-NZ"/>
              </w:rPr>
              <w:t>1</w:t>
            </w:r>
          </w:p>
        </w:tc>
        <w:tc>
          <w:tcPr>
            <w:tcW w:w="2126" w:type="dxa"/>
            <w:tcBorders>
              <w:top w:val="nil"/>
              <w:left w:val="nil"/>
              <w:right w:val="single" w:sz="8" w:space="0" w:color="7F7F7F"/>
            </w:tcBorders>
            <w:shd w:val="clear" w:color="auto" w:fill="C4BC96" w:themeFill="background2" w:themeFillShade="BF"/>
            <w:vAlign w:val="center"/>
            <w:hideMark/>
          </w:tcPr>
          <w:p w:rsidR="00333713" w:rsidRPr="00BB4C59" w:rsidRDefault="00333713" w:rsidP="00333713">
            <w:pPr>
              <w:pStyle w:val="Tabletext"/>
              <w:jc w:val="center"/>
              <w:rPr>
                <w:rFonts w:cs="Arial"/>
                <w:lang w:eastAsia="en-NZ"/>
              </w:rPr>
            </w:pPr>
            <w:r w:rsidRPr="00BB4C59">
              <w:rPr>
                <w:rFonts w:cs="Arial"/>
                <w:lang w:eastAsia="en-NZ"/>
              </w:rPr>
              <w:t>201</w:t>
            </w:r>
            <w:r>
              <w:rPr>
                <w:rFonts w:cs="Arial"/>
                <w:lang w:eastAsia="en-NZ"/>
              </w:rPr>
              <w:t>1</w:t>
            </w:r>
            <w:r w:rsidRPr="00BB4C59">
              <w:rPr>
                <w:rFonts w:cs="Arial"/>
                <w:lang w:eastAsia="en-NZ"/>
              </w:rPr>
              <w:t>/201</w:t>
            </w:r>
            <w:r>
              <w:rPr>
                <w:rFonts w:cs="Arial"/>
                <w:lang w:eastAsia="en-NZ"/>
              </w:rPr>
              <w:t>2</w:t>
            </w:r>
          </w:p>
        </w:tc>
      </w:tr>
      <w:tr w:rsidR="00333713" w:rsidRPr="00BB4C59" w:rsidTr="00333713">
        <w:trPr>
          <w:trHeight w:val="315"/>
        </w:trPr>
        <w:tc>
          <w:tcPr>
            <w:tcW w:w="760" w:type="dxa"/>
            <w:tcBorders>
              <w:top w:val="nil"/>
              <w:left w:val="single" w:sz="8" w:space="0" w:color="7F7F7F"/>
              <w:bottom w:val="single" w:sz="8" w:space="0" w:color="7F7F7F"/>
              <w:right w:val="single" w:sz="8" w:space="0" w:color="7F7F7F"/>
            </w:tcBorders>
            <w:shd w:val="clear" w:color="auto" w:fill="auto"/>
            <w:vAlign w:val="center"/>
            <w:hideMark/>
          </w:tcPr>
          <w:p w:rsidR="00333713" w:rsidRPr="00BB4C59" w:rsidRDefault="00333713" w:rsidP="00333713">
            <w:pPr>
              <w:pStyle w:val="Tabletext"/>
              <w:jc w:val="both"/>
              <w:rPr>
                <w:rFonts w:cs="Arial"/>
                <w:lang w:eastAsia="en-NZ"/>
              </w:rPr>
            </w:pPr>
            <w:r>
              <w:rPr>
                <w:rFonts w:cs="Arial"/>
                <w:lang w:eastAsia="en-NZ"/>
              </w:rPr>
              <w:t>03/04</w:t>
            </w:r>
          </w:p>
        </w:tc>
        <w:tc>
          <w:tcPr>
            <w:tcW w:w="1668" w:type="dxa"/>
            <w:tcBorders>
              <w:top w:val="nil"/>
              <w:left w:val="nil"/>
              <w:bottom w:val="single" w:sz="8" w:space="0" w:color="7F7F7F"/>
              <w:right w:val="single" w:sz="8" w:space="0" w:color="7F7F7F"/>
            </w:tcBorders>
            <w:shd w:val="clear" w:color="auto" w:fill="auto"/>
            <w:vAlign w:val="center"/>
            <w:hideMark/>
          </w:tcPr>
          <w:p w:rsidR="00333713" w:rsidRPr="00BB4C59" w:rsidRDefault="00333713" w:rsidP="00333713">
            <w:pPr>
              <w:pStyle w:val="Tabletext"/>
              <w:jc w:val="center"/>
              <w:rPr>
                <w:rFonts w:cs="Arial"/>
                <w:lang w:eastAsia="en-NZ"/>
              </w:rPr>
            </w:pPr>
            <w:r>
              <w:rPr>
                <w:rFonts w:cs="Arial"/>
                <w:lang w:eastAsia="en-NZ"/>
              </w:rPr>
              <w:t>7</w:t>
            </w:r>
          </w:p>
        </w:tc>
        <w:tc>
          <w:tcPr>
            <w:tcW w:w="1984" w:type="dxa"/>
            <w:tcBorders>
              <w:top w:val="nil"/>
              <w:left w:val="nil"/>
              <w:bottom w:val="single" w:sz="8" w:space="0" w:color="7F7F7F"/>
              <w:right w:val="single" w:sz="8" w:space="0" w:color="7F7F7F"/>
            </w:tcBorders>
            <w:shd w:val="clear" w:color="auto" w:fill="auto"/>
            <w:vAlign w:val="center"/>
            <w:hideMark/>
          </w:tcPr>
          <w:p w:rsidR="00333713" w:rsidRPr="00BB4C59" w:rsidRDefault="00333713" w:rsidP="00333713">
            <w:pPr>
              <w:pStyle w:val="Tabletext"/>
              <w:jc w:val="center"/>
              <w:rPr>
                <w:rFonts w:cs="Arial"/>
                <w:lang w:eastAsia="en-NZ"/>
              </w:rPr>
            </w:pPr>
            <w:r w:rsidRPr="00BB4C59">
              <w:rPr>
                <w:rFonts w:cs="Arial"/>
                <w:lang w:eastAsia="en-NZ"/>
              </w:rPr>
              <w:t>20</w:t>
            </w:r>
            <w:r>
              <w:rPr>
                <w:rFonts w:cs="Arial"/>
                <w:lang w:eastAsia="en-NZ"/>
              </w:rPr>
              <w:t>10</w:t>
            </w:r>
            <w:r w:rsidRPr="00BB4C59">
              <w:rPr>
                <w:rFonts w:cs="Arial"/>
                <w:lang w:eastAsia="en-NZ"/>
              </w:rPr>
              <w:t>/201</w:t>
            </w:r>
            <w:r>
              <w:rPr>
                <w:rFonts w:cs="Arial"/>
                <w:lang w:eastAsia="en-NZ"/>
              </w:rPr>
              <w:t>1</w:t>
            </w:r>
          </w:p>
        </w:tc>
        <w:tc>
          <w:tcPr>
            <w:tcW w:w="2126" w:type="dxa"/>
            <w:tcBorders>
              <w:top w:val="nil"/>
              <w:left w:val="nil"/>
              <w:bottom w:val="single" w:sz="8" w:space="0" w:color="7F7F7F"/>
              <w:right w:val="single" w:sz="8" w:space="0" w:color="7F7F7F"/>
            </w:tcBorders>
            <w:shd w:val="clear" w:color="auto" w:fill="auto"/>
            <w:vAlign w:val="center"/>
            <w:hideMark/>
          </w:tcPr>
          <w:p w:rsidR="00333713" w:rsidRPr="00BB4C59" w:rsidRDefault="00333713" w:rsidP="00333713">
            <w:pPr>
              <w:pStyle w:val="Tabletext"/>
              <w:jc w:val="center"/>
              <w:rPr>
                <w:rFonts w:cs="Arial"/>
                <w:lang w:eastAsia="en-NZ"/>
              </w:rPr>
            </w:pPr>
            <w:r w:rsidRPr="00BB4C59">
              <w:rPr>
                <w:rFonts w:cs="Arial"/>
                <w:lang w:eastAsia="en-NZ"/>
              </w:rPr>
              <w:t>201</w:t>
            </w:r>
            <w:r>
              <w:rPr>
                <w:rFonts w:cs="Arial"/>
                <w:lang w:eastAsia="en-NZ"/>
              </w:rPr>
              <w:t>1</w:t>
            </w:r>
            <w:r w:rsidRPr="00BB4C59">
              <w:rPr>
                <w:rFonts w:cs="Arial"/>
                <w:lang w:eastAsia="en-NZ"/>
              </w:rPr>
              <w:t>/201</w:t>
            </w:r>
            <w:r>
              <w:rPr>
                <w:rFonts w:cs="Arial"/>
                <w:lang w:eastAsia="en-NZ"/>
              </w:rPr>
              <w:t>2</w:t>
            </w:r>
          </w:p>
        </w:tc>
      </w:tr>
    </w:tbl>
    <w:p w:rsidR="00333713" w:rsidRPr="002E2822" w:rsidRDefault="00333713" w:rsidP="00333713">
      <w:pPr>
        <w:pStyle w:val="Heading3"/>
      </w:pPr>
      <w:r w:rsidRPr="002E2822">
        <w:t>Graduate earnings</w:t>
      </w:r>
    </w:p>
    <w:p w:rsidR="00333713" w:rsidRPr="005555AE" w:rsidRDefault="00333713" w:rsidP="00333713">
      <w:pPr>
        <w:pStyle w:val="BodyText"/>
      </w:pPr>
      <w:r w:rsidRPr="005555AE">
        <w:t>Earnings are only presented for graduates who are classified in the ‘Employment’ destination.  Earnings have also been scaled using the Labour Cost Index to normalise differences between the 201</w:t>
      </w:r>
      <w:r>
        <w:t>1</w:t>
      </w:r>
      <w:r w:rsidRPr="005555AE">
        <w:t xml:space="preserve"> and 201</w:t>
      </w:r>
      <w:r>
        <w:t>2</w:t>
      </w:r>
      <w:r w:rsidRPr="005555AE">
        <w:t xml:space="preserve"> tax years and are presented in 201</w:t>
      </w:r>
      <w:r>
        <w:t>2</w:t>
      </w:r>
      <w:r w:rsidRPr="005555AE">
        <w:t xml:space="preserve"> dollars. </w:t>
      </w:r>
    </w:p>
    <w:p w:rsidR="00333713" w:rsidRDefault="00333713" w:rsidP="00E178C0">
      <w:pPr>
        <w:pStyle w:val="Heading3"/>
      </w:pPr>
      <w:r>
        <w:lastRenderedPageBreak/>
        <w:t>Young graduates and qualification level</w:t>
      </w:r>
    </w:p>
    <w:p w:rsidR="00333713" w:rsidRDefault="00333713" w:rsidP="00333713">
      <w:pPr>
        <w:jc w:val="both"/>
      </w:pPr>
      <w:r>
        <w:t>We report the outcomes only for ‘young’ graduates. For each qualification level, we set an age range that means we are looking only at those who start that qualification and move to completion before undertaking substantial time in the workforce.  We restrict the analysis to young graduates because the aim of the analysis is to support the decision-making of young people.  If we mixed the outcomes of young graduates with the outcomes for people who undertake tertiary study after substantial work experience, we would be unable to separate the effects of the qualification from the effects of the work experience.</w:t>
      </w:r>
      <w:r w:rsidRPr="00C25054">
        <w:t xml:space="preserve"> </w:t>
      </w:r>
    </w:p>
    <w:p w:rsidR="00333713" w:rsidRDefault="00333713" w:rsidP="00333713">
      <w:pPr>
        <w:rPr>
          <w:i/>
        </w:rPr>
      </w:pPr>
    </w:p>
    <w:p w:rsidR="00333713" w:rsidRPr="0000248F" w:rsidRDefault="00333713" w:rsidP="00333713">
      <w:r w:rsidRPr="0000248F">
        <w:t>Young graduates are defined as:</w:t>
      </w:r>
    </w:p>
    <w:p w:rsidR="00333713" w:rsidRDefault="00333713" w:rsidP="00333713"/>
    <w:p w:rsidR="00333713" w:rsidRPr="0000248F" w:rsidRDefault="00333713" w:rsidP="00333713">
      <w:pPr>
        <w:pStyle w:val="Bullet2nospace"/>
        <w:tabs>
          <w:tab w:val="clear" w:pos="680"/>
          <w:tab w:val="num" w:pos="1418"/>
        </w:tabs>
      </w:pPr>
      <w:r w:rsidRPr="0000248F">
        <w:t>21 years or under at certificate level</w:t>
      </w:r>
    </w:p>
    <w:p w:rsidR="00333713" w:rsidRPr="0000248F" w:rsidRDefault="00333713" w:rsidP="00333713">
      <w:pPr>
        <w:pStyle w:val="Bullet2nospace"/>
        <w:tabs>
          <w:tab w:val="clear" w:pos="680"/>
          <w:tab w:val="num" w:pos="1418"/>
        </w:tabs>
      </w:pPr>
      <w:r w:rsidRPr="0000248F">
        <w:t xml:space="preserve">23 years or under at diploma level </w:t>
      </w:r>
    </w:p>
    <w:p w:rsidR="00333713" w:rsidRPr="0000248F" w:rsidRDefault="00333713" w:rsidP="00333713">
      <w:pPr>
        <w:pStyle w:val="Bullet2nospace"/>
        <w:tabs>
          <w:tab w:val="clear" w:pos="680"/>
          <w:tab w:val="num" w:pos="1418"/>
        </w:tabs>
      </w:pPr>
      <w:r w:rsidRPr="0000248F">
        <w:t>24 years or under for three-year bachelors degrees, with each year of additional study requirement adding a year to the age cut-off for longer qualifications</w:t>
      </w:r>
      <w:r w:rsidRPr="0000248F">
        <w:rPr>
          <w:rStyle w:val="FootnoteReference"/>
        </w:rPr>
        <w:footnoteReference w:id="12"/>
      </w:r>
    </w:p>
    <w:p w:rsidR="00333713" w:rsidRPr="0000248F" w:rsidRDefault="00333713" w:rsidP="00333713">
      <w:pPr>
        <w:pStyle w:val="Bullet2nospace"/>
        <w:tabs>
          <w:tab w:val="clear" w:pos="680"/>
          <w:tab w:val="num" w:pos="1418"/>
        </w:tabs>
      </w:pPr>
      <w:r w:rsidRPr="0000248F">
        <w:t xml:space="preserve">26 years or under for one year postgraduate study or graduate certificates or diplomas </w:t>
      </w:r>
    </w:p>
    <w:p w:rsidR="00333713" w:rsidRPr="0000248F" w:rsidRDefault="00333713" w:rsidP="00333713">
      <w:pPr>
        <w:pStyle w:val="Bullet2nospace"/>
        <w:tabs>
          <w:tab w:val="clear" w:pos="680"/>
          <w:tab w:val="num" w:pos="1418"/>
        </w:tabs>
      </w:pPr>
      <w:r w:rsidRPr="0000248F">
        <w:t>27 years or under for masters</w:t>
      </w:r>
    </w:p>
    <w:p w:rsidR="00333713" w:rsidRDefault="00333713" w:rsidP="00333713">
      <w:pPr>
        <w:pStyle w:val="Bullet2nospace"/>
        <w:tabs>
          <w:tab w:val="clear" w:pos="680"/>
          <w:tab w:val="num" w:pos="1418"/>
        </w:tabs>
      </w:pPr>
      <w:r w:rsidRPr="0000248F">
        <w:t>29 years or under for doctorate students.</w:t>
      </w:r>
    </w:p>
    <w:p w:rsidR="00333713" w:rsidRDefault="00333713" w:rsidP="00333713">
      <w:pPr>
        <w:jc w:val="both"/>
        <w:rPr>
          <w:lang w:eastAsia="en-NZ"/>
        </w:rPr>
      </w:pPr>
    </w:p>
    <w:p w:rsidR="00E178C0" w:rsidRDefault="00333713" w:rsidP="00E178C0">
      <w:pPr>
        <w:jc w:val="both"/>
      </w:pPr>
      <w:r>
        <w:rPr>
          <w:lang w:eastAsia="en-NZ"/>
        </w:rPr>
        <w:t>The age of a graduate is based on their age as at 1 July of their last year of enrolment in a qualification.</w:t>
      </w:r>
      <w:r w:rsidR="00E178C0" w:rsidRPr="00E178C0">
        <w:t xml:space="preserve"> </w:t>
      </w:r>
    </w:p>
    <w:p w:rsidR="00333713" w:rsidRDefault="00333713" w:rsidP="00E178C0">
      <w:pPr>
        <w:pStyle w:val="Heading3"/>
      </w:pPr>
      <w:r>
        <w:t>Field of study</w:t>
      </w:r>
    </w:p>
    <w:p w:rsidR="00333713" w:rsidRDefault="00333713" w:rsidP="00333713">
      <w:pPr>
        <w:jc w:val="both"/>
      </w:pPr>
      <w:r>
        <w:t xml:space="preserve">We use the New Zealand Standard Classification of Education (or NZSCED) to classify people’s study into various fields of study.  NZSCED has three levels of classification – broad field of study, narrow field and detailed field.  We determine what field or fields a graduate has pursued by looking at the courses the graduate took while studying and working out what are the predominant fields of study taken.  This method uses </w:t>
      </w:r>
      <w:r w:rsidRPr="004B0F63">
        <w:t xml:space="preserve">level of study, field of study, year of study, and study load of each course </w:t>
      </w:r>
      <w:r>
        <w:t xml:space="preserve">that a graduate has studied in their last three years of study, usually of the same level as the final year of study or higher, </w:t>
      </w:r>
      <w:r w:rsidRPr="004B0F63">
        <w:t>to determine what best constitutes their main field(s) of study – or specialisation(s)</w:t>
      </w:r>
      <w:r>
        <w:t xml:space="preserve">.  </w:t>
      </w:r>
      <w:r w:rsidRPr="0029629D">
        <w:t xml:space="preserve"> </w:t>
      </w:r>
      <w:r>
        <w:t xml:space="preserve">It is important to note that this method may give different results to simply using the classification given by the provider.  </w:t>
      </w:r>
    </w:p>
    <w:p w:rsidR="00333713" w:rsidRDefault="00333713" w:rsidP="00333713">
      <w:pPr>
        <w:jc w:val="both"/>
      </w:pPr>
    </w:p>
    <w:p w:rsidR="00333713" w:rsidRDefault="00333713" w:rsidP="00333713">
      <w:pPr>
        <w:jc w:val="both"/>
      </w:pPr>
      <w:r>
        <w:t>One consequence of this is that sometimes, less obvious qualifications may be categorised under a particular field of study for some graduates.  For example, as expected, Massey University graduates who complete a Bachelor of Veterinary Science are classified under veterinary studies at bachelors level.  However, some Bachelor of Agricultural Science and Bachelor of Science graduates at Lin</w:t>
      </w:r>
      <w:r w:rsidRPr="005F7EBE">
        <w:t>coln</w:t>
      </w:r>
      <w:r>
        <w:t xml:space="preserve"> University are also included in this field, as are Unitec graduates who complete a Bachelor of Applied Animal Technology.  Similarly, under dental studies, at bachelors level we find both University of Otago </w:t>
      </w:r>
      <w:r w:rsidRPr="005F7EBE">
        <w:rPr>
          <w:lang w:eastAsia="en-NZ"/>
        </w:rPr>
        <w:t>Bachelor of Dental Surger</w:t>
      </w:r>
      <w:r>
        <w:rPr>
          <w:lang w:eastAsia="en-NZ"/>
        </w:rPr>
        <w:t>y</w:t>
      </w:r>
      <w:r>
        <w:t xml:space="preserve"> graduates and Auckland University of Technology Bachelor of Health Science (Oral Health) graduates. </w:t>
      </w:r>
    </w:p>
    <w:p w:rsidR="00333713" w:rsidRDefault="00333713" w:rsidP="00333713">
      <w:pPr>
        <w:jc w:val="both"/>
      </w:pPr>
    </w:p>
    <w:p w:rsidR="00333713" w:rsidRDefault="00333713" w:rsidP="00333713">
      <w:pPr>
        <w:jc w:val="both"/>
      </w:pPr>
      <w:r>
        <w:t>Most of our analysis is by broad field of study because if we divide our population of graduates too finely, we end up having to suppress more data because it breaches the Statistics New Zealand confidentiality limits.  The variation induced from rounding of the underlying graduate counts, as required for confidentiality reasons (see below), also makes the reported percentages for each destination more variable when the number of graduates is smaller.</w:t>
      </w:r>
    </w:p>
    <w:p w:rsidR="00333713" w:rsidRDefault="00333713" w:rsidP="00333713">
      <w:pPr>
        <w:jc w:val="both"/>
      </w:pPr>
    </w:p>
    <w:p w:rsidR="00333713" w:rsidRDefault="00333713" w:rsidP="00333713">
      <w:pPr>
        <w:jc w:val="both"/>
      </w:pPr>
      <w:r w:rsidRPr="00A1346B">
        <w:t xml:space="preserve">People graduating in more than one field of study are counted in each of the fields of study. The number of students in each narrow field of study may not sum to the broad field of study total. This is because students can be enrolled in multiple narrow fields of study. </w:t>
      </w:r>
    </w:p>
    <w:p w:rsidR="00333713" w:rsidRDefault="00333713" w:rsidP="00333713">
      <w:pPr>
        <w:jc w:val="both"/>
      </w:pPr>
    </w:p>
    <w:p w:rsidR="00333713" w:rsidRDefault="00333713" w:rsidP="00333713">
      <w:r>
        <w:lastRenderedPageBreak/>
        <w:t>Field</w:t>
      </w:r>
      <w:r w:rsidRPr="00D11C42">
        <w:t xml:space="preserve"> of study</w:t>
      </w:r>
      <w:r>
        <w:t xml:space="preserve"> is broken down into broad fields using the New Zealand Standard Classification of Education (NZSCED</w:t>
      </w:r>
      <w:r>
        <w:rPr>
          <w:rStyle w:val="FootnoteReference"/>
        </w:rPr>
        <w:footnoteReference w:id="13"/>
      </w:r>
      <w:r>
        <w:t xml:space="preserve">): </w:t>
      </w:r>
    </w:p>
    <w:p w:rsidR="00333713" w:rsidRDefault="00333713" w:rsidP="00333713"/>
    <w:p w:rsidR="00333713" w:rsidRPr="00333713" w:rsidRDefault="00333713" w:rsidP="00333713">
      <w:pPr>
        <w:pStyle w:val="ListParagraph"/>
        <w:numPr>
          <w:ilvl w:val="6"/>
          <w:numId w:val="33"/>
        </w:numPr>
        <w:tabs>
          <w:tab w:val="clear" w:pos="5777"/>
          <w:tab w:val="num" w:pos="284"/>
        </w:tabs>
        <w:spacing w:after="200" w:line="276" w:lineRule="auto"/>
        <w:ind w:left="284" w:hanging="284"/>
        <w:rPr>
          <w:rFonts w:ascii="Times New Roman" w:hAnsi="Times New Roman" w:cs="Times New Roman"/>
          <w:color w:val="auto"/>
          <w:spacing w:val="0"/>
          <w:kern w:val="0"/>
          <w:sz w:val="22"/>
          <w:lang w:val="en-NZ" w:eastAsia="en-US"/>
        </w:rPr>
      </w:pPr>
      <w:r w:rsidRPr="00333713">
        <w:rPr>
          <w:rFonts w:ascii="Times New Roman" w:hAnsi="Times New Roman" w:cs="Times New Roman"/>
          <w:color w:val="auto"/>
          <w:spacing w:val="0"/>
          <w:kern w:val="0"/>
          <w:sz w:val="22"/>
          <w:lang w:val="en-NZ" w:eastAsia="en-US"/>
        </w:rPr>
        <w:t>Natural and Physical Sciences</w:t>
      </w:r>
    </w:p>
    <w:p w:rsidR="00333713" w:rsidRPr="00333713" w:rsidRDefault="00333713" w:rsidP="00333713">
      <w:pPr>
        <w:pStyle w:val="ListParagraph"/>
        <w:numPr>
          <w:ilvl w:val="6"/>
          <w:numId w:val="33"/>
        </w:numPr>
        <w:tabs>
          <w:tab w:val="clear" w:pos="5777"/>
          <w:tab w:val="num" w:pos="284"/>
        </w:tabs>
        <w:spacing w:after="200" w:line="276" w:lineRule="auto"/>
        <w:ind w:left="284" w:hanging="284"/>
        <w:rPr>
          <w:rFonts w:ascii="Times New Roman" w:hAnsi="Times New Roman" w:cs="Times New Roman"/>
          <w:color w:val="auto"/>
          <w:spacing w:val="0"/>
          <w:kern w:val="0"/>
          <w:sz w:val="22"/>
          <w:lang w:val="en-NZ" w:eastAsia="en-US"/>
        </w:rPr>
      </w:pPr>
      <w:r w:rsidRPr="00333713">
        <w:rPr>
          <w:rFonts w:ascii="Times New Roman" w:hAnsi="Times New Roman" w:cs="Times New Roman"/>
          <w:color w:val="auto"/>
          <w:spacing w:val="0"/>
          <w:kern w:val="0"/>
          <w:sz w:val="22"/>
          <w:lang w:val="en-NZ" w:eastAsia="en-US"/>
        </w:rPr>
        <w:t>Information Technology</w:t>
      </w:r>
    </w:p>
    <w:p w:rsidR="00333713" w:rsidRPr="00333713" w:rsidRDefault="00333713" w:rsidP="00333713">
      <w:pPr>
        <w:pStyle w:val="ListParagraph"/>
        <w:numPr>
          <w:ilvl w:val="6"/>
          <w:numId w:val="33"/>
        </w:numPr>
        <w:tabs>
          <w:tab w:val="clear" w:pos="5777"/>
          <w:tab w:val="num" w:pos="284"/>
        </w:tabs>
        <w:spacing w:after="200" w:line="276" w:lineRule="auto"/>
        <w:ind w:left="284" w:hanging="284"/>
        <w:rPr>
          <w:rFonts w:ascii="Times New Roman" w:hAnsi="Times New Roman" w:cs="Times New Roman"/>
          <w:color w:val="auto"/>
          <w:spacing w:val="0"/>
          <w:kern w:val="0"/>
          <w:sz w:val="22"/>
          <w:lang w:val="en-NZ" w:eastAsia="en-US"/>
        </w:rPr>
      </w:pPr>
      <w:r w:rsidRPr="00333713">
        <w:rPr>
          <w:rFonts w:ascii="Times New Roman" w:hAnsi="Times New Roman" w:cs="Times New Roman"/>
          <w:color w:val="auto"/>
          <w:spacing w:val="0"/>
          <w:kern w:val="0"/>
          <w:sz w:val="22"/>
          <w:lang w:val="en-NZ" w:eastAsia="en-US"/>
        </w:rPr>
        <w:t>Engineering and Related Technologies</w:t>
      </w:r>
    </w:p>
    <w:p w:rsidR="00333713" w:rsidRPr="00333713" w:rsidRDefault="00333713" w:rsidP="00333713">
      <w:pPr>
        <w:pStyle w:val="ListParagraph"/>
        <w:numPr>
          <w:ilvl w:val="6"/>
          <w:numId w:val="33"/>
        </w:numPr>
        <w:tabs>
          <w:tab w:val="clear" w:pos="5777"/>
          <w:tab w:val="num" w:pos="284"/>
        </w:tabs>
        <w:spacing w:after="200" w:line="276" w:lineRule="auto"/>
        <w:ind w:left="284" w:hanging="284"/>
        <w:rPr>
          <w:rFonts w:ascii="Times New Roman" w:hAnsi="Times New Roman" w:cs="Times New Roman"/>
          <w:color w:val="auto"/>
          <w:spacing w:val="0"/>
          <w:kern w:val="0"/>
          <w:sz w:val="22"/>
          <w:lang w:val="en-NZ" w:eastAsia="en-US"/>
        </w:rPr>
      </w:pPr>
      <w:r w:rsidRPr="00333713">
        <w:rPr>
          <w:rFonts w:ascii="Times New Roman" w:hAnsi="Times New Roman" w:cs="Times New Roman"/>
          <w:color w:val="auto"/>
          <w:spacing w:val="0"/>
          <w:kern w:val="0"/>
          <w:sz w:val="22"/>
          <w:lang w:val="en-NZ" w:eastAsia="en-US"/>
        </w:rPr>
        <w:t>Architecture and Building</w:t>
      </w:r>
    </w:p>
    <w:p w:rsidR="00333713" w:rsidRPr="00333713" w:rsidRDefault="00333713" w:rsidP="00333713">
      <w:pPr>
        <w:pStyle w:val="ListParagraph"/>
        <w:numPr>
          <w:ilvl w:val="6"/>
          <w:numId w:val="33"/>
        </w:numPr>
        <w:tabs>
          <w:tab w:val="clear" w:pos="5777"/>
          <w:tab w:val="num" w:pos="284"/>
        </w:tabs>
        <w:spacing w:after="200" w:line="276" w:lineRule="auto"/>
        <w:ind w:left="284" w:hanging="284"/>
        <w:rPr>
          <w:rFonts w:ascii="Times New Roman" w:hAnsi="Times New Roman" w:cs="Times New Roman"/>
          <w:color w:val="auto"/>
          <w:spacing w:val="0"/>
          <w:kern w:val="0"/>
          <w:sz w:val="22"/>
          <w:lang w:val="en-NZ" w:eastAsia="en-US"/>
        </w:rPr>
      </w:pPr>
      <w:r w:rsidRPr="00333713">
        <w:rPr>
          <w:rFonts w:ascii="Times New Roman" w:hAnsi="Times New Roman" w:cs="Times New Roman"/>
          <w:color w:val="auto"/>
          <w:spacing w:val="0"/>
          <w:kern w:val="0"/>
          <w:sz w:val="22"/>
          <w:lang w:val="en-NZ" w:eastAsia="en-US"/>
        </w:rPr>
        <w:t>Agriculture, Environmental and Related Studies</w:t>
      </w:r>
    </w:p>
    <w:p w:rsidR="00333713" w:rsidRPr="00333713" w:rsidRDefault="00333713" w:rsidP="00333713">
      <w:pPr>
        <w:pStyle w:val="ListParagraph"/>
        <w:numPr>
          <w:ilvl w:val="6"/>
          <w:numId w:val="33"/>
        </w:numPr>
        <w:tabs>
          <w:tab w:val="clear" w:pos="5777"/>
          <w:tab w:val="num" w:pos="284"/>
        </w:tabs>
        <w:spacing w:after="200" w:line="276" w:lineRule="auto"/>
        <w:ind w:left="284" w:hanging="284"/>
        <w:rPr>
          <w:rFonts w:ascii="Times New Roman" w:hAnsi="Times New Roman" w:cs="Times New Roman"/>
          <w:color w:val="auto"/>
          <w:spacing w:val="0"/>
          <w:kern w:val="0"/>
          <w:sz w:val="22"/>
          <w:lang w:val="en-NZ" w:eastAsia="en-US"/>
        </w:rPr>
      </w:pPr>
      <w:r w:rsidRPr="00333713">
        <w:rPr>
          <w:rFonts w:ascii="Times New Roman" w:hAnsi="Times New Roman" w:cs="Times New Roman"/>
          <w:color w:val="auto"/>
          <w:spacing w:val="0"/>
          <w:kern w:val="0"/>
          <w:sz w:val="22"/>
          <w:lang w:val="en-NZ" w:eastAsia="en-US"/>
        </w:rPr>
        <w:t>Health</w:t>
      </w:r>
      <w:r w:rsidRPr="00333713">
        <w:rPr>
          <w:rFonts w:ascii="Times New Roman" w:hAnsi="Times New Roman" w:cs="Times New Roman"/>
          <w:color w:val="auto"/>
          <w:spacing w:val="0"/>
          <w:kern w:val="0"/>
          <w:sz w:val="22"/>
          <w:lang w:val="en-NZ" w:eastAsia="en-US"/>
        </w:rPr>
        <w:tab/>
      </w:r>
    </w:p>
    <w:p w:rsidR="00333713" w:rsidRPr="00333713" w:rsidRDefault="00333713" w:rsidP="00333713">
      <w:pPr>
        <w:pStyle w:val="ListParagraph"/>
        <w:numPr>
          <w:ilvl w:val="6"/>
          <w:numId w:val="33"/>
        </w:numPr>
        <w:tabs>
          <w:tab w:val="clear" w:pos="5777"/>
          <w:tab w:val="num" w:pos="284"/>
        </w:tabs>
        <w:spacing w:after="200" w:line="276" w:lineRule="auto"/>
        <w:ind w:left="284" w:hanging="284"/>
        <w:rPr>
          <w:rFonts w:ascii="Times New Roman" w:hAnsi="Times New Roman" w:cs="Times New Roman"/>
          <w:color w:val="auto"/>
          <w:spacing w:val="0"/>
          <w:kern w:val="0"/>
          <w:sz w:val="22"/>
          <w:lang w:val="en-NZ" w:eastAsia="en-US"/>
        </w:rPr>
      </w:pPr>
      <w:r w:rsidRPr="00333713">
        <w:rPr>
          <w:rFonts w:ascii="Times New Roman" w:hAnsi="Times New Roman" w:cs="Times New Roman"/>
          <w:color w:val="auto"/>
          <w:spacing w:val="0"/>
          <w:kern w:val="0"/>
          <w:sz w:val="22"/>
          <w:lang w:val="en-NZ" w:eastAsia="en-US"/>
        </w:rPr>
        <w:t>Education</w:t>
      </w:r>
    </w:p>
    <w:p w:rsidR="00333713" w:rsidRPr="00333713" w:rsidRDefault="00333713" w:rsidP="00333713">
      <w:pPr>
        <w:pStyle w:val="ListParagraph"/>
        <w:numPr>
          <w:ilvl w:val="6"/>
          <w:numId w:val="33"/>
        </w:numPr>
        <w:tabs>
          <w:tab w:val="clear" w:pos="5777"/>
          <w:tab w:val="num" w:pos="284"/>
        </w:tabs>
        <w:spacing w:after="200" w:line="276" w:lineRule="auto"/>
        <w:ind w:left="284" w:hanging="284"/>
        <w:rPr>
          <w:rFonts w:ascii="Times New Roman" w:hAnsi="Times New Roman" w:cs="Times New Roman"/>
          <w:color w:val="auto"/>
          <w:spacing w:val="0"/>
          <w:kern w:val="0"/>
          <w:sz w:val="22"/>
          <w:lang w:val="en-NZ" w:eastAsia="en-US"/>
        </w:rPr>
      </w:pPr>
      <w:r w:rsidRPr="00333713">
        <w:rPr>
          <w:rFonts w:ascii="Times New Roman" w:hAnsi="Times New Roman" w:cs="Times New Roman"/>
          <w:color w:val="auto"/>
          <w:spacing w:val="0"/>
          <w:kern w:val="0"/>
          <w:sz w:val="22"/>
          <w:lang w:val="en-NZ" w:eastAsia="en-US"/>
        </w:rPr>
        <w:t>Management and Commerce</w:t>
      </w:r>
    </w:p>
    <w:p w:rsidR="00333713" w:rsidRPr="00333713" w:rsidRDefault="00333713" w:rsidP="00333713">
      <w:pPr>
        <w:pStyle w:val="ListParagraph"/>
        <w:numPr>
          <w:ilvl w:val="6"/>
          <w:numId w:val="33"/>
        </w:numPr>
        <w:tabs>
          <w:tab w:val="clear" w:pos="5777"/>
          <w:tab w:val="num" w:pos="284"/>
        </w:tabs>
        <w:spacing w:after="200" w:line="276" w:lineRule="auto"/>
        <w:ind w:left="284" w:hanging="284"/>
        <w:rPr>
          <w:rFonts w:ascii="Times New Roman" w:hAnsi="Times New Roman" w:cs="Times New Roman"/>
          <w:color w:val="auto"/>
          <w:spacing w:val="0"/>
          <w:kern w:val="0"/>
          <w:sz w:val="22"/>
          <w:lang w:val="en-NZ" w:eastAsia="en-US"/>
        </w:rPr>
      </w:pPr>
      <w:r w:rsidRPr="00333713">
        <w:rPr>
          <w:rFonts w:ascii="Times New Roman" w:hAnsi="Times New Roman" w:cs="Times New Roman"/>
          <w:color w:val="auto"/>
          <w:spacing w:val="0"/>
          <w:kern w:val="0"/>
          <w:sz w:val="22"/>
          <w:lang w:val="en-NZ" w:eastAsia="en-US"/>
        </w:rPr>
        <w:t>Society and Culture</w:t>
      </w:r>
    </w:p>
    <w:p w:rsidR="00333713" w:rsidRPr="00333713" w:rsidRDefault="00333713" w:rsidP="00333713">
      <w:pPr>
        <w:pStyle w:val="ListParagraph"/>
        <w:numPr>
          <w:ilvl w:val="6"/>
          <w:numId w:val="33"/>
        </w:numPr>
        <w:tabs>
          <w:tab w:val="clear" w:pos="5777"/>
          <w:tab w:val="num" w:pos="284"/>
        </w:tabs>
        <w:spacing w:after="200" w:line="276" w:lineRule="auto"/>
        <w:ind w:left="284" w:hanging="284"/>
        <w:rPr>
          <w:rFonts w:ascii="Times New Roman" w:hAnsi="Times New Roman" w:cs="Times New Roman"/>
          <w:color w:val="auto"/>
          <w:spacing w:val="0"/>
          <w:kern w:val="0"/>
          <w:sz w:val="22"/>
          <w:lang w:val="en-NZ" w:eastAsia="en-US"/>
        </w:rPr>
      </w:pPr>
      <w:r w:rsidRPr="00333713">
        <w:rPr>
          <w:rFonts w:ascii="Times New Roman" w:hAnsi="Times New Roman" w:cs="Times New Roman"/>
          <w:color w:val="auto"/>
          <w:spacing w:val="0"/>
          <w:kern w:val="0"/>
          <w:sz w:val="22"/>
          <w:lang w:val="en-NZ" w:eastAsia="en-US"/>
        </w:rPr>
        <w:t>Creative Arts</w:t>
      </w:r>
    </w:p>
    <w:p w:rsidR="00333713" w:rsidRPr="00333713" w:rsidRDefault="00333713" w:rsidP="00333713">
      <w:pPr>
        <w:pStyle w:val="ListParagraph"/>
        <w:numPr>
          <w:ilvl w:val="6"/>
          <w:numId w:val="33"/>
        </w:numPr>
        <w:tabs>
          <w:tab w:val="clear" w:pos="5777"/>
          <w:tab w:val="num" w:pos="284"/>
        </w:tabs>
        <w:spacing w:after="200" w:line="276" w:lineRule="auto"/>
        <w:ind w:left="284" w:hanging="284"/>
        <w:rPr>
          <w:rFonts w:ascii="Times New Roman" w:hAnsi="Times New Roman" w:cs="Times New Roman"/>
          <w:color w:val="auto"/>
          <w:spacing w:val="0"/>
          <w:kern w:val="0"/>
          <w:sz w:val="22"/>
          <w:lang w:val="en-NZ" w:eastAsia="en-US"/>
        </w:rPr>
      </w:pPr>
      <w:r w:rsidRPr="00333713">
        <w:rPr>
          <w:rFonts w:ascii="Times New Roman" w:hAnsi="Times New Roman" w:cs="Times New Roman"/>
          <w:color w:val="auto"/>
          <w:spacing w:val="0"/>
          <w:kern w:val="0"/>
          <w:sz w:val="22"/>
          <w:lang w:val="en-NZ" w:eastAsia="en-US"/>
        </w:rPr>
        <w:t>Food, Hospitality and Personal Services</w:t>
      </w:r>
    </w:p>
    <w:p w:rsidR="00333713" w:rsidRPr="00333713" w:rsidRDefault="00333713" w:rsidP="00333713">
      <w:pPr>
        <w:pStyle w:val="ListParagraph"/>
        <w:numPr>
          <w:ilvl w:val="6"/>
          <w:numId w:val="33"/>
        </w:numPr>
        <w:tabs>
          <w:tab w:val="clear" w:pos="5777"/>
          <w:tab w:val="num" w:pos="284"/>
        </w:tabs>
        <w:spacing w:after="200" w:line="276" w:lineRule="auto"/>
        <w:ind w:left="284" w:hanging="284"/>
        <w:rPr>
          <w:rFonts w:ascii="Times New Roman" w:hAnsi="Times New Roman" w:cs="Times New Roman"/>
          <w:color w:val="auto"/>
          <w:spacing w:val="0"/>
          <w:kern w:val="0"/>
          <w:sz w:val="22"/>
          <w:lang w:val="en-NZ" w:eastAsia="en-US"/>
        </w:rPr>
      </w:pPr>
      <w:r w:rsidRPr="00333713">
        <w:rPr>
          <w:rFonts w:ascii="Times New Roman" w:hAnsi="Times New Roman" w:cs="Times New Roman"/>
          <w:color w:val="auto"/>
          <w:spacing w:val="0"/>
          <w:kern w:val="0"/>
          <w:sz w:val="22"/>
          <w:lang w:val="en-NZ" w:eastAsia="en-US"/>
        </w:rPr>
        <w:t>Mixed Field Programmes.</w:t>
      </w:r>
    </w:p>
    <w:p w:rsidR="00333713" w:rsidRPr="005F1265" w:rsidRDefault="00333713" w:rsidP="00333713">
      <w:pPr>
        <w:jc w:val="both"/>
        <w:rPr>
          <w:rFonts w:cs="Arial"/>
          <w:bCs/>
          <w:szCs w:val="22"/>
          <w:lang w:eastAsia="en-NZ"/>
        </w:rPr>
      </w:pPr>
      <w:r>
        <w:t xml:space="preserve">Each broad field of study contains a spread of types of qualifications.  For instance, the broad field Health covers </w:t>
      </w:r>
      <w:r w:rsidRPr="008B06B8">
        <w:rPr>
          <w:i/>
        </w:rPr>
        <w:t>medicine, veterinary science, dentistry, nursing</w:t>
      </w:r>
      <w:r>
        <w:t xml:space="preserve"> and qualifications for low level health workers such as nurse-aides. Natural and Physical Sciences covers </w:t>
      </w:r>
      <w:r w:rsidRPr="005F1265">
        <w:rPr>
          <w:bCs/>
          <w:i/>
          <w:szCs w:val="22"/>
          <w:lang w:eastAsia="en-NZ"/>
        </w:rPr>
        <w:t>mathematical sciences</w:t>
      </w:r>
      <w:r>
        <w:rPr>
          <w:bCs/>
          <w:i/>
          <w:szCs w:val="22"/>
          <w:lang w:eastAsia="en-NZ"/>
        </w:rPr>
        <w:t xml:space="preserve">, </w:t>
      </w:r>
      <w:r w:rsidRPr="005F1265">
        <w:rPr>
          <w:bCs/>
          <w:i/>
          <w:szCs w:val="22"/>
          <w:lang w:eastAsia="en-NZ"/>
        </w:rPr>
        <w:t>physics and astronomy</w:t>
      </w:r>
      <w:r>
        <w:rPr>
          <w:bCs/>
          <w:i/>
          <w:szCs w:val="22"/>
          <w:lang w:eastAsia="en-NZ"/>
        </w:rPr>
        <w:t xml:space="preserve">, </w:t>
      </w:r>
      <w:r w:rsidRPr="005F1265">
        <w:rPr>
          <w:bCs/>
          <w:i/>
          <w:szCs w:val="22"/>
          <w:lang w:eastAsia="en-NZ"/>
        </w:rPr>
        <w:t>chemical sciences</w:t>
      </w:r>
      <w:r>
        <w:rPr>
          <w:bCs/>
          <w:i/>
          <w:szCs w:val="22"/>
          <w:lang w:eastAsia="en-NZ"/>
        </w:rPr>
        <w:t>,</w:t>
      </w:r>
      <w:r w:rsidRPr="005F1265">
        <w:rPr>
          <w:bCs/>
          <w:i/>
          <w:szCs w:val="22"/>
          <w:lang w:eastAsia="en-NZ"/>
        </w:rPr>
        <w:t xml:space="preserve"> earth sciences</w:t>
      </w:r>
      <w:r>
        <w:rPr>
          <w:bCs/>
          <w:i/>
          <w:szCs w:val="22"/>
          <w:lang w:eastAsia="en-NZ"/>
        </w:rPr>
        <w:t xml:space="preserve"> </w:t>
      </w:r>
      <w:r w:rsidRPr="008B06B8">
        <w:rPr>
          <w:bCs/>
          <w:szCs w:val="22"/>
          <w:lang w:eastAsia="en-NZ"/>
        </w:rPr>
        <w:t xml:space="preserve">and </w:t>
      </w:r>
      <w:r w:rsidRPr="005F1265">
        <w:rPr>
          <w:bCs/>
          <w:i/>
          <w:szCs w:val="22"/>
          <w:lang w:eastAsia="en-NZ"/>
        </w:rPr>
        <w:t>biological sciences</w:t>
      </w:r>
      <w:r>
        <w:rPr>
          <w:bCs/>
          <w:i/>
          <w:szCs w:val="22"/>
          <w:lang w:eastAsia="en-NZ"/>
        </w:rPr>
        <w:t>.</w:t>
      </w:r>
    </w:p>
    <w:p w:rsidR="00333713" w:rsidRDefault="00333713" w:rsidP="00333713">
      <w:pPr>
        <w:jc w:val="both"/>
      </w:pPr>
    </w:p>
    <w:p w:rsidR="00333713" w:rsidRDefault="00333713" w:rsidP="00333713">
      <w:pPr>
        <w:jc w:val="both"/>
      </w:pPr>
      <w:r>
        <w:t>Data is also published at NZSCED narrow field, where numbers permit. This allows, for instance, separation of law from economics and from social work and separation of medicine from nursing.</w:t>
      </w:r>
    </w:p>
    <w:p w:rsidR="00333713" w:rsidRPr="003917DE" w:rsidRDefault="00333713" w:rsidP="00333713">
      <w:pPr>
        <w:pStyle w:val="Heading3"/>
      </w:pPr>
      <w:r w:rsidRPr="003917DE">
        <w:t xml:space="preserve">Confidentiality of data </w:t>
      </w:r>
    </w:p>
    <w:p w:rsidR="00333713" w:rsidRDefault="00333713" w:rsidP="00333713">
      <w:pPr>
        <w:pStyle w:val="BodyText"/>
        <w:rPr>
          <w:kern w:val="36"/>
          <w:lang w:val="en-GB" w:eastAsia="en-GB"/>
        </w:rPr>
      </w:pPr>
      <w:r w:rsidRPr="001918FB">
        <w:rPr>
          <w:kern w:val="36"/>
          <w:lang w:val="en-GB" w:eastAsia="en-GB"/>
        </w:rPr>
        <w:t>The results published in this report</w:t>
      </w:r>
      <w:r>
        <w:rPr>
          <w:kern w:val="36"/>
          <w:lang w:val="en-GB" w:eastAsia="en-GB"/>
        </w:rPr>
        <w:t xml:space="preserve"> and in the tables in the corresponding spreadsheets </w:t>
      </w:r>
      <w:r w:rsidRPr="001918FB">
        <w:rPr>
          <w:kern w:val="36"/>
          <w:lang w:val="en-GB" w:eastAsia="en-GB"/>
        </w:rPr>
        <w:t xml:space="preserve">all comply with the Statistics New Zealand’s confidentiality requirements. These include a requirement to use </w:t>
      </w:r>
      <w:r w:rsidRPr="00167DCA">
        <w:rPr>
          <w:kern w:val="36"/>
          <w:lang w:val="en-GB" w:eastAsia="en-GB"/>
        </w:rPr>
        <w:t>graduated random rounding</w:t>
      </w:r>
      <w:r w:rsidRPr="001918FB">
        <w:rPr>
          <w:kern w:val="36"/>
          <w:lang w:val="en-GB" w:eastAsia="en-GB"/>
        </w:rPr>
        <w:t xml:space="preserve"> for all </w:t>
      </w:r>
      <w:r>
        <w:rPr>
          <w:kern w:val="36"/>
          <w:lang w:val="en-GB" w:eastAsia="en-GB"/>
        </w:rPr>
        <w:t xml:space="preserve">total </w:t>
      </w:r>
      <w:r w:rsidRPr="001918FB">
        <w:rPr>
          <w:kern w:val="36"/>
          <w:lang w:val="en-GB" w:eastAsia="en-GB"/>
        </w:rPr>
        <w:t>counts</w:t>
      </w:r>
      <w:r>
        <w:rPr>
          <w:kern w:val="36"/>
          <w:lang w:val="en-GB" w:eastAsia="en-GB"/>
        </w:rPr>
        <w:t xml:space="preserve">, and random rounding to base 3 for counts which underlie </w:t>
      </w:r>
      <w:r w:rsidRPr="001918FB">
        <w:rPr>
          <w:kern w:val="36"/>
          <w:lang w:val="en-GB" w:eastAsia="en-GB"/>
        </w:rPr>
        <w:t xml:space="preserve">percentages. Additionally, when publishing employment rates or earnings, the corresponding provider, enterprise and graduate counts for that qualification level </w:t>
      </w:r>
      <w:r>
        <w:rPr>
          <w:kern w:val="36"/>
          <w:lang w:val="en-GB" w:eastAsia="en-GB"/>
        </w:rPr>
        <w:t>by</w:t>
      </w:r>
      <w:r w:rsidRPr="001918FB">
        <w:rPr>
          <w:kern w:val="36"/>
          <w:lang w:val="en-GB" w:eastAsia="en-GB"/>
        </w:rPr>
        <w:t xml:space="preserve"> field of study combination must be higher than prescribed limits. Blanks may also be suppressed in line with Statistic New Zealand’s confidentiality rules. Results from a single provider are suppressed in all cases. </w:t>
      </w:r>
    </w:p>
    <w:p w:rsidR="00333713" w:rsidRDefault="00333713" w:rsidP="00333713">
      <w:pPr>
        <w:pStyle w:val="BodyText"/>
        <w:rPr>
          <w:kern w:val="36"/>
          <w:lang w:val="en-GB" w:eastAsia="en-GB"/>
        </w:rPr>
      </w:pPr>
      <w:r w:rsidRPr="001918FB">
        <w:rPr>
          <w:kern w:val="36"/>
          <w:lang w:val="en-GB" w:eastAsia="en-GB"/>
        </w:rPr>
        <w:t>Random rounding may result in a total not agreeing with the sum of individual items shown in a table. It</w:t>
      </w:r>
      <w:r>
        <w:rPr>
          <w:kern w:val="36"/>
          <w:lang w:val="en-GB" w:eastAsia="en-GB"/>
        </w:rPr>
        <w:t xml:space="preserve"> also means that the published percentage of graduates in a particular destination may differ to the true percentage. This</w:t>
      </w:r>
      <w:r w:rsidRPr="001918FB">
        <w:rPr>
          <w:kern w:val="36"/>
          <w:lang w:val="en-GB" w:eastAsia="en-GB"/>
        </w:rPr>
        <w:t xml:space="preserve"> is important to take into account when comparing percentages as </w:t>
      </w:r>
      <w:r>
        <w:rPr>
          <w:kern w:val="36"/>
          <w:lang w:val="en-GB" w:eastAsia="en-GB"/>
        </w:rPr>
        <w:t>some differences</w:t>
      </w:r>
      <w:r w:rsidRPr="001918FB">
        <w:rPr>
          <w:kern w:val="36"/>
          <w:lang w:val="en-GB" w:eastAsia="en-GB"/>
        </w:rPr>
        <w:t xml:space="preserve"> may simply be due to this factor and not to an underlying trend.</w:t>
      </w:r>
      <w:r>
        <w:rPr>
          <w:kern w:val="36"/>
          <w:lang w:val="en-GB" w:eastAsia="en-GB"/>
        </w:rPr>
        <w:t xml:space="preserve"> Examples of the level of variation introduced by random rounding of the underlying graduate counts are: </w:t>
      </w:r>
    </w:p>
    <w:p w:rsidR="00333713" w:rsidRDefault="00333713" w:rsidP="00333713">
      <w:pPr>
        <w:pStyle w:val="BodyText"/>
        <w:numPr>
          <w:ilvl w:val="6"/>
          <w:numId w:val="33"/>
        </w:numPr>
        <w:tabs>
          <w:tab w:val="clear" w:pos="5777"/>
        </w:tabs>
        <w:ind w:left="567" w:hanging="567"/>
        <w:rPr>
          <w:kern w:val="36"/>
          <w:lang w:val="en-GB" w:eastAsia="en-GB"/>
        </w:rPr>
      </w:pPr>
      <w:r>
        <w:rPr>
          <w:kern w:val="36"/>
          <w:lang w:val="en-GB" w:eastAsia="en-GB"/>
        </w:rPr>
        <w:t>If the total number of graduates for a particular qualification level by field of study combination is higher than 50 on average across the seven years after study (which is the case for 82 percent of the published results</w:t>
      </w:r>
      <w:r>
        <w:rPr>
          <w:rStyle w:val="FootnoteReference"/>
          <w:kern w:val="36"/>
          <w:lang w:val="en-GB" w:eastAsia="en-GB"/>
        </w:rPr>
        <w:footnoteReference w:id="14"/>
      </w:r>
      <w:r>
        <w:rPr>
          <w:kern w:val="36"/>
          <w:lang w:val="en-GB" w:eastAsia="en-GB"/>
        </w:rPr>
        <w:t xml:space="preserve">), then sixty-five percent of the published percentages are exact (to the significance level shown), ninety percent are within 1 percentage point, and ninety-five percent are within 2 percentage points.  </w:t>
      </w:r>
    </w:p>
    <w:p w:rsidR="00333713" w:rsidRDefault="00333713" w:rsidP="0069594B">
      <w:pPr>
        <w:pStyle w:val="BodyText"/>
        <w:numPr>
          <w:ilvl w:val="6"/>
          <w:numId w:val="33"/>
        </w:numPr>
        <w:tabs>
          <w:tab w:val="clear" w:pos="5777"/>
        </w:tabs>
        <w:ind w:left="567" w:hanging="567"/>
        <w:rPr>
          <w:kern w:val="36"/>
          <w:lang w:val="en-GB" w:eastAsia="en-GB"/>
        </w:rPr>
      </w:pPr>
      <w:r>
        <w:rPr>
          <w:kern w:val="36"/>
          <w:lang w:val="en-GB" w:eastAsia="en-GB"/>
        </w:rPr>
        <w:t xml:space="preserve">However, if the total number of graduates is between 20 to 50 for a particular qualification level by field of study combination, then only one-third of the published </w:t>
      </w:r>
      <w:r>
        <w:rPr>
          <w:kern w:val="36"/>
          <w:lang w:val="en-GB" w:eastAsia="en-GB"/>
        </w:rPr>
        <w:lastRenderedPageBreak/>
        <w:t>percentages are within 1 percentage point, sixty percent are within 3 percentage points,  seventy-five percent are within 4 percentage points, and ninety-five percent are within 9 percentage points.</w:t>
      </w:r>
    </w:p>
    <w:p w:rsidR="00653F9F" w:rsidRPr="005555AE" w:rsidRDefault="00086B44" w:rsidP="00653F9F">
      <w:pPr>
        <w:pStyle w:val="BodyText"/>
      </w:pPr>
      <w:r w:rsidRPr="0069594B">
        <w:rPr>
          <w:szCs w:val="22"/>
        </w:rPr>
        <w:t xml:space="preserve">Please refer to Chapter 12 of </w:t>
      </w:r>
      <w:r w:rsidR="00622602" w:rsidRPr="00622602">
        <w:rPr>
          <w:i/>
          <w:szCs w:val="22"/>
        </w:rPr>
        <w:t>Moving on up</w:t>
      </w:r>
      <w:r w:rsidRPr="0069594B">
        <w:rPr>
          <w:szCs w:val="22"/>
        </w:rPr>
        <w:t xml:space="preserve"> for more technical details about the data in these tables.</w:t>
      </w:r>
      <w:r w:rsidR="00653F9F" w:rsidRPr="00653F9F">
        <w:t xml:space="preserve"> </w:t>
      </w:r>
    </w:p>
    <w:p w:rsidR="00086B44" w:rsidRPr="000613E0" w:rsidRDefault="00086B44" w:rsidP="00086B44">
      <w:pPr>
        <w:pStyle w:val="BodyText"/>
        <w:rPr>
          <w:b/>
        </w:rPr>
      </w:pPr>
      <w:r>
        <w:rPr>
          <w:b/>
        </w:rPr>
        <w:t xml:space="preserve">Statistics New Zealand </w:t>
      </w:r>
      <w:r w:rsidRPr="000613E0">
        <w:rPr>
          <w:b/>
        </w:rPr>
        <w:t>Disclaimer</w:t>
      </w:r>
    </w:p>
    <w:p w:rsidR="00086B44" w:rsidRPr="000613E0" w:rsidRDefault="00086B44" w:rsidP="00086B44">
      <w:pPr>
        <w:pStyle w:val="BodyText"/>
        <w:rPr>
          <w:i/>
        </w:rPr>
      </w:pPr>
      <w:r w:rsidRPr="000613E0">
        <w:rPr>
          <w:i/>
        </w:rPr>
        <w:t xml:space="preserve">The results in this report are not official statistics, they have been created for research purposes from the Integrated Data Infrastructure (IDI) managed by Statistics New Zealand. </w:t>
      </w:r>
    </w:p>
    <w:p w:rsidR="00086B44" w:rsidRPr="000613E0" w:rsidRDefault="00086B44" w:rsidP="00086B44">
      <w:pPr>
        <w:pStyle w:val="BodyText"/>
        <w:rPr>
          <w:i/>
        </w:rPr>
      </w:pPr>
      <w:r w:rsidRPr="000613E0">
        <w:rPr>
          <w:i/>
        </w:rPr>
        <w:t>The opinions, findings, recommendations and conclusions expressed in this report are those of the authors not Statistics NZ.</w:t>
      </w:r>
    </w:p>
    <w:p w:rsidR="00086B44" w:rsidRPr="000613E0" w:rsidRDefault="00086B44" w:rsidP="00086B44">
      <w:pPr>
        <w:pStyle w:val="BodyText"/>
        <w:rPr>
          <w:i/>
        </w:rPr>
      </w:pPr>
      <w:r w:rsidRPr="000613E0">
        <w:rPr>
          <w:i/>
        </w:rPr>
        <w:t xml:space="preserve"> Access to the anonymised data used in this study was provided by Statistics NZ in accordance with security and confidentiality provisions of the Statistics Act 1975. Only people authorised by the Statistics Act 1975 are allowed to see data about a particular person, household, business or organisation and the results in this report have been confidentialised to protect these groups from identification.</w:t>
      </w:r>
    </w:p>
    <w:p w:rsidR="00086B44" w:rsidRPr="000613E0" w:rsidRDefault="00086B44" w:rsidP="00086B44">
      <w:pPr>
        <w:pStyle w:val="BodyText"/>
        <w:rPr>
          <w:i/>
        </w:rPr>
      </w:pPr>
      <w:r w:rsidRPr="000613E0">
        <w:rPr>
          <w:i/>
        </w:rPr>
        <w:t xml:space="preserve">Careful consideration has been given to the privacy, security and confidentiality issues associated with using administrative and survey data in the IDI. Further detail can be found in the </w:t>
      </w:r>
      <w:hyperlink r:id="rId83" w:history="1">
        <w:r w:rsidRPr="000613E0">
          <w:rPr>
            <w:i/>
          </w:rPr>
          <w:t>Privacy impact assessment for the Integrated Data Infrastructure</w:t>
        </w:r>
      </w:hyperlink>
      <w:r w:rsidRPr="000613E0">
        <w:rPr>
          <w:i/>
        </w:rPr>
        <w:t xml:space="preserve"> available from </w:t>
      </w:r>
      <w:hyperlink r:id="rId84" w:history="1">
        <w:r w:rsidRPr="000613E0">
          <w:rPr>
            <w:i/>
          </w:rPr>
          <w:t>www.stats.govt.nz</w:t>
        </w:r>
      </w:hyperlink>
      <w:r w:rsidRPr="000613E0">
        <w:rPr>
          <w:i/>
        </w:rPr>
        <w:t xml:space="preserve">. </w:t>
      </w:r>
    </w:p>
    <w:p w:rsidR="00086B44" w:rsidRPr="000613E0" w:rsidRDefault="00086B44" w:rsidP="00086B44">
      <w:pPr>
        <w:pStyle w:val="BodyText"/>
        <w:rPr>
          <w:i/>
        </w:rPr>
      </w:pPr>
      <w:r w:rsidRPr="000613E0">
        <w:rPr>
          <w:i/>
        </w:rPr>
        <w:t>The results are based in part on tax data supplied by Inland Revenue to Statistics NZ under the Tax Administration Act 1994. This tax data must be used only for statistical purposes, and no individual information may be published or disclosed in any other form, or provided to Inland Revenue for administrative or regulatory purposes.</w:t>
      </w:r>
    </w:p>
    <w:p w:rsidR="00A723F0" w:rsidRDefault="00086B44" w:rsidP="00653F9F">
      <w:pPr>
        <w:pStyle w:val="BodyText"/>
        <w:rPr>
          <w:i/>
        </w:rPr>
      </w:pPr>
      <w:r w:rsidRPr="000613E0">
        <w:rPr>
          <w:i/>
        </w:rPr>
        <w:t>Any person who has had access to the unit-record data has certified that they have been shown, have read, and have understood section 81 of the Tax Administration Act 1994, which relates to secrecy. Any discussion of data limitations or weaknesses is in the context of using the IDI for statistical purposes, and is not related to the data's ability to support Inland Revenue's core</w:t>
      </w:r>
      <w:r w:rsidR="00653F9F">
        <w:rPr>
          <w:i/>
        </w:rPr>
        <w:t xml:space="preserve"> operational requirements.</w:t>
      </w:r>
    </w:p>
    <w:p w:rsidR="00087649" w:rsidRDefault="00087649">
      <w:pPr>
        <w:rPr>
          <w:rFonts w:ascii="Arial" w:hAnsi="Arial"/>
          <w:caps/>
          <w:sz w:val="32"/>
        </w:rPr>
      </w:pPr>
      <w:r>
        <w:br w:type="page"/>
      </w:r>
    </w:p>
    <w:p w:rsidR="00422014" w:rsidRDefault="00422014" w:rsidP="00422014">
      <w:pPr>
        <w:pStyle w:val="Appendix"/>
        <w:sectPr w:rsidR="00422014" w:rsidSect="00C750C5">
          <w:pgSz w:w="11906" w:h="16838" w:code="9"/>
          <w:pgMar w:top="1418" w:right="1701" w:bottom="1418" w:left="1701" w:header="709" w:footer="709" w:gutter="0"/>
          <w:cols w:space="708"/>
          <w:docGrid w:linePitch="360"/>
        </w:sectPr>
      </w:pPr>
      <w:bookmarkStart w:id="39" w:name="_Toc229990587"/>
    </w:p>
    <w:p w:rsidR="00422014" w:rsidRPr="00437DD8" w:rsidRDefault="00422014" w:rsidP="00437DD8">
      <w:pPr>
        <w:pStyle w:val="Appendix"/>
      </w:pPr>
      <w:bookmarkStart w:id="40" w:name="_Toc387305288"/>
      <w:r w:rsidRPr="00437DD8">
        <w:lastRenderedPageBreak/>
        <w:t xml:space="preserve">Destinations for young domestic bachelors graduates </w:t>
      </w:r>
      <w:bookmarkEnd w:id="39"/>
      <w:r w:rsidRPr="00437DD8">
        <w:t>BY NARROW FIELD OF STUDY</w:t>
      </w:r>
      <w:bookmarkEnd w:id="40"/>
    </w:p>
    <w:p w:rsidR="00422014" w:rsidRDefault="00422014" w:rsidP="00422014">
      <w:pPr>
        <w:pStyle w:val="BodyText"/>
      </w:pPr>
      <w:r>
        <w:t>The following graphs show the destinations for young domestic bachelors graduates by narrow field of study, for broad fields of study which are not analysed in detail in chapter 3.</w:t>
      </w:r>
      <w:r w:rsidR="007315C7">
        <w:t xml:space="preserve">  Narrow fields of study are only shown where the average number of graduates in each year after study (aggregated across two years) is 50 or higher.</w:t>
      </w:r>
    </w:p>
    <w:p w:rsidR="00422014" w:rsidRPr="00936550" w:rsidRDefault="00936550" w:rsidP="00936550">
      <w:pPr>
        <w:pStyle w:val="Caption"/>
      </w:pPr>
      <w:r w:rsidRPr="00936550">
        <w:lastRenderedPageBreak/>
        <w:t xml:space="preserve">Figure </w:t>
      </w:r>
      <w:r w:rsidR="007A6592">
        <w:t>10</w:t>
      </w:r>
    </w:p>
    <w:p w:rsidR="00936550" w:rsidRDefault="00936550" w:rsidP="00936550">
      <w:pPr>
        <w:pStyle w:val="Figurelabel"/>
      </w:pPr>
      <w:bookmarkStart w:id="41" w:name="_Toc387305364"/>
      <w:r w:rsidRPr="002076A0">
        <w:t>Destinations for young d</w:t>
      </w:r>
      <w:r>
        <w:t>omestic bachelors graduates who study the broad field</w:t>
      </w:r>
      <w:r w:rsidR="007315C7">
        <w:t>s</w:t>
      </w:r>
      <w:r>
        <w:t xml:space="preserve"> of </w:t>
      </w:r>
      <w:r w:rsidR="00041834">
        <w:t>n</w:t>
      </w:r>
      <w:r w:rsidR="007315C7" w:rsidRPr="007315C7">
        <w:t>atural and physical sciences</w:t>
      </w:r>
      <w:r w:rsidR="007315C7">
        <w:t xml:space="preserve">, and </w:t>
      </w:r>
      <w:r w:rsidR="00041834">
        <w:t>a</w:t>
      </w:r>
      <w:r w:rsidR="007315C7" w:rsidRPr="007315C7">
        <w:t>griculture, environmental and related studies</w:t>
      </w:r>
      <w:r>
        <w:t>, for the first seven</w:t>
      </w:r>
      <w:r w:rsidRPr="002076A0">
        <w:t xml:space="preserve"> years</w:t>
      </w:r>
      <w:r>
        <w:t xml:space="preserve"> after qualification completion by narrow field of study</w:t>
      </w:r>
      <w:bookmarkEnd w:id="41"/>
    </w:p>
    <w:p w:rsidR="007315C7" w:rsidRPr="007315C7" w:rsidRDefault="007315C7" w:rsidP="007315C7">
      <w:pPr>
        <w:pStyle w:val="BodyText"/>
      </w:pPr>
      <w:r w:rsidRPr="007315C7">
        <w:rPr>
          <w:noProof/>
          <w:lang w:eastAsia="en-NZ"/>
        </w:rPr>
        <w:drawing>
          <wp:inline distT="0" distB="0" distL="0" distR="0">
            <wp:extent cx="8891270" cy="3929051"/>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8891270" cy="3929051"/>
                    </a:xfrm>
                    <a:prstGeom prst="rect">
                      <a:avLst/>
                    </a:prstGeom>
                    <a:noFill/>
                    <a:ln w="9525">
                      <a:noFill/>
                      <a:miter lim="800000"/>
                      <a:headEnd/>
                      <a:tailEnd/>
                    </a:ln>
                  </pic:spPr>
                </pic:pic>
              </a:graphicData>
            </a:graphic>
          </wp:inline>
        </w:drawing>
      </w:r>
    </w:p>
    <w:p w:rsidR="007315C7" w:rsidRDefault="007315C7">
      <w:r>
        <w:br w:type="page"/>
      </w:r>
    </w:p>
    <w:p w:rsidR="007315C7" w:rsidRPr="00936550" w:rsidRDefault="007315C7" w:rsidP="007315C7">
      <w:pPr>
        <w:pStyle w:val="Caption"/>
      </w:pPr>
      <w:r w:rsidRPr="00936550">
        <w:lastRenderedPageBreak/>
        <w:t>F</w:t>
      </w:r>
      <w:r w:rsidR="007A6592">
        <w:t>igure 11</w:t>
      </w:r>
    </w:p>
    <w:p w:rsidR="007315C7" w:rsidRDefault="007315C7" w:rsidP="007315C7">
      <w:pPr>
        <w:pStyle w:val="Figurelabel"/>
      </w:pPr>
      <w:bookmarkStart w:id="42" w:name="_Toc387305365"/>
      <w:r w:rsidRPr="002076A0">
        <w:t>Destinations for young d</w:t>
      </w:r>
      <w:r>
        <w:t xml:space="preserve">omestic bachelors graduates who study the broad fields of </w:t>
      </w:r>
      <w:r w:rsidR="00041834">
        <w:t>Information technology</w:t>
      </w:r>
      <w:r>
        <w:t xml:space="preserve">, and </w:t>
      </w:r>
      <w:r w:rsidR="00041834">
        <w:t>management and commerce</w:t>
      </w:r>
      <w:r>
        <w:t>, for the first seven</w:t>
      </w:r>
      <w:r w:rsidRPr="002076A0">
        <w:t xml:space="preserve"> years</w:t>
      </w:r>
      <w:r>
        <w:t xml:space="preserve"> after qualification completion by narrow field of study</w:t>
      </w:r>
      <w:bookmarkEnd w:id="42"/>
    </w:p>
    <w:p w:rsidR="00041834" w:rsidRDefault="00041834" w:rsidP="00041834">
      <w:pPr>
        <w:pStyle w:val="BodyText"/>
      </w:pPr>
    </w:p>
    <w:p w:rsidR="00041834" w:rsidRPr="00041834" w:rsidRDefault="00041834" w:rsidP="00041834">
      <w:pPr>
        <w:pStyle w:val="BodyText"/>
      </w:pPr>
      <w:r w:rsidRPr="00041834">
        <w:rPr>
          <w:noProof/>
          <w:lang w:eastAsia="en-NZ"/>
        </w:rPr>
        <w:drawing>
          <wp:inline distT="0" distB="0" distL="0" distR="0">
            <wp:extent cx="8891270" cy="4066961"/>
            <wp:effectExtent l="19050" t="0" r="508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srcRect/>
                    <a:stretch>
                      <a:fillRect/>
                    </a:stretch>
                  </pic:blipFill>
                  <pic:spPr bwMode="auto">
                    <a:xfrm>
                      <a:off x="0" y="0"/>
                      <a:ext cx="8891270" cy="4066961"/>
                    </a:xfrm>
                    <a:prstGeom prst="rect">
                      <a:avLst/>
                    </a:prstGeom>
                    <a:noFill/>
                    <a:ln w="9525">
                      <a:noFill/>
                      <a:miter lim="800000"/>
                      <a:headEnd/>
                      <a:tailEnd/>
                    </a:ln>
                  </pic:spPr>
                </pic:pic>
              </a:graphicData>
            </a:graphic>
          </wp:inline>
        </w:drawing>
      </w:r>
    </w:p>
    <w:p w:rsidR="007315C7" w:rsidRDefault="007315C7"/>
    <w:p w:rsidR="007315C7" w:rsidRPr="00936550" w:rsidRDefault="007315C7" w:rsidP="007315C7">
      <w:pPr>
        <w:pStyle w:val="Caption"/>
      </w:pPr>
      <w:r w:rsidRPr="00936550">
        <w:lastRenderedPageBreak/>
        <w:t xml:space="preserve">Figure </w:t>
      </w:r>
      <w:r w:rsidR="007A6592">
        <w:t>12</w:t>
      </w:r>
    </w:p>
    <w:p w:rsidR="007315C7" w:rsidRDefault="007315C7" w:rsidP="007315C7">
      <w:pPr>
        <w:pStyle w:val="Figurelabel"/>
      </w:pPr>
      <w:bookmarkStart w:id="43" w:name="_Toc387305366"/>
      <w:r w:rsidRPr="002076A0">
        <w:t>Destinations for young d</w:t>
      </w:r>
      <w:r>
        <w:t xml:space="preserve">omestic bachelors graduates who study the broad fields </w:t>
      </w:r>
      <w:r w:rsidR="00041834">
        <w:t>of engineering and related technologies</w:t>
      </w:r>
      <w:r>
        <w:t xml:space="preserve">, and </w:t>
      </w:r>
      <w:r w:rsidR="00041834">
        <w:t>architecture and building</w:t>
      </w:r>
      <w:r>
        <w:t>, for the first seven</w:t>
      </w:r>
      <w:r w:rsidRPr="002076A0">
        <w:t xml:space="preserve"> years</w:t>
      </w:r>
      <w:r>
        <w:t xml:space="preserve"> after qualification completion by narrow field of study</w:t>
      </w:r>
      <w:bookmarkEnd w:id="43"/>
    </w:p>
    <w:p w:rsidR="007315C7" w:rsidRDefault="007315C7"/>
    <w:p w:rsidR="007315C7" w:rsidRDefault="00041834">
      <w:r w:rsidRPr="00041834">
        <w:rPr>
          <w:noProof/>
          <w:lang w:eastAsia="en-NZ"/>
        </w:rPr>
        <w:drawing>
          <wp:inline distT="0" distB="0" distL="0" distR="0">
            <wp:extent cx="8891270" cy="3809462"/>
            <wp:effectExtent l="19050" t="0" r="508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srcRect/>
                    <a:stretch>
                      <a:fillRect/>
                    </a:stretch>
                  </pic:blipFill>
                  <pic:spPr bwMode="auto">
                    <a:xfrm>
                      <a:off x="0" y="0"/>
                      <a:ext cx="8891270" cy="3809462"/>
                    </a:xfrm>
                    <a:prstGeom prst="rect">
                      <a:avLst/>
                    </a:prstGeom>
                    <a:noFill/>
                    <a:ln w="9525">
                      <a:noFill/>
                      <a:miter lim="800000"/>
                      <a:headEnd/>
                      <a:tailEnd/>
                    </a:ln>
                  </pic:spPr>
                </pic:pic>
              </a:graphicData>
            </a:graphic>
          </wp:inline>
        </w:drawing>
      </w:r>
    </w:p>
    <w:p w:rsidR="00041834" w:rsidRDefault="00041834">
      <w:pPr>
        <w:rPr>
          <w:rFonts w:ascii="Arial" w:hAnsi="Arial" w:cs="Arial"/>
          <w:b/>
          <w:bCs/>
          <w:sz w:val="15"/>
          <w:szCs w:val="20"/>
        </w:rPr>
      </w:pPr>
      <w:r>
        <w:br w:type="page"/>
      </w:r>
    </w:p>
    <w:p w:rsidR="007315C7" w:rsidRPr="00936550" w:rsidRDefault="007315C7" w:rsidP="007315C7">
      <w:pPr>
        <w:pStyle w:val="Caption"/>
      </w:pPr>
      <w:r w:rsidRPr="00936550">
        <w:lastRenderedPageBreak/>
        <w:t xml:space="preserve">Figure </w:t>
      </w:r>
      <w:r w:rsidR="007A6592">
        <w:t>13</w:t>
      </w:r>
    </w:p>
    <w:p w:rsidR="007315C7" w:rsidRDefault="007315C7" w:rsidP="007315C7">
      <w:pPr>
        <w:pStyle w:val="Figurelabel"/>
      </w:pPr>
      <w:bookmarkStart w:id="44" w:name="_Toc387305367"/>
      <w:r w:rsidRPr="002076A0">
        <w:t>Destinations for young d</w:t>
      </w:r>
      <w:r>
        <w:t xml:space="preserve">omestic bachelors graduates who study the broad fields of </w:t>
      </w:r>
      <w:r w:rsidR="00041834">
        <w:t>education</w:t>
      </w:r>
      <w:r>
        <w:t xml:space="preserve">, and </w:t>
      </w:r>
      <w:r w:rsidR="00041834">
        <w:t>creative arts</w:t>
      </w:r>
      <w:r>
        <w:t>, for the first seven</w:t>
      </w:r>
      <w:r w:rsidRPr="002076A0">
        <w:t xml:space="preserve"> years</w:t>
      </w:r>
      <w:r>
        <w:t xml:space="preserve"> after qualification completion by narrow field of study</w:t>
      </w:r>
      <w:bookmarkEnd w:id="44"/>
    </w:p>
    <w:p w:rsidR="007315C7" w:rsidRDefault="00041834">
      <w:r w:rsidRPr="00041834">
        <w:rPr>
          <w:noProof/>
          <w:lang w:eastAsia="en-NZ"/>
        </w:rPr>
        <w:drawing>
          <wp:inline distT="0" distB="0" distL="0" distR="0">
            <wp:extent cx="8891270" cy="3809462"/>
            <wp:effectExtent l="19050" t="0" r="508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srcRect/>
                    <a:stretch>
                      <a:fillRect/>
                    </a:stretch>
                  </pic:blipFill>
                  <pic:spPr bwMode="auto">
                    <a:xfrm>
                      <a:off x="0" y="0"/>
                      <a:ext cx="8891270" cy="3809462"/>
                    </a:xfrm>
                    <a:prstGeom prst="rect">
                      <a:avLst/>
                    </a:prstGeom>
                    <a:noFill/>
                    <a:ln w="9525">
                      <a:noFill/>
                      <a:miter lim="800000"/>
                      <a:headEnd/>
                      <a:tailEnd/>
                    </a:ln>
                  </pic:spPr>
                </pic:pic>
              </a:graphicData>
            </a:graphic>
          </wp:inline>
        </w:drawing>
      </w:r>
    </w:p>
    <w:p w:rsidR="00422014" w:rsidRDefault="00422014">
      <w:pPr>
        <w:rPr>
          <w:rFonts w:ascii="Arial" w:hAnsi="Arial"/>
          <w:caps/>
          <w:sz w:val="32"/>
        </w:rPr>
      </w:pPr>
      <w:r>
        <w:br w:type="page"/>
      </w:r>
    </w:p>
    <w:p w:rsidR="00422014" w:rsidRDefault="00422014" w:rsidP="00422014">
      <w:pPr>
        <w:pStyle w:val="Heading1"/>
        <w:numPr>
          <w:ilvl w:val="0"/>
          <w:numId w:val="0"/>
        </w:numPr>
        <w:ind w:left="567" w:hanging="567"/>
        <w:sectPr w:rsidR="00422014" w:rsidSect="00422014">
          <w:pgSz w:w="16838" w:h="11906" w:orient="landscape" w:code="9"/>
          <w:pgMar w:top="1701" w:right="1418" w:bottom="1701" w:left="1418" w:header="709" w:footer="709" w:gutter="0"/>
          <w:cols w:space="708"/>
          <w:docGrid w:linePitch="360"/>
        </w:sectPr>
      </w:pPr>
    </w:p>
    <w:p w:rsidR="00086B44" w:rsidRDefault="008E577C" w:rsidP="00422014">
      <w:pPr>
        <w:pStyle w:val="Heading1"/>
        <w:numPr>
          <w:ilvl w:val="0"/>
          <w:numId w:val="0"/>
        </w:numPr>
        <w:ind w:left="567" w:hanging="567"/>
      </w:pPr>
      <w:bookmarkStart w:id="45" w:name="_Toc387305289"/>
      <w:r>
        <w:lastRenderedPageBreak/>
        <w:t>REFERENCES</w:t>
      </w:r>
      <w:bookmarkEnd w:id="45"/>
    </w:p>
    <w:p w:rsidR="00CC532E" w:rsidRPr="00CC532E" w:rsidRDefault="00CC532E" w:rsidP="00CC532E">
      <w:pPr>
        <w:rPr>
          <w:rStyle w:val="Hyperlink"/>
          <w:szCs w:val="22"/>
        </w:rPr>
      </w:pPr>
      <w:r w:rsidRPr="00CC532E">
        <w:rPr>
          <w:szCs w:val="22"/>
        </w:rPr>
        <w:t>Mahoney,</w:t>
      </w:r>
      <w:r w:rsidR="008A64E6">
        <w:rPr>
          <w:szCs w:val="22"/>
        </w:rPr>
        <w:t xml:space="preserve"> </w:t>
      </w:r>
      <w:r w:rsidRPr="00CC532E">
        <w:rPr>
          <w:szCs w:val="22"/>
        </w:rPr>
        <w:t>P., Park, Z., Smyth, R. (2013</w:t>
      </w:r>
      <w:r w:rsidRPr="00CC532E">
        <w:rPr>
          <w:i/>
          <w:szCs w:val="22"/>
        </w:rPr>
        <w:t>). Moving on up: What young people earn after their tertiary education</w:t>
      </w:r>
      <w:r w:rsidR="00B60FE0">
        <w:rPr>
          <w:szCs w:val="22"/>
        </w:rPr>
        <w:t>.</w:t>
      </w:r>
      <w:r w:rsidRPr="00CC532E">
        <w:rPr>
          <w:szCs w:val="22"/>
        </w:rPr>
        <w:t xml:space="preserve"> </w:t>
      </w:r>
      <w:r w:rsidR="00B60FE0">
        <w:rPr>
          <w:szCs w:val="22"/>
        </w:rPr>
        <w:t xml:space="preserve"> </w:t>
      </w:r>
      <w:r w:rsidRPr="00CC532E">
        <w:rPr>
          <w:szCs w:val="22"/>
        </w:rPr>
        <w:t xml:space="preserve">Wellington, Ministry of Education, New Zealand. </w:t>
      </w:r>
      <w:r w:rsidRPr="00CC532E">
        <w:rPr>
          <w:rStyle w:val="Hyperlink"/>
          <w:szCs w:val="22"/>
        </w:rPr>
        <w:t>http://www.educationcounts.govt.nz/publications/tertiary_education/115410</w:t>
      </w:r>
    </w:p>
    <w:p w:rsidR="00CC532E" w:rsidRPr="00FA682D" w:rsidRDefault="00CC532E" w:rsidP="00CC532E">
      <w:pPr>
        <w:pStyle w:val="FootnoteText"/>
        <w:rPr>
          <w:rStyle w:val="Hyperlink"/>
          <w:szCs w:val="14"/>
        </w:rPr>
      </w:pPr>
    </w:p>
    <w:p w:rsidR="00CC532E" w:rsidRDefault="00CC532E" w:rsidP="00CC532E">
      <w:r>
        <w:t>Papadopoulos T (2012).</w:t>
      </w:r>
      <w:r w:rsidRPr="00982062">
        <w:t xml:space="preserve"> </w:t>
      </w:r>
      <w:r w:rsidRPr="00982062">
        <w:rPr>
          <w:i/>
        </w:rPr>
        <w:t>Who Left, Who Returned and Who Was Still Away?</w:t>
      </w:r>
      <w:r w:rsidR="00B60FE0">
        <w:rPr>
          <w:i/>
        </w:rPr>
        <w:t xml:space="preserve"> </w:t>
      </w:r>
      <w:r w:rsidR="00B60FE0">
        <w:t>Wellington,</w:t>
      </w:r>
      <w:r>
        <w:t xml:space="preserve"> Ministry of Business, Innovation and Employment</w:t>
      </w:r>
      <w:r w:rsidR="00B60FE0">
        <w:t>, New Zealand</w:t>
      </w:r>
      <w:r>
        <w:t xml:space="preserve">.  </w:t>
      </w:r>
      <w:hyperlink r:id="rId89" w:history="1">
        <w:r w:rsidRPr="00DC5BA8">
          <w:rPr>
            <w:rStyle w:val="Hyperlink"/>
          </w:rPr>
          <w:t>http://www.dol.govt.nz/publication-view.asp?ID=441</w:t>
        </w:r>
      </w:hyperlink>
    </w:p>
    <w:p w:rsidR="00CC532E" w:rsidRDefault="00CC532E" w:rsidP="00CC532E">
      <w:pPr>
        <w:autoSpaceDE w:val="0"/>
        <w:autoSpaceDN w:val="0"/>
        <w:adjustRightInd w:val="0"/>
      </w:pPr>
    </w:p>
    <w:p w:rsidR="00CC532E" w:rsidRDefault="00CC532E" w:rsidP="00CC532E">
      <w:pPr>
        <w:autoSpaceDE w:val="0"/>
        <w:autoSpaceDN w:val="0"/>
        <w:adjustRightInd w:val="0"/>
      </w:pPr>
      <w:r>
        <w:t xml:space="preserve">Park, Z. Mahoney, P., Smart, W., Smyth, R. (2013).  </w:t>
      </w:r>
      <w:r w:rsidRPr="001B7177">
        <w:rPr>
          <w:i/>
        </w:rPr>
        <w:t>Looking at the employment outcomes of tertiary education: New data on the earnings of young graduates.</w:t>
      </w:r>
      <w:r>
        <w:t xml:space="preserve">  </w:t>
      </w:r>
      <w:r w:rsidR="00E96354">
        <w:t xml:space="preserve">Wellington, Ministry of Education, New Zealand. </w:t>
      </w:r>
      <w:hyperlink r:id="rId90" w:history="1">
        <w:r w:rsidRPr="00622659">
          <w:rPr>
            <w:rStyle w:val="Hyperlink"/>
          </w:rPr>
          <w:t>http://www.educationcounts.govt.nz/publications/tertiary_education/looking-at-the-employment-outcomes-of-tertiary-education</w:t>
        </w:r>
      </w:hyperlink>
    </w:p>
    <w:p w:rsidR="00CC532E" w:rsidRDefault="00CC532E" w:rsidP="00CC532E">
      <w:pPr>
        <w:autoSpaceDE w:val="0"/>
        <w:autoSpaceDN w:val="0"/>
        <w:adjustRightInd w:val="0"/>
      </w:pPr>
    </w:p>
    <w:p w:rsidR="00CC532E" w:rsidRPr="00CC532E" w:rsidRDefault="00CC532E" w:rsidP="00CC532E">
      <w:pPr>
        <w:autoSpaceDE w:val="0"/>
        <w:autoSpaceDN w:val="0"/>
        <w:adjustRightInd w:val="0"/>
      </w:pPr>
      <w:r>
        <w:t xml:space="preserve">Park, Z. Mahoney, P., Smart, W., Smyth, R. (2013).  </w:t>
      </w:r>
      <w:r>
        <w:rPr>
          <w:i/>
        </w:rPr>
        <w:t xml:space="preserve">What young graduates earn when they leave study.  </w:t>
      </w:r>
      <w:r w:rsidR="00E96354">
        <w:t>W</w:t>
      </w:r>
      <w:r w:rsidR="00B60FE0">
        <w:t xml:space="preserve">ellington, Ministry of Education, New Zealand.  </w:t>
      </w:r>
      <w:hyperlink r:id="rId91" w:history="1">
        <w:r w:rsidR="00B60FE0" w:rsidRPr="00CD691C">
          <w:rPr>
            <w:rStyle w:val="Hyperlink"/>
          </w:rPr>
          <w:t>http://www.educationcounts.govt.nz/publications/80898/146542</w:t>
        </w:r>
      </w:hyperlink>
      <w:r w:rsidR="00B60FE0">
        <w:t xml:space="preserve"> </w:t>
      </w:r>
    </w:p>
    <w:p w:rsidR="00CC532E" w:rsidRDefault="00CC532E" w:rsidP="00CC532E">
      <w:pPr>
        <w:autoSpaceDE w:val="0"/>
        <w:autoSpaceDN w:val="0"/>
        <w:adjustRightInd w:val="0"/>
      </w:pPr>
    </w:p>
    <w:p w:rsidR="008E577C" w:rsidRPr="008E577C" w:rsidRDefault="008E577C" w:rsidP="008E577C">
      <w:pPr>
        <w:autoSpaceDE w:val="0"/>
        <w:autoSpaceDN w:val="0"/>
        <w:adjustRightInd w:val="0"/>
        <w:rPr>
          <w:i/>
        </w:rPr>
      </w:pPr>
      <w:r>
        <w:t>Smyth</w:t>
      </w:r>
      <w:r w:rsidR="008A64E6">
        <w:t>,</w:t>
      </w:r>
      <w:r w:rsidRPr="008E577C">
        <w:t xml:space="preserve"> R</w:t>
      </w:r>
      <w:r w:rsidR="008A64E6">
        <w:t>.</w:t>
      </w:r>
      <w:r w:rsidR="009230B3">
        <w:t>,</w:t>
      </w:r>
      <w:r w:rsidRPr="008E577C">
        <w:t xml:space="preserve"> </w:t>
      </w:r>
      <w:r>
        <w:t>Spackman</w:t>
      </w:r>
      <w:r w:rsidR="008A64E6">
        <w:t>, D.</w:t>
      </w:r>
      <w:r w:rsidRPr="008E577C">
        <w:t xml:space="preserve"> (2012). </w:t>
      </w:r>
      <w:r w:rsidRPr="008E577C">
        <w:rPr>
          <w:i/>
        </w:rPr>
        <w:t>Going abroad – What do we know about</w:t>
      </w:r>
    </w:p>
    <w:p w:rsidR="008E577C" w:rsidRPr="008E577C" w:rsidRDefault="008E577C" w:rsidP="008E577C">
      <w:pPr>
        <w:autoSpaceDE w:val="0"/>
        <w:autoSpaceDN w:val="0"/>
        <w:adjustRightInd w:val="0"/>
      </w:pPr>
      <w:r w:rsidRPr="008E577C">
        <w:rPr>
          <w:i/>
        </w:rPr>
        <w:t>people going overseas after tertiary study?</w:t>
      </w:r>
      <w:r w:rsidRPr="008E577C">
        <w:t xml:space="preserve"> Wellington</w:t>
      </w:r>
      <w:r w:rsidR="00B60FE0">
        <w:t>,</w:t>
      </w:r>
      <w:r w:rsidRPr="008E577C">
        <w:t xml:space="preserve"> Ministry of</w:t>
      </w:r>
    </w:p>
    <w:p w:rsidR="008E577C" w:rsidRDefault="008E577C" w:rsidP="008E577C">
      <w:r w:rsidRPr="008E577C">
        <w:t>Education</w:t>
      </w:r>
      <w:r w:rsidR="00B60FE0">
        <w:t>, New Zealand</w:t>
      </w:r>
      <w:r w:rsidRPr="008E577C">
        <w:t>.</w:t>
      </w:r>
      <w:r w:rsidR="00A57370">
        <w:t xml:space="preserve">  </w:t>
      </w:r>
      <w:hyperlink r:id="rId92" w:history="1">
        <w:r w:rsidR="00A57370" w:rsidRPr="009B65AA">
          <w:rPr>
            <w:rStyle w:val="Hyperlink"/>
          </w:rPr>
          <w:t>http://www.educationcounts.govt.nz/publications/tertiary_education/going-abroad-what-do-we-know-about-people-going-overseas-after-tertiary-study</w:t>
        </w:r>
      </w:hyperlink>
    </w:p>
    <w:p w:rsidR="00A57370" w:rsidRDefault="00A57370" w:rsidP="008E577C"/>
    <w:p w:rsidR="00ED68DB" w:rsidRPr="000045D2" w:rsidRDefault="00ED68DB" w:rsidP="00CC532E">
      <w:pPr>
        <w:pStyle w:val="BodyText"/>
        <w:sectPr w:rsidR="00ED68DB" w:rsidRPr="000045D2" w:rsidSect="00422014">
          <w:pgSz w:w="11906" w:h="16838" w:code="9"/>
          <w:pgMar w:top="1418" w:right="1701" w:bottom="1418" w:left="1701" w:header="709" w:footer="709" w:gutter="0"/>
          <w:cols w:space="708"/>
          <w:docGrid w:linePitch="360"/>
        </w:sectPr>
      </w:pPr>
    </w:p>
    <w:p w:rsidR="00767E52" w:rsidRDefault="00767E52" w:rsidP="00F0613C">
      <w:pPr>
        <w:pStyle w:val="BodyText"/>
      </w:pPr>
    </w:p>
    <w:sectPr w:rsidR="00767E52" w:rsidSect="00832F8A">
      <w:headerReference w:type="even" r:id="rId93"/>
      <w:headerReference w:type="default" r:id="rId94"/>
      <w:footerReference w:type="even" r:id="rId95"/>
      <w:footerReference w:type="default" r:id="rId96"/>
      <w:pgSz w:w="11906" w:h="16838" w:code="9"/>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354" w:rsidRDefault="00E96354" w:rsidP="00326930">
      <w:r>
        <w:separator/>
      </w:r>
    </w:p>
  </w:endnote>
  <w:endnote w:type="continuationSeparator" w:id="0">
    <w:p w:rsidR="00E96354" w:rsidRDefault="00E96354" w:rsidP="003269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2"/>
        <w:szCs w:val="24"/>
      </w:rPr>
      <w:id w:val="14026535"/>
      <w:docPartObj>
        <w:docPartGallery w:val="Page Numbers (Bottom of Page)"/>
        <w:docPartUnique/>
      </w:docPartObj>
    </w:sdtPr>
    <w:sdtContent>
      <w:p w:rsidR="00E96354" w:rsidRPr="004A2E4F" w:rsidRDefault="00291118" w:rsidP="00F21DFA">
        <w:pPr>
          <w:pStyle w:val="FooterOddPage"/>
        </w:pPr>
        <w:fldSimple w:instr=" REF ReportTitle  \* MERGEFORMAT ">
          <w:r w:rsidR="00E96354">
            <w:t>What young graduates do when they leave study</w:t>
          </w:r>
        </w:fldSimple>
        <w:r w:rsidR="00E96354" w:rsidRPr="004A2E4F">
          <w:t xml:space="preserve">    </w:t>
        </w:r>
        <w:r w:rsidR="00E96354" w:rsidRPr="009930F4">
          <w:rPr>
            <w:b/>
          </w:rPr>
          <w:t xml:space="preserve"> Ministry of Education</w:t>
        </w:r>
      </w:p>
      <w:p w:rsidR="00E96354" w:rsidRDefault="00291118">
        <w:pPr>
          <w:pStyle w:val="Footer"/>
          <w:jc w:val="right"/>
        </w:pPr>
        <w:fldSimple w:instr=" PAGE   \* MERGEFORMAT ">
          <w:r w:rsidR="00E96354">
            <w:rPr>
              <w:noProof/>
            </w:rPr>
            <w:t>2</w:t>
          </w:r>
        </w:fldSimple>
      </w:p>
    </w:sdtContent>
  </w:sdt>
  <w:p w:rsidR="00E96354" w:rsidRDefault="00E96354">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54" w:rsidRPr="0010602C" w:rsidRDefault="00E96354" w:rsidP="00C6469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2"/>
        <w:szCs w:val="24"/>
      </w:rPr>
      <w:id w:val="14026534"/>
      <w:docPartObj>
        <w:docPartGallery w:val="Page Numbers (Bottom of Page)"/>
        <w:docPartUnique/>
      </w:docPartObj>
    </w:sdtPr>
    <w:sdtContent>
      <w:p w:rsidR="00E96354" w:rsidRDefault="00291118" w:rsidP="00F21DFA">
        <w:pPr>
          <w:pStyle w:val="FooterEvenPage"/>
          <w:ind w:left="284" w:hanging="284"/>
          <w:rPr>
            <w:b/>
          </w:rPr>
        </w:pPr>
        <w:fldSimple w:instr=" PAGE   \* MERGEFORMAT ">
          <w:r w:rsidR="00024EEB">
            <w:rPr>
              <w:noProof/>
            </w:rPr>
            <w:t>1</w:t>
          </w:r>
        </w:fldSimple>
        <w:r w:rsidR="00E96354">
          <w:tab/>
        </w:r>
        <w:fldSimple w:instr=" REF ReportTitle ">
          <w:r w:rsidR="00E96354">
            <w:t>What young graduates do when they leave study</w:t>
          </w:r>
        </w:fldSimple>
        <w:r w:rsidR="00E96354" w:rsidRPr="002907D0">
          <w:t xml:space="preserve">   </w:t>
        </w:r>
        <w:r w:rsidR="00E96354">
          <w:t xml:space="preserve"> </w:t>
        </w:r>
        <w:r w:rsidR="00E96354" w:rsidRPr="002907D0">
          <w:rPr>
            <w:b/>
          </w:rPr>
          <w:t xml:space="preserve"> Ministry of Education</w:t>
        </w:r>
      </w:p>
      <w:p w:rsidR="00E96354" w:rsidRDefault="00291118">
        <w:pPr>
          <w:pStyle w:val="Foote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2"/>
        <w:szCs w:val="24"/>
      </w:rPr>
      <w:id w:val="12886716"/>
      <w:docPartObj>
        <w:docPartGallery w:val="Page Numbers (Bottom of Page)"/>
        <w:docPartUnique/>
      </w:docPartObj>
    </w:sdtPr>
    <w:sdtContent>
      <w:p w:rsidR="00E96354" w:rsidRPr="004A2E4F" w:rsidRDefault="00E96354" w:rsidP="00F21DFA">
        <w:pPr>
          <w:pStyle w:val="FooterOddPage"/>
        </w:pPr>
      </w:p>
      <w:p w:rsidR="00E96354" w:rsidRDefault="00291118">
        <w:pPr>
          <w:pStyle w:val="Footer"/>
          <w:jc w:val="right"/>
        </w:pPr>
      </w:p>
    </w:sdtContent>
  </w:sdt>
  <w:p w:rsidR="00E96354" w:rsidRDefault="00E9635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54" w:rsidRPr="004A2E4F" w:rsidRDefault="00291118" w:rsidP="00D63A35">
    <w:pPr>
      <w:pStyle w:val="FooterOddPage"/>
    </w:pPr>
    <w:fldSimple w:instr=" REF ReportTitle  \* MERGEFORMAT ">
      <w:r w:rsidR="00E96354">
        <w:t>What young graduates do when they leave study</w:t>
      </w:r>
    </w:fldSimple>
    <w:r w:rsidR="00E96354" w:rsidRPr="004A2E4F">
      <w:t xml:space="preserve">    </w:t>
    </w:r>
    <w:r w:rsidR="00E96354" w:rsidRPr="009930F4">
      <w:rPr>
        <w:b/>
      </w:rPr>
      <w:t xml:space="preserve"> Ministry of Education</w:t>
    </w:r>
  </w:p>
  <w:p w:rsidR="00E96354" w:rsidRDefault="00291118" w:rsidP="00D63A35">
    <w:pPr>
      <w:jc w:val="right"/>
    </w:pPr>
    <w:r>
      <w:rPr>
        <w:rStyle w:val="PageNumber"/>
      </w:rPr>
      <w:fldChar w:fldCharType="begin"/>
    </w:r>
    <w:r w:rsidR="00E96354">
      <w:rPr>
        <w:rStyle w:val="PageNumber"/>
      </w:rPr>
      <w:instrText xml:space="preserve">PAGE  </w:instrText>
    </w:r>
    <w:r>
      <w:rPr>
        <w:rStyle w:val="PageNumber"/>
      </w:rPr>
      <w:fldChar w:fldCharType="separate"/>
    </w:r>
    <w:r w:rsidR="00024EEB">
      <w:rPr>
        <w:rStyle w:val="PageNumber"/>
        <w:noProof/>
      </w:rPr>
      <w:t>3</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355839"/>
      <w:docPartObj>
        <w:docPartGallery w:val="Page Numbers (Bottom of Page)"/>
        <w:docPartUnique/>
      </w:docPartObj>
    </w:sdtPr>
    <w:sdtContent>
      <w:p w:rsidR="00E96354" w:rsidRPr="004A2E4F" w:rsidRDefault="00291118" w:rsidP="00D63A35">
        <w:pPr>
          <w:pStyle w:val="FooterOddPage"/>
          <w:jc w:val="left"/>
        </w:pPr>
        <w:fldSimple w:instr=" REF ReportTitle  \* MERGEFORMAT ">
          <w:r w:rsidR="00E96354">
            <w:t>What young graduates do when they leave study</w:t>
          </w:r>
        </w:fldSimple>
        <w:r w:rsidR="00E96354" w:rsidRPr="004A2E4F">
          <w:t xml:space="preserve">    </w:t>
        </w:r>
        <w:r w:rsidR="00E96354" w:rsidRPr="009930F4">
          <w:rPr>
            <w:b/>
          </w:rPr>
          <w:t xml:space="preserve"> Ministry of Education</w:t>
        </w:r>
      </w:p>
      <w:p w:rsidR="00E96354" w:rsidRDefault="00291118" w:rsidP="00D63A35">
        <w:pPr>
          <w:pStyle w:val="FooterOddPage"/>
          <w:jc w:val="left"/>
        </w:pPr>
        <w:fldSimple w:instr=" PAGE   \* MERGEFORMAT ">
          <w:r w:rsidR="00024EEB">
            <w:rPr>
              <w:noProof/>
            </w:rPr>
            <w:t>8</w:t>
          </w:r>
        </w:fldSimple>
      </w:p>
    </w:sdtContent>
  </w:sdt>
  <w:p w:rsidR="00E96354" w:rsidRDefault="00E9635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54" w:rsidRPr="004A2E4F" w:rsidRDefault="00291118" w:rsidP="00D63A35">
    <w:pPr>
      <w:pStyle w:val="FooterOddPage"/>
    </w:pPr>
    <w:fldSimple w:instr=" REF ReportTitle  \* MERGEFORMAT ">
      <w:r w:rsidR="00E96354">
        <w:t>What young graduates do when they leave study</w:t>
      </w:r>
    </w:fldSimple>
    <w:r w:rsidR="00E96354" w:rsidRPr="004A2E4F">
      <w:t xml:space="preserve">    </w:t>
    </w:r>
    <w:r w:rsidR="00E96354" w:rsidRPr="009930F4">
      <w:rPr>
        <w:b/>
      </w:rPr>
      <w:t xml:space="preserve"> Ministry of Education</w:t>
    </w:r>
  </w:p>
  <w:p w:rsidR="00E96354" w:rsidRDefault="00291118" w:rsidP="00D63A35">
    <w:pPr>
      <w:jc w:val="right"/>
    </w:pPr>
    <w:r>
      <w:rPr>
        <w:rStyle w:val="PageNumber"/>
      </w:rPr>
      <w:fldChar w:fldCharType="begin"/>
    </w:r>
    <w:r w:rsidR="00E96354">
      <w:rPr>
        <w:rStyle w:val="PageNumber"/>
      </w:rPr>
      <w:instrText xml:space="preserve">PAGE  </w:instrText>
    </w:r>
    <w:r>
      <w:rPr>
        <w:rStyle w:val="PageNumber"/>
      </w:rPr>
      <w:fldChar w:fldCharType="separate"/>
    </w:r>
    <w:r w:rsidR="00024EEB">
      <w:rPr>
        <w:rStyle w:val="PageNumber"/>
        <w:noProof/>
      </w:rPr>
      <w:t>9</w:t>
    </w:r>
    <w:r>
      <w:rPr>
        <w:rStyle w:val="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54" w:rsidRDefault="00291118" w:rsidP="00B5104A">
    <w:pPr>
      <w:framePr w:wrap="around" w:vAnchor="text" w:hAnchor="margin" w:xAlign="outside" w:y="1"/>
      <w:rPr>
        <w:rStyle w:val="PageNumber"/>
      </w:rPr>
    </w:pPr>
    <w:r>
      <w:rPr>
        <w:rStyle w:val="PageNumber"/>
      </w:rPr>
      <w:fldChar w:fldCharType="begin"/>
    </w:r>
    <w:r w:rsidR="00E96354">
      <w:rPr>
        <w:rStyle w:val="PageNumber"/>
      </w:rPr>
      <w:instrText xml:space="preserve">PAGE  </w:instrText>
    </w:r>
    <w:r>
      <w:rPr>
        <w:rStyle w:val="PageNumber"/>
      </w:rPr>
      <w:fldChar w:fldCharType="separate"/>
    </w:r>
    <w:r w:rsidR="00024EEB">
      <w:rPr>
        <w:rStyle w:val="PageNumber"/>
        <w:noProof/>
      </w:rPr>
      <w:t>42</w:t>
    </w:r>
    <w:r>
      <w:rPr>
        <w:rStyle w:val="PageNumber"/>
      </w:rPr>
      <w:fldChar w:fldCharType="end"/>
    </w:r>
  </w:p>
  <w:p w:rsidR="00E96354" w:rsidRDefault="00291118" w:rsidP="00FF204C">
    <w:pPr>
      <w:pStyle w:val="FooterEvenPage"/>
      <w:rPr>
        <w:b/>
      </w:rPr>
    </w:pPr>
    <w:fldSimple w:instr=" REF ReportTitle ">
      <w:r w:rsidR="00E96354">
        <w:t>What young graduates do when they leave study</w:t>
      </w:r>
    </w:fldSimple>
    <w:r w:rsidR="00E96354" w:rsidRPr="002907D0">
      <w:t xml:space="preserve">   </w:t>
    </w:r>
    <w:r w:rsidR="00E96354">
      <w:t xml:space="preserve"> </w:t>
    </w:r>
    <w:r w:rsidR="00E96354" w:rsidRPr="002907D0">
      <w:rPr>
        <w:b/>
      </w:rPr>
      <w:t xml:space="preserve"> Ministry of Education</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54" w:rsidRDefault="00291118" w:rsidP="00B5104A">
    <w:pPr>
      <w:framePr w:wrap="around" w:vAnchor="text" w:hAnchor="margin" w:xAlign="outside" w:y="1"/>
      <w:rPr>
        <w:rStyle w:val="PageNumber"/>
      </w:rPr>
    </w:pPr>
    <w:r>
      <w:rPr>
        <w:rStyle w:val="PageNumber"/>
      </w:rPr>
      <w:fldChar w:fldCharType="begin"/>
    </w:r>
    <w:r w:rsidR="00E96354">
      <w:rPr>
        <w:rStyle w:val="PageNumber"/>
      </w:rPr>
      <w:instrText xml:space="preserve">PAGE  </w:instrText>
    </w:r>
    <w:r>
      <w:rPr>
        <w:rStyle w:val="PageNumber"/>
      </w:rPr>
      <w:fldChar w:fldCharType="separate"/>
    </w:r>
    <w:r w:rsidR="00024EEB">
      <w:rPr>
        <w:rStyle w:val="PageNumber"/>
        <w:noProof/>
      </w:rPr>
      <w:t>41</w:t>
    </w:r>
    <w:r>
      <w:rPr>
        <w:rStyle w:val="PageNumber"/>
      </w:rPr>
      <w:fldChar w:fldCharType="end"/>
    </w:r>
  </w:p>
  <w:p w:rsidR="00E96354" w:rsidRPr="004A2E4F" w:rsidRDefault="00291118" w:rsidP="004A2E4F">
    <w:pPr>
      <w:pStyle w:val="FooterOddPage"/>
    </w:pPr>
    <w:fldSimple w:instr=" REF ReportTitle  \* MERGEFORMAT ">
      <w:r w:rsidR="00E96354">
        <w:t>What young graduates do when they leave study</w:t>
      </w:r>
    </w:fldSimple>
    <w:r w:rsidR="00E96354" w:rsidRPr="004A2E4F">
      <w:t xml:space="preserve">    </w:t>
    </w:r>
    <w:r w:rsidR="00E96354" w:rsidRPr="009930F4">
      <w:rPr>
        <w:b/>
      </w:rPr>
      <w:t xml:space="preserve"> Ministry of Education</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54" w:rsidRPr="00897DD0" w:rsidRDefault="00E96354" w:rsidP="00942A6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354" w:rsidRPr="00A554F4" w:rsidRDefault="00E96354" w:rsidP="00326930">
      <w:pPr>
        <w:rPr>
          <w:color w:val="9A7735"/>
        </w:rPr>
      </w:pPr>
      <w:r w:rsidRPr="00A554F4">
        <w:rPr>
          <w:color w:val="9A7735"/>
        </w:rPr>
        <w:separator/>
      </w:r>
    </w:p>
  </w:footnote>
  <w:footnote w:type="continuationSeparator" w:id="0">
    <w:p w:rsidR="00E96354" w:rsidRPr="00382758" w:rsidRDefault="00E96354" w:rsidP="00326930">
      <w:pPr>
        <w:rPr>
          <w:color w:val="9A7735"/>
        </w:rPr>
      </w:pPr>
      <w:r w:rsidRPr="00382758">
        <w:rPr>
          <w:color w:val="9A7735"/>
        </w:rPr>
        <w:continuationSeparator/>
      </w:r>
    </w:p>
  </w:footnote>
  <w:footnote w:id="1">
    <w:p w:rsidR="00E96354" w:rsidRDefault="00E96354" w:rsidP="006255C2">
      <w:pPr>
        <w:pStyle w:val="FootnoteText"/>
      </w:pPr>
      <w:r>
        <w:rPr>
          <w:rStyle w:val="FootnoteReference"/>
        </w:rPr>
        <w:footnoteRef/>
      </w:r>
      <w:r>
        <w:t xml:space="preserve"> This time period is the same as that covered in the complementary report on graduate earnings: </w:t>
      </w:r>
      <w:r w:rsidRPr="003C66D5">
        <w:rPr>
          <w:i/>
        </w:rPr>
        <w:t xml:space="preserve">What young graduates earn </w:t>
      </w:r>
      <w:r>
        <w:rPr>
          <w:i/>
        </w:rPr>
        <w:t>when they leave study</w:t>
      </w:r>
      <w:r>
        <w:t>.</w:t>
      </w:r>
    </w:p>
  </w:footnote>
  <w:footnote w:id="2">
    <w:p w:rsidR="00E96354" w:rsidRDefault="00E96354" w:rsidP="003C66D5">
      <w:pPr>
        <w:pStyle w:val="FootnoteText"/>
      </w:pPr>
      <w:r>
        <w:rPr>
          <w:rStyle w:val="FootnoteReference"/>
        </w:rPr>
        <w:footnoteRef/>
      </w:r>
      <w:r>
        <w:t xml:space="preserve"> Note that the results for two cohorts of graduates are aggregated together for each year post study, in order to increase the number of graduates.  This means that we are able to publish results for more qualification level by field of study combinations as more results meet Statistics New Zealand’s confidentiality requirements. Increased graduate numbers also improve the statistical quality and robustness of the results.</w:t>
      </w:r>
    </w:p>
  </w:footnote>
  <w:footnote w:id="3">
    <w:p w:rsidR="00E96354" w:rsidRDefault="00E96354">
      <w:pPr>
        <w:pStyle w:val="FootnoteText"/>
      </w:pPr>
      <w:r>
        <w:rPr>
          <w:rStyle w:val="FootnoteReference"/>
        </w:rPr>
        <w:footnoteRef/>
      </w:r>
      <w:r>
        <w:t xml:space="preserve"> The reason that we have eight years of data here compared to seven years throughout the rest of this report is that in this analysis we look at patterns by qualification level but not by field of study.  This means that the number of graduates in any particular group are higher and so we don’t need to aggregate pairs of graduate cohorts as we do elsewhere in this report.</w:t>
      </w:r>
    </w:p>
  </w:footnote>
  <w:footnote w:id="4">
    <w:p w:rsidR="00E96354" w:rsidRDefault="00E96354">
      <w:pPr>
        <w:pStyle w:val="FootnoteText"/>
      </w:pPr>
      <w:r>
        <w:rPr>
          <w:rStyle w:val="FootnoteReference"/>
        </w:rPr>
        <w:footnoteRef/>
      </w:r>
      <w:r>
        <w:t xml:space="preserve"> </w:t>
      </w:r>
      <w:r w:rsidRPr="00A56A39">
        <w:t xml:space="preserve">Importantly, this measure is not the same as the official measure of employment used in the Household Labour Force Survey. </w:t>
      </w:r>
      <w:r w:rsidR="00C318BB" w:rsidRPr="00C318BB">
        <w:t>This is because of the order of precedence, the fact that the employment rate for young graduates excludes those who have worked without pay, and the use of an annual criterion, rather than a reference week as is the case in the Household Labour Force Survey.</w:t>
      </w:r>
    </w:p>
  </w:footnote>
  <w:footnote w:id="5">
    <w:p w:rsidR="00E96354" w:rsidRDefault="00E96354" w:rsidP="008F7B39">
      <w:pPr>
        <w:pStyle w:val="FootnoteText"/>
      </w:pPr>
      <w:r>
        <w:rPr>
          <w:rStyle w:val="FootnoteReference"/>
        </w:rPr>
        <w:footnoteRef/>
      </w:r>
      <w:r>
        <w:t xml:space="preserve"> Note that if this graduate continued to work in New Zealand in the following year, they would be classified in the “employment” destination for the second year after study for the bachelors qualification, and in the “employment” destination for the </w:t>
      </w:r>
      <w:r w:rsidRPr="008F7B39">
        <w:rPr>
          <w:i/>
        </w:rPr>
        <w:t>first</w:t>
      </w:r>
      <w:r>
        <w:t xml:space="preserve"> year after study for the subsequent qualification.  This is because graduates who complete more than one qualification are included in the results for both qualifications.</w:t>
      </w:r>
    </w:p>
  </w:footnote>
  <w:footnote w:id="6">
    <w:p w:rsidR="00E96354" w:rsidRDefault="00E96354" w:rsidP="000360D5">
      <w:pPr>
        <w:pStyle w:val="FootnoteText"/>
      </w:pPr>
      <w:r>
        <w:rPr>
          <w:rStyle w:val="FootnoteReference"/>
        </w:rPr>
        <w:footnoteRef/>
      </w:r>
      <w:r>
        <w:t xml:space="preserve"> Note that the number of young doctorate graduates is relative small.  This means that patterns over time tend to be less stable.</w:t>
      </w:r>
    </w:p>
  </w:footnote>
  <w:footnote w:id="7">
    <w:p w:rsidR="00E96354" w:rsidRDefault="00E96354">
      <w:pPr>
        <w:pStyle w:val="FootnoteText"/>
      </w:pPr>
      <w:r w:rsidRPr="005572C5">
        <w:rPr>
          <w:rStyle w:val="FootnoteReference"/>
        </w:rPr>
        <w:footnoteRef/>
      </w:r>
      <w:r w:rsidRPr="005572C5">
        <w:t xml:space="preserve"> Note that the definitions used to classify someone as overseas vary between both of these reports and ours.  Smyth and Spackman use Inland Revenue’s definition for student loan borrowers whereby someone is regarded as overseas if they are overseas for 183 days or more (approximately 6 months), and they are regarded as overseas until they are back in New Zealand for more than 183 days.  Papadopoulos uses a longer time period of 9 months or more in a year to define someone as overseas, as we do, but similar to Smyth and Spackman, he regards someone as still being overseas until they have been back in New Zealand for a set time period (of 9 months). Papadopoulos also excludes domestic students who have spent an extended period overseas using a non-New Zealand passport before study.</w:t>
      </w:r>
      <w:r w:rsidRPr="009E44F6">
        <w:t xml:space="preserve">  </w:t>
      </w:r>
    </w:p>
  </w:footnote>
  <w:footnote w:id="8">
    <w:p w:rsidR="00E96354" w:rsidRDefault="00E96354" w:rsidP="009C074B">
      <w:pPr>
        <w:pStyle w:val="FootnoteText"/>
      </w:pPr>
      <w:r>
        <w:rPr>
          <w:rStyle w:val="FootnoteReference"/>
        </w:rPr>
        <w:footnoteRef/>
      </w:r>
      <w:r>
        <w:t xml:space="preserve"> Note that the age cut-off for young masters and doctorate graduates is higher than that for graduates who complete lower level qualifications (see Chapter 6 for details).  That some of these graduates are older may contribute towards their higher overseas rates.</w:t>
      </w:r>
    </w:p>
  </w:footnote>
  <w:footnote w:id="9">
    <w:p w:rsidR="00E96354" w:rsidRDefault="00E96354">
      <w:pPr>
        <w:pStyle w:val="FootnoteText"/>
      </w:pPr>
      <w:r>
        <w:rPr>
          <w:rStyle w:val="FootnoteReference"/>
        </w:rPr>
        <w:footnoteRef/>
      </w:r>
      <w:r>
        <w:t xml:space="preserve"> Note however that the Ministry of Education report </w:t>
      </w:r>
      <w:r w:rsidRPr="00E908AD">
        <w:rPr>
          <w:i/>
        </w:rPr>
        <w:t>What young graduates earn when they leave study</w:t>
      </w:r>
      <w:r w:rsidRPr="00E908AD">
        <w:t xml:space="preserve"> shows that earnings in real terms dropped for young domestic graduates </w:t>
      </w:r>
      <w:r>
        <w:t xml:space="preserve">at </w:t>
      </w:r>
      <w:r w:rsidRPr="00E908AD">
        <w:t xml:space="preserve">many qualification levels during the recession, including at bachelors and honours level.  </w:t>
      </w:r>
      <w:r>
        <w:t xml:space="preserve">This suggests that although graduates with qualifications at degree level and above continued to be able to gain work during the global financial crisis, the </w:t>
      </w:r>
      <w:r w:rsidRPr="00E908AD">
        <w:t xml:space="preserve">type </w:t>
      </w:r>
      <w:r>
        <w:t xml:space="preserve">and hours </w:t>
      </w:r>
      <w:r w:rsidRPr="00E908AD">
        <w:t>of employment may have been ne</w:t>
      </w:r>
      <w:r>
        <w:t>gatively affected to some degree</w:t>
      </w:r>
      <w:r w:rsidRPr="00E908AD">
        <w:t>.</w:t>
      </w:r>
    </w:p>
  </w:footnote>
  <w:footnote w:id="10">
    <w:p w:rsidR="00E96354" w:rsidRDefault="00E96354">
      <w:pPr>
        <w:pStyle w:val="FootnoteText"/>
      </w:pPr>
      <w:r>
        <w:rPr>
          <w:rStyle w:val="FootnoteReference"/>
        </w:rPr>
        <w:footnoteRef/>
      </w:r>
      <w:r>
        <w:t xml:space="preserve"> The percentage of young domestic bachelors graduates who study dentistry and go overseas is suppressed in the seventh year after study in order to meet confidentiality requirements.</w:t>
      </w:r>
      <w:r w:rsidRPr="00337CE9">
        <w:rPr>
          <w:lang w:eastAsia="en-NZ"/>
        </w:rPr>
        <w:t xml:space="preserve"> </w:t>
      </w:r>
      <w:r>
        <w:rPr>
          <w:lang w:eastAsia="en-NZ"/>
        </w:rPr>
        <w:t>However, the percentage is very high after six years for dentistry (50 percent).</w:t>
      </w:r>
    </w:p>
  </w:footnote>
  <w:footnote w:id="11">
    <w:p w:rsidR="00E96354" w:rsidRDefault="00E96354">
      <w:pPr>
        <w:pStyle w:val="FootnoteText"/>
      </w:pPr>
      <w:r>
        <w:rPr>
          <w:rStyle w:val="FootnoteReference"/>
        </w:rPr>
        <w:footnoteRef/>
      </w:r>
      <w:r>
        <w:t xml:space="preserve"> Note that the number of young domestic bachelors graduates is relatively low for the human welfare studies and services narrow field of study and so rates will fluctuate more than they do for fields of study with higher numbers of graduates.</w:t>
      </w:r>
    </w:p>
  </w:footnote>
  <w:footnote w:id="12">
    <w:p w:rsidR="00E96354" w:rsidRPr="0056792B" w:rsidRDefault="00E96354" w:rsidP="00333713">
      <w:pPr>
        <w:pStyle w:val="TGfootnotetext"/>
        <w:rPr>
          <w:rFonts w:ascii="Times New Roman" w:hAnsi="Times New Roman"/>
          <w:sz w:val="16"/>
          <w:szCs w:val="16"/>
        </w:rPr>
      </w:pPr>
      <w:r>
        <w:rPr>
          <w:rStyle w:val="FootnoteReference"/>
        </w:rPr>
        <w:footnoteRef/>
      </w:r>
      <w:r>
        <w:t xml:space="preserve"> </w:t>
      </w:r>
      <w:r w:rsidRPr="00F44BB8">
        <w:rPr>
          <w:rFonts w:ascii="Times New Roman" w:hAnsi="Times New Roman"/>
          <w:sz w:val="16"/>
          <w:szCs w:val="22"/>
        </w:rPr>
        <w:t xml:space="preserve">For example, 25 years and under for law degrees which are four years long, 26 years and under for architecture degrees which are five years long, and 27 years and under for medical degrees as these are six years </w:t>
      </w:r>
      <w:r w:rsidRPr="0056792B">
        <w:rPr>
          <w:rFonts w:ascii="Times New Roman" w:hAnsi="Times New Roman"/>
          <w:sz w:val="16"/>
          <w:szCs w:val="16"/>
        </w:rPr>
        <w:t>long.</w:t>
      </w:r>
      <w:r w:rsidRPr="002B5482">
        <w:rPr>
          <w:rFonts w:ascii="Times New Roman" w:hAnsi="Times New Roman"/>
          <w:sz w:val="16"/>
          <w:szCs w:val="16"/>
        </w:rPr>
        <w:t xml:space="preserve"> Qualifications with non-whole numbers of years are rounded to the closest number of whole years (rounding upwards if the length is x and a half years).</w:t>
      </w:r>
    </w:p>
  </w:footnote>
  <w:footnote w:id="13">
    <w:p w:rsidR="00E96354" w:rsidRDefault="00E96354" w:rsidP="00333713">
      <w:pPr>
        <w:pStyle w:val="TGfootnotetext"/>
        <w:jc w:val="both"/>
        <w:rPr>
          <w:rFonts w:ascii="Times New Roman" w:hAnsi="Times New Roman"/>
          <w:sz w:val="14"/>
          <w:szCs w:val="14"/>
        </w:rPr>
      </w:pPr>
      <w:r w:rsidRPr="00435AFC">
        <w:rPr>
          <w:rStyle w:val="FootnoteReference"/>
          <w:rFonts w:ascii="Times New Roman" w:hAnsi="Times New Roman"/>
          <w:sz w:val="16"/>
          <w:szCs w:val="16"/>
        </w:rPr>
        <w:footnoteRef/>
      </w:r>
      <w:r w:rsidRPr="00435AFC">
        <w:rPr>
          <w:rFonts w:ascii="Times New Roman" w:hAnsi="Times New Roman"/>
          <w:sz w:val="16"/>
          <w:szCs w:val="16"/>
        </w:rPr>
        <w:t xml:space="preserve"> </w:t>
      </w:r>
      <w:r w:rsidRPr="000E5BA4">
        <w:rPr>
          <w:rFonts w:ascii="Times New Roman" w:hAnsi="Times New Roman"/>
          <w:sz w:val="14"/>
          <w:szCs w:val="14"/>
        </w:rPr>
        <w:t>For the structure of NZSCED, refer to:</w:t>
      </w:r>
    </w:p>
    <w:p w:rsidR="00E96354" w:rsidRPr="00435AFC" w:rsidRDefault="00E96354" w:rsidP="00333713">
      <w:pPr>
        <w:pStyle w:val="TGfootnotetext"/>
        <w:jc w:val="both"/>
        <w:rPr>
          <w:rFonts w:ascii="Times New Roman" w:hAnsi="Times New Roman"/>
          <w:sz w:val="16"/>
          <w:szCs w:val="16"/>
        </w:rPr>
      </w:pPr>
      <w:r w:rsidRPr="000E5BA4">
        <w:rPr>
          <w:rFonts w:ascii="Times New Roman" w:hAnsi="Times New Roman"/>
          <w:sz w:val="14"/>
          <w:szCs w:val="14"/>
        </w:rPr>
        <w:t xml:space="preserve"> </w:t>
      </w:r>
      <w:hyperlink r:id="rId1" w:history="1">
        <w:r w:rsidRPr="000E5BA4">
          <w:rPr>
            <w:rStyle w:val="Hyperlink"/>
            <w:rFonts w:ascii="Times New Roman" w:hAnsi="Times New Roman"/>
            <w:sz w:val="14"/>
            <w:szCs w:val="14"/>
          </w:rPr>
          <w:t>http://www.educationcounts.govt.nz/data-services/collecting-information/code_sets/new_zealand_standard_classification_of_education_nzsced</w:t>
        </w:r>
      </w:hyperlink>
      <w:r w:rsidRPr="00435AFC">
        <w:rPr>
          <w:rFonts w:ascii="Times New Roman" w:hAnsi="Times New Roman"/>
          <w:sz w:val="16"/>
          <w:szCs w:val="16"/>
        </w:rPr>
        <w:t xml:space="preserve"> </w:t>
      </w:r>
    </w:p>
  </w:footnote>
  <w:footnote w:id="14">
    <w:p w:rsidR="00E96354" w:rsidRDefault="00E96354" w:rsidP="00333713">
      <w:pPr>
        <w:pStyle w:val="FootnoteText"/>
      </w:pPr>
      <w:r>
        <w:rPr>
          <w:rStyle w:val="FootnoteReference"/>
        </w:rPr>
        <w:footnoteRef/>
      </w:r>
      <w:r>
        <w:t xml:space="preserve"> Excluding suppressed values or combinations with no graduates (the latter are reported as zeroes).  Also note that two cohorts of graduates are aggregated together for each year after study’s results.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54" w:rsidRDefault="00E96354">
    <w:pPr>
      <w:pStyle w:val="Header"/>
    </w:pPr>
    <w:r>
      <w:rPr>
        <w:noProof/>
        <w:lang w:eastAsia="en-NZ"/>
      </w:rPr>
      <w:drawing>
        <wp:anchor distT="0" distB="0" distL="114300" distR="114300" simplePos="0" relativeHeight="251658752" behindDoc="0" locked="0" layoutInCell="1" allowOverlap="1">
          <wp:simplePos x="0" y="0"/>
          <wp:positionH relativeFrom="margin">
            <wp:posOffset>-1143000</wp:posOffset>
          </wp:positionH>
          <wp:positionV relativeFrom="margin">
            <wp:posOffset>-914400</wp:posOffset>
          </wp:positionV>
          <wp:extent cx="7668260" cy="10858500"/>
          <wp:effectExtent l="19050" t="0" r="8890" b="0"/>
          <wp:wrapNone/>
          <wp:docPr id="25" name="Picture 25" descr="08-outcomes-fron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8-outcomes-front-image"/>
                  <pic:cNvPicPr>
                    <a:picLocks noChangeAspect="1" noChangeArrowheads="1"/>
                  </pic:cNvPicPr>
                </pic:nvPicPr>
                <pic:blipFill>
                  <a:blip r:embed="rId1"/>
                  <a:srcRect/>
                  <a:stretch>
                    <a:fillRect/>
                  </a:stretch>
                </pic:blipFill>
                <pic:spPr bwMode="auto">
                  <a:xfrm>
                    <a:off x="0" y="0"/>
                    <a:ext cx="7668260" cy="108585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54" w:rsidRDefault="00E9635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54" w:rsidRDefault="00E9635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54" w:rsidRDefault="00E9635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54" w:rsidRDefault="00E9635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54" w:rsidRDefault="00E96354">
    <w:pPr>
      <w:pStyle w:val="Header"/>
    </w:pPr>
    <w:r>
      <w:rPr>
        <w:noProof/>
        <w:lang w:eastAsia="en-NZ"/>
      </w:rPr>
      <w:drawing>
        <wp:anchor distT="0" distB="0" distL="114300" distR="114300" simplePos="0" relativeHeight="251657728" behindDoc="1" locked="1" layoutInCell="1" allowOverlap="1">
          <wp:simplePos x="0" y="0"/>
          <wp:positionH relativeFrom="page">
            <wp:align>center</wp:align>
          </wp:positionH>
          <wp:positionV relativeFrom="page">
            <wp:align>top</wp:align>
          </wp:positionV>
          <wp:extent cx="7576185" cy="10695305"/>
          <wp:effectExtent l="19050" t="0" r="5715" b="0"/>
          <wp:wrapNone/>
          <wp:docPr id="5" name="Picture 24" descr="08-outcomes-back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8-outcomes-back_200"/>
                  <pic:cNvPicPr>
                    <a:picLocks noChangeAspect="1" noChangeArrowheads="1"/>
                  </pic:cNvPicPr>
                </pic:nvPicPr>
                <pic:blipFill>
                  <a:blip r:embed="rId1"/>
                  <a:srcRect/>
                  <a:stretch>
                    <a:fillRect/>
                  </a:stretch>
                </pic:blipFill>
                <pic:spPr bwMode="auto">
                  <a:xfrm>
                    <a:off x="0" y="0"/>
                    <a:ext cx="7576185" cy="10695305"/>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54" w:rsidRDefault="00E96354">
    <w:pPr>
      <w:pStyle w:val="Header"/>
    </w:pPr>
    <w:r>
      <w:rPr>
        <w:noProof/>
        <w:lang w:eastAsia="en-NZ"/>
      </w:rPr>
      <w:drawing>
        <wp:anchor distT="0" distB="0" distL="114300" distR="114300" simplePos="0" relativeHeight="251656704" behindDoc="1" locked="1" layoutInCell="1" allowOverlap="1">
          <wp:simplePos x="0" y="0"/>
          <wp:positionH relativeFrom="page">
            <wp:align>center</wp:align>
          </wp:positionH>
          <wp:positionV relativeFrom="page">
            <wp:align>top</wp:align>
          </wp:positionV>
          <wp:extent cx="7576185" cy="10695305"/>
          <wp:effectExtent l="19050" t="0" r="5715" b="0"/>
          <wp:wrapNone/>
          <wp:docPr id="4" name="Picture 23" descr="08-outcomes-back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8-outcomes-back_200"/>
                  <pic:cNvPicPr>
                    <a:picLocks noChangeAspect="1" noChangeArrowheads="1"/>
                  </pic:cNvPicPr>
                </pic:nvPicPr>
                <pic:blipFill>
                  <a:blip r:embed="rId1"/>
                  <a:srcRect/>
                  <a:stretch>
                    <a:fillRect/>
                  </a:stretch>
                </pic:blipFill>
                <pic:spPr bwMode="auto">
                  <a:xfrm>
                    <a:off x="0" y="0"/>
                    <a:ext cx="7576185" cy="1069530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F420180"/>
    <w:lvl w:ilvl="0">
      <w:start w:val="1"/>
      <w:numFmt w:val="decimal"/>
      <w:lvlText w:val="%1."/>
      <w:lvlJc w:val="left"/>
      <w:pPr>
        <w:tabs>
          <w:tab w:val="num" w:pos="1492"/>
        </w:tabs>
        <w:ind w:left="1492" w:hanging="360"/>
      </w:pPr>
    </w:lvl>
  </w:abstractNum>
  <w:abstractNum w:abstractNumId="1">
    <w:nsid w:val="FFFFFF7D"/>
    <w:multiLevelType w:val="singleLevel"/>
    <w:tmpl w:val="0AC43D18"/>
    <w:lvl w:ilvl="0">
      <w:start w:val="1"/>
      <w:numFmt w:val="decimal"/>
      <w:lvlText w:val="%1."/>
      <w:lvlJc w:val="left"/>
      <w:pPr>
        <w:tabs>
          <w:tab w:val="num" w:pos="1209"/>
        </w:tabs>
        <w:ind w:left="1209" w:hanging="360"/>
      </w:pPr>
    </w:lvl>
  </w:abstractNum>
  <w:abstractNum w:abstractNumId="2">
    <w:nsid w:val="FFFFFF7E"/>
    <w:multiLevelType w:val="singleLevel"/>
    <w:tmpl w:val="ACBAE15C"/>
    <w:lvl w:ilvl="0">
      <w:start w:val="1"/>
      <w:numFmt w:val="decimal"/>
      <w:lvlText w:val="%1."/>
      <w:lvlJc w:val="left"/>
      <w:pPr>
        <w:tabs>
          <w:tab w:val="num" w:pos="926"/>
        </w:tabs>
        <w:ind w:left="926" w:hanging="360"/>
      </w:pPr>
    </w:lvl>
  </w:abstractNum>
  <w:abstractNum w:abstractNumId="3">
    <w:nsid w:val="FFFFFF7F"/>
    <w:multiLevelType w:val="singleLevel"/>
    <w:tmpl w:val="AEFC9E68"/>
    <w:lvl w:ilvl="0">
      <w:start w:val="1"/>
      <w:numFmt w:val="decimal"/>
      <w:lvlText w:val="%1."/>
      <w:lvlJc w:val="left"/>
      <w:pPr>
        <w:tabs>
          <w:tab w:val="num" w:pos="643"/>
        </w:tabs>
        <w:ind w:left="643" w:hanging="360"/>
      </w:pPr>
    </w:lvl>
  </w:abstractNum>
  <w:abstractNum w:abstractNumId="4">
    <w:nsid w:val="FFFFFF80"/>
    <w:multiLevelType w:val="singleLevel"/>
    <w:tmpl w:val="D19E4AA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D323FE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C6A2E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690C78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5F4802C"/>
    <w:lvl w:ilvl="0">
      <w:start w:val="1"/>
      <w:numFmt w:val="decimal"/>
      <w:lvlText w:val="%1."/>
      <w:lvlJc w:val="left"/>
      <w:pPr>
        <w:tabs>
          <w:tab w:val="num" w:pos="360"/>
        </w:tabs>
        <w:ind w:left="360" w:hanging="360"/>
      </w:pPr>
    </w:lvl>
  </w:abstractNum>
  <w:abstractNum w:abstractNumId="9">
    <w:nsid w:val="FFFFFF89"/>
    <w:multiLevelType w:val="singleLevel"/>
    <w:tmpl w:val="2C922E7A"/>
    <w:lvl w:ilvl="0">
      <w:start w:val="1"/>
      <w:numFmt w:val="bullet"/>
      <w:lvlText w:val=""/>
      <w:lvlJc w:val="left"/>
      <w:pPr>
        <w:tabs>
          <w:tab w:val="num" w:pos="360"/>
        </w:tabs>
        <w:ind w:left="360" w:hanging="360"/>
      </w:pPr>
      <w:rPr>
        <w:rFonts w:ascii="Symbol" w:hAnsi="Symbol" w:hint="default"/>
      </w:rPr>
    </w:lvl>
  </w:abstractNum>
  <w:abstractNum w:abstractNumId="10">
    <w:nsid w:val="04596F11"/>
    <w:multiLevelType w:val="multilevel"/>
    <w:tmpl w:val="4D24C600"/>
    <w:lvl w:ilvl="0">
      <w:start w:val="1"/>
      <w:numFmt w:val="upperLetter"/>
      <w:lvlText w:val="Appendix %1 "/>
      <w:lvlJc w:val="left"/>
      <w:pPr>
        <w:tabs>
          <w:tab w:val="num" w:pos="2268"/>
        </w:tabs>
        <w:ind w:left="2268" w:hanging="2268"/>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1701"/>
        </w:tabs>
        <w:ind w:left="1701" w:hanging="964"/>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11">
    <w:nsid w:val="08CF18B8"/>
    <w:multiLevelType w:val="hybridMultilevel"/>
    <w:tmpl w:val="DC1833A0"/>
    <w:lvl w:ilvl="0" w:tplc="C8166F94">
      <w:start w:val="1"/>
      <w:numFmt w:val="bullet"/>
      <w:lvlText w:val=""/>
      <w:lvlJc w:val="left"/>
      <w:pPr>
        <w:tabs>
          <w:tab w:val="num" w:pos="493"/>
        </w:tabs>
        <w:ind w:left="493" w:hanging="493"/>
      </w:pPr>
      <w:rPr>
        <w:rFonts w:ascii="Symbol" w:hAnsi="Symbol" w:hint="default"/>
        <w:color w:val="auto"/>
        <w:sz w:val="20"/>
        <w:szCs w:val="20"/>
      </w:rPr>
    </w:lvl>
    <w:lvl w:ilvl="1" w:tplc="14090003" w:tentative="1">
      <w:start w:val="1"/>
      <w:numFmt w:val="bullet"/>
      <w:lvlText w:val="o"/>
      <w:lvlJc w:val="left"/>
      <w:pPr>
        <w:tabs>
          <w:tab w:val="num" w:pos="1440"/>
        </w:tabs>
        <w:ind w:left="1440" w:hanging="360"/>
      </w:pPr>
      <w:rPr>
        <w:rFonts w:ascii="Courier New" w:hAnsi="Courier New" w:cs="Times"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Times"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Times"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2">
    <w:nsid w:val="0A191B95"/>
    <w:multiLevelType w:val="hybridMultilevel"/>
    <w:tmpl w:val="FD38D25E"/>
    <w:lvl w:ilvl="0" w:tplc="E5325EAA">
      <w:start w:val="1"/>
      <w:numFmt w:val="decimal"/>
      <w:lvlText w:val="%1."/>
      <w:lvlJc w:val="left"/>
      <w:pPr>
        <w:tabs>
          <w:tab w:val="num" w:pos="720"/>
        </w:tabs>
        <w:ind w:left="720" w:hanging="360"/>
      </w:pPr>
      <w:rPr>
        <w:rFonts w:ascii="Arial Narrow" w:hAnsi="Arial Narrow" w:hint="default"/>
        <w:sz w:val="18"/>
        <w:szCs w:val="18"/>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3">
    <w:nsid w:val="0C927F77"/>
    <w:multiLevelType w:val="multilevel"/>
    <w:tmpl w:val="897852FA"/>
    <w:lvl w:ilvl="0">
      <w:start w:val="1"/>
      <w:numFmt w:val="decimal"/>
      <w:lvlText w:val="%1"/>
      <w:lvlJc w:val="left"/>
      <w:pPr>
        <w:tabs>
          <w:tab w:val="num" w:pos="425"/>
        </w:tabs>
        <w:ind w:left="425" w:hanging="425"/>
      </w:pPr>
    </w:lvl>
    <w:lvl w:ilvl="1">
      <w:start w:val="1"/>
      <w:numFmt w:val="lowerLetter"/>
      <w:lvlText w:val="%2"/>
      <w:lvlJc w:val="left"/>
      <w:pPr>
        <w:tabs>
          <w:tab w:val="num" w:pos="851"/>
        </w:tabs>
        <w:ind w:left="851" w:hanging="426"/>
      </w:pPr>
    </w:lvl>
    <w:lvl w:ilvl="2">
      <w:start w:val="1"/>
      <w:numFmt w:val="lowerRoman"/>
      <w:lvlText w:val="%3"/>
      <w:lvlJc w:val="left"/>
      <w:pPr>
        <w:tabs>
          <w:tab w:val="num" w:pos="1571"/>
        </w:tabs>
        <w:ind w:left="1276" w:hanging="425"/>
      </w:pPr>
    </w:lvl>
    <w:lvl w:ilvl="3">
      <w:start w:val="1"/>
      <w:numFmt w:val="decimal"/>
      <w:lvlText w:val="%4"/>
      <w:lvlJc w:val="left"/>
      <w:pPr>
        <w:tabs>
          <w:tab w:val="num" w:pos="2126"/>
        </w:tabs>
        <w:ind w:left="2126" w:hanging="425"/>
      </w:pPr>
      <w:rPr>
        <w:b w:val="0"/>
        <w:i/>
      </w:rPr>
    </w:lvl>
    <w:lvl w:ilvl="4">
      <w:start w:val="1"/>
      <w:numFmt w:val="lowerLetter"/>
      <w:lvlText w:val="%5"/>
      <w:lvlJc w:val="left"/>
      <w:pPr>
        <w:tabs>
          <w:tab w:val="num" w:pos="2835"/>
        </w:tabs>
        <w:ind w:left="2835" w:hanging="567"/>
      </w:pPr>
      <w:rPr>
        <w:b w:val="0"/>
        <w:i/>
      </w:rPr>
    </w:lvl>
    <w:lvl w:ilvl="5">
      <w:start w:val="1"/>
      <w:numFmt w:val="lowerRoman"/>
      <w:lvlText w:val="%6"/>
      <w:lvlJc w:val="left"/>
      <w:pPr>
        <w:tabs>
          <w:tab w:val="num" w:pos="3402"/>
        </w:tabs>
        <w:ind w:left="3402" w:hanging="567"/>
      </w:pPr>
      <w:rPr>
        <w:b w:val="0"/>
        <w:i/>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14">
    <w:nsid w:val="0C990960"/>
    <w:multiLevelType w:val="hybridMultilevel"/>
    <w:tmpl w:val="6C683B72"/>
    <w:lvl w:ilvl="0" w:tplc="F00245AC">
      <w:start w:val="1"/>
      <w:numFmt w:val="decimal"/>
      <w:lvlText w:val="%1"/>
      <w:lvlJc w:val="left"/>
      <w:pPr>
        <w:ind w:left="720" w:hanging="360"/>
      </w:pPr>
      <w:rPr>
        <w:rFonts w:ascii="Arial" w:hAnsi="Arial" w:hint="default"/>
        <w:b/>
        <w:i w:val="0"/>
        <w:sz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0DEC55C2"/>
    <w:multiLevelType w:val="hybridMultilevel"/>
    <w:tmpl w:val="667C14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0F3C25BD"/>
    <w:multiLevelType w:val="hybridMultilevel"/>
    <w:tmpl w:val="59A81694"/>
    <w:lvl w:ilvl="0" w:tplc="1409000F">
      <w:start w:val="1"/>
      <w:numFmt w:val="decimal"/>
      <w:lvlText w:val="%1."/>
      <w:lvlJc w:val="left"/>
      <w:pPr>
        <w:tabs>
          <w:tab w:val="num" w:pos="720"/>
        </w:tabs>
        <w:ind w:left="720" w:hanging="360"/>
      </w:pPr>
      <w:rPr>
        <w:rFont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7">
    <w:nsid w:val="104D07A2"/>
    <w:multiLevelType w:val="hybridMultilevel"/>
    <w:tmpl w:val="EA4AC9BE"/>
    <w:lvl w:ilvl="0" w:tplc="F00245AC">
      <w:start w:val="1"/>
      <w:numFmt w:val="decimal"/>
      <w:lvlText w:val="%1"/>
      <w:lvlJc w:val="left"/>
      <w:pPr>
        <w:ind w:left="720" w:hanging="360"/>
      </w:pPr>
      <w:rPr>
        <w:rFonts w:ascii="Arial" w:hAnsi="Arial" w:hint="default"/>
        <w:b/>
        <w:i w:val="0"/>
        <w:sz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12561FD7"/>
    <w:multiLevelType w:val="multilevel"/>
    <w:tmpl w:val="44EA2B7E"/>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nsid w:val="16557A35"/>
    <w:multiLevelType w:val="hybridMultilevel"/>
    <w:tmpl w:val="4B7AE2FA"/>
    <w:lvl w:ilvl="0" w:tplc="1409000F">
      <w:start w:val="1"/>
      <w:numFmt w:val="decimal"/>
      <w:lvlText w:val="%1."/>
      <w:lvlJc w:val="left"/>
      <w:pPr>
        <w:tabs>
          <w:tab w:val="num" w:pos="720"/>
        </w:tabs>
        <w:ind w:left="720" w:hanging="360"/>
      </w:pPr>
      <w:rPr>
        <w:rFont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0">
    <w:nsid w:val="1C191B07"/>
    <w:multiLevelType w:val="hybridMultilevel"/>
    <w:tmpl w:val="393AF690"/>
    <w:lvl w:ilvl="0" w:tplc="F00245AC">
      <w:start w:val="1"/>
      <w:numFmt w:val="decimal"/>
      <w:lvlText w:val="%1"/>
      <w:lvlJc w:val="left"/>
      <w:pPr>
        <w:ind w:left="720" w:hanging="360"/>
      </w:pPr>
      <w:rPr>
        <w:rFonts w:ascii="Arial" w:hAnsi="Arial" w:hint="default"/>
        <w:b/>
        <w:i w:val="0"/>
        <w:sz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1D7A7AF8"/>
    <w:multiLevelType w:val="multilevel"/>
    <w:tmpl w:val="4DE2627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i w:val="0"/>
      </w:rPr>
    </w:lvl>
    <w:lvl w:ilvl="2">
      <w:start w:val="1"/>
      <w:numFmt w:val="decimal"/>
      <w:lvlText w:val="%1.%2.%3"/>
      <w:lvlJc w:val="left"/>
      <w:pPr>
        <w:tabs>
          <w:tab w:val="num" w:pos="1701"/>
        </w:tabs>
        <w:ind w:left="1701" w:hanging="964"/>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22">
    <w:nsid w:val="1D7E2493"/>
    <w:multiLevelType w:val="multilevel"/>
    <w:tmpl w:val="4DE2627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i w:val="0"/>
      </w:rPr>
    </w:lvl>
    <w:lvl w:ilvl="2">
      <w:start w:val="1"/>
      <w:numFmt w:val="decimal"/>
      <w:lvlText w:val="%1.%2.%3"/>
      <w:lvlJc w:val="left"/>
      <w:pPr>
        <w:tabs>
          <w:tab w:val="num" w:pos="1701"/>
        </w:tabs>
        <w:ind w:left="1701" w:hanging="964"/>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23">
    <w:nsid w:val="22D62ACC"/>
    <w:multiLevelType w:val="hybridMultilevel"/>
    <w:tmpl w:val="FC18C004"/>
    <w:lvl w:ilvl="0" w:tplc="F00245AC">
      <w:start w:val="1"/>
      <w:numFmt w:val="decimal"/>
      <w:lvlText w:val="%1"/>
      <w:lvlJc w:val="left"/>
      <w:pPr>
        <w:ind w:left="720" w:hanging="360"/>
      </w:pPr>
      <w:rPr>
        <w:rFonts w:ascii="Arial" w:hAnsi="Arial" w:hint="default"/>
        <w:b/>
        <w:i w:val="0"/>
        <w:sz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232444BD"/>
    <w:multiLevelType w:val="multilevel"/>
    <w:tmpl w:val="55DE7802"/>
    <w:lvl w:ilvl="0">
      <w:start w:val="1"/>
      <w:numFmt w:val="bullet"/>
      <w:lvlText w:val=""/>
      <w:lvlJc w:val="left"/>
      <w:pPr>
        <w:ind w:left="720" w:hanging="360"/>
      </w:pPr>
      <w:rPr>
        <w:rFonts w:ascii="Symbol" w:hAnsi="Symbol" w:hint="default"/>
        <w:color w:val="577CA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243B1410"/>
    <w:multiLevelType w:val="hybridMultilevel"/>
    <w:tmpl w:val="CC6A7234"/>
    <w:lvl w:ilvl="0" w:tplc="F00245AC">
      <w:start w:val="1"/>
      <w:numFmt w:val="decimal"/>
      <w:lvlText w:val="%1"/>
      <w:lvlJc w:val="left"/>
      <w:pPr>
        <w:ind w:left="720" w:hanging="360"/>
      </w:pPr>
      <w:rPr>
        <w:rFonts w:ascii="Arial" w:hAnsi="Arial" w:hint="default"/>
        <w:b/>
        <w:i w:val="0"/>
        <w:sz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26E60E83"/>
    <w:multiLevelType w:val="hybridMultilevel"/>
    <w:tmpl w:val="B5B8E79E"/>
    <w:lvl w:ilvl="0" w:tplc="F00245AC">
      <w:start w:val="1"/>
      <w:numFmt w:val="decimal"/>
      <w:lvlText w:val="%1"/>
      <w:lvlJc w:val="left"/>
      <w:pPr>
        <w:ind w:left="720" w:hanging="360"/>
      </w:pPr>
      <w:rPr>
        <w:rFonts w:ascii="Arial" w:hAnsi="Arial" w:hint="default"/>
        <w:b/>
        <w:i w:val="0"/>
        <w:sz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2FB20C57"/>
    <w:multiLevelType w:val="hybridMultilevel"/>
    <w:tmpl w:val="53123DFC"/>
    <w:lvl w:ilvl="0" w:tplc="0FB6171E">
      <w:start w:val="1"/>
      <w:numFmt w:val="decimal"/>
      <w:lvlText w:val="%1"/>
      <w:lvlJc w:val="left"/>
      <w:pPr>
        <w:ind w:left="720" w:hanging="360"/>
      </w:pPr>
      <w:rPr>
        <w:rFonts w:ascii="Arial" w:hAnsi="Arial" w:hint="default"/>
        <w:b/>
        <w:i w:val="0"/>
        <w:sz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309F7EF1"/>
    <w:multiLevelType w:val="hybridMultilevel"/>
    <w:tmpl w:val="7D048930"/>
    <w:lvl w:ilvl="0" w:tplc="F00245AC">
      <w:start w:val="1"/>
      <w:numFmt w:val="decimal"/>
      <w:lvlText w:val="%1"/>
      <w:lvlJc w:val="left"/>
      <w:pPr>
        <w:ind w:left="720" w:hanging="360"/>
      </w:pPr>
      <w:rPr>
        <w:rFonts w:ascii="Arial" w:hAnsi="Arial" w:hint="default"/>
        <w:b/>
        <w:i w:val="0"/>
        <w:sz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35EA0C53"/>
    <w:multiLevelType w:val="multilevel"/>
    <w:tmpl w:val="FFB08EFA"/>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785"/>
        </w:tabs>
        <w:ind w:left="709" w:hanging="284"/>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850114F"/>
    <w:multiLevelType w:val="multilevel"/>
    <w:tmpl w:val="5974281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701"/>
        </w:tabs>
        <w:ind w:left="1701" w:hanging="964"/>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31">
    <w:nsid w:val="39CF6EFD"/>
    <w:multiLevelType w:val="multilevel"/>
    <w:tmpl w:val="8FDA3FFC"/>
    <w:lvl w:ilvl="0">
      <w:start w:val="1"/>
      <w:numFmt w:val="upperLetter"/>
      <w:lvlText w:val="Appendix %1 "/>
      <w:lvlJc w:val="left"/>
      <w:pPr>
        <w:tabs>
          <w:tab w:val="num" w:pos="2155"/>
        </w:tabs>
        <w:ind w:left="2155" w:hanging="2155"/>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1701"/>
        </w:tabs>
        <w:ind w:left="1701" w:hanging="964"/>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32">
    <w:nsid w:val="3AD11413"/>
    <w:multiLevelType w:val="hybridMultilevel"/>
    <w:tmpl w:val="28221AB0"/>
    <w:lvl w:ilvl="0" w:tplc="1409000F">
      <w:start w:val="1"/>
      <w:numFmt w:val="decimal"/>
      <w:lvlText w:val="%1."/>
      <w:lvlJc w:val="left"/>
      <w:pPr>
        <w:tabs>
          <w:tab w:val="num" w:pos="720"/>
        </w:tabs>
        <w:ind w:left="720" w:hanging="360"/>
      </w:pPr>
      <w:rPr>
        <w:rFont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33">
    <w:nsid w:val="3BA91395"/>
    <w:multiLevelType w:val="hybridMultilevel"/>
    <w:tmpl w:val="0CB27246"/>
    <w:lvl w:ilvl="0" w:tplc="1409000F">
      <w:start w:val="1"/>
      <w:numFmt w:val="decimal"/>
      <w:lvlText w:val="%1."/>
      <w:lvlJc w:val="left"/>
      <w:pPr>
        <w:tabs>
          <w:tab w:val="num" w:pos="720"/>
        </w:tabs>
        <w:ind w:left="720" w:hanging="360"/>
      </w:pPr>
      <w:rPr>
        <w:rFont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34">
    <w:nsid w:val="3C6A7365"/>
    <w:multiLevelType w:val="hybridMultilevel"/>
    <w:tmpl w:val="CD7EFC7C"/>
    <w:lvl w:ilvl="0" w:tplc="1409000F">
      <w:start w:val="1"/>
      <w:numFmt w:val="decimal"/>
      <w:lvlText w:val="%1."/>
      <w:lvlJc w:val="left"/>
      <w:pPr>
        <w:tabs>
          <w:tab w:val="num" w:pos="720"/>
        </w:tabs>
        <w:ind w:left="720" w:hanging="360"/>
      </w:pPr>
      <w:rPr>
        <w:rFont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35">
    <w:nsid w:val="3CB80C95"/>
    <w:multiLevelType w:val="multilevel"/>
    <w:tmpl w:val="84D6A60C"/>
    <w:lvl w:ilvl="0">
      <w:start w:val="1"/>
      <w:numFmt w:val="decimal"/>
      <w:lvlText w:val="%1"/>
      <w:lvlJc w:val="left"/>
      <w:pPr>
        <w:tabs>
          <w:tab w:val="num" w:pos="425"/>
        </w:tabs>
        <w:ind w:left="425" w:hanging="425"/>
      </w:pPr>
    </w:lvl>
    <w:lvl w:ilvl="1">
      <w:start w:val="1"/>
      <w:numFmt w:val="lowerLetter"/>
      <w:lvlText w:val="%2"/>
      <w:lvlJc w:val="left"/>
      <w:pPr>
        <w:tabs>
          <w:tab w:val="num" w:pos="851"/>
        </w:tabs>
        <w:ind w:left="851" w:hanging="426"/>
      </w:pPr>
    </w:lvl>
    <w:lvl w:ilvl="2">
      <w:start w:val="1"/>
      <w:numFmt w:val="lowerRoman"/>
      <w:lvlText w:val="%3"/>
      <w:lvlJc w:val="left"/>
      <w:pPr>
        <w:tabs>
          <w:tab w:val="num" w:pos="1571"/>
        </w:tabs>
        <w:ind w:left="1276" w:hanging="425"/>
      </w:pPr>
    </w:lvl>
    <w:lvl w:ilvl="3">
      <w:start w:val="1"/>
      <w:numFmt w:val="decimal"/>
      <w:lvlText w:val="%4"/>
      <w:lvlJc w:val="left"/>
      <w:pPr>
        <w:tabs>
          <w:tab w:val="num" w:pos="2268"/>
        </w:tabs>
        <w:ind w:left="2268" w:hanging="567"/>
      </w:pPr>
      <w:rPr>
        <w:b w:val="0"/>
        <w:i/>
      </w:rPr>
    </w:lvl>
    <w:lvl w:ilvl="4">
      <w:start w:val="1"/>
      <w:numFmt w:val="lowerLetter"/>
      <w:lvlText w:val="%5"/>
      <w:lvlJc w:val="left"/>
      <w:pPr>
        <w:tabs>
          <w:tab w:val="num" w:pos="2835"/>
        </w:tabs>
        <w:ind w:left="2835" w:hanging="567"/>
      </w:pPr>
      <w:rPr>
        <w:b w:val="0"/>
        <w:i/>
      </w:rPr>
    </w:lvl>
    <w:lvl w:ilvl="5">
      <w:start w:val="1"/>
      <w:numFmt w:val="lowerRoman"/>
      <w:lvlText w:val="%6"/>
      <w:lvlJc w:val="left"/>
      <w:pPr>
        <w:tabs>
          <w:tab w:val="num" w:pos="3402"/>
        </w:tabs>
        <w:ind w:left="3402" w:hanging="567"/>
      </w:pPr>
      <w:rPr>
        <w:b w:val="0"/>
        <w:i/>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6">
    <w:nsid w:val="3E1B5B34"/>
    <w:multiLevelType w:val="hybridMultilevel"/>
    <w:tmpl w:val="BB5E9CB2"/>
    <w:lvl w:ilvl="0" w:tplc="D7C0940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FFA209B"/>
    <w:multiLevelType w:val="multilevel"/>
    <w:tmpl w:val="9BE67608"/>
    <w:lvl w:ilvl="0">
      <w:start w:val="1"/>
      <w:numFmt w:val="upperLetter"/>
      <w:pStyle w:val="Appendix"/>
      <w:lvlText w:val="Appendix %1 "/>
      <w:lvlJc w:val="left"/>
      <w:pPr>
        <w:tabs>
          <w:tab w:val="num" w:pos="2155"/>
        </w:tabs>
        <w:ind w:left="2155" w:hanging="2155"/>
      </w:pPr>
      <w:rPr>
        <w:rFonts w:hint="default"/>
      </w:rPr>
    </w:lvl>
    <w:lvl w:ilvl="1">
      <w:start w:val="1"/>
      <w:numFmt w:val="decimal"/>
      <w:pStyle w:val="AppendixSub"/>
      <w:lvlText w:val="%1.%2"/>
      <w:lvlJc w:val="left"/>
      <w:pPr>
        <w:tabs>
          <w:tab w:val="num" w:pos="567"/>
        </w:tabs>
        <w:ind w:left="567" w:hanging="567"/>
      </w:pPr>
      <w:rPr>
        <w:rFonts w:hint="default"/>
      </w:rPr>
    </w:lvl>
    <w:lvl w:ilvl="2">
      <w:start w:val="1"/>
      <w:numFmt w:val="decimal"/>
      <w:lvlText w:val="%1.%2.%3"/>
      <w:lvlJc w:val="left"/>
      <w:pPr>
        <w:tabs>
          <w:tab w:val="num" w:pos="1418"/>
        </w:tabs>
        <w:ind w:left="1418" w:hanging="851"/>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38">
    <w:nsid w:val="404D0005"/>
    <w:multiLevelType w:val="multilevel"/>
    <w:tmpl w:val="3C56263C"/>
    <w:lvl w:ilvl="0">
      <w:start w:val="1"/>
      <w:numFmt w:val="decimal"/>
      <w:lvlText w:val="Appendix %1 "/>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1701"/>
        </w:tabs>
        <w:ind w:left="1701" w:hanging="964"/>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39">
    <w:nsid w:val="406D56C7"/>
    <w:multiLevelType w:val="hybridMultilevel"/>
    <w:tmpl w:val="9588FC62"/>
    <w:lvl w:ilvl="0" w:tplc="14902AF6">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nsid w:val="42FE5960"/>
    <w:multiLevelType w:val="hybridMultilevel"/>
    <w:tmpl w:val="1DDCD5C0"/>
    <w:lvl w:ilvl="0" w:tplc="F00245AC">
      <w:start w:val="1"/>
      <w:numFmt w:val="decimal"/>
      <w:lvlText w:val="%1"/>
      <w:lvlJc w:val="left"/>
      <w:pPr>
        <w:ind w:left="720" w:hanging="360"/>
      </w:pPr>
      <w:rPr>
        <w:rFonts w:ascii="Arial" w:hAnsi="Arial" w:hint="default"/>
        <w:b/>
        <w:i w:val="0"/>
        <w:sz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nsid w:val="44A66064"/>
    <w:multiLevelType w:val="multilevel"/>
    <w:tmpl w:val="92347E3E"/>
    <w:lvl w:ilvl="0">
      <w:start w:val="1"/>
      <w:numFmt w:val="bullet"/>
      <w:pStyle w:val="TGbulletindent"/>
      <w:lvlText w:val=""/>
      <w:lvlJc w:val="left"/>
      <w:pPr>
        <w:tabs>
          <w:tab w:val="num" w:pos="360"/>
        </w:tabs>
        <w:ind w:left="360" w:hanging="360"/>
      </w:pPr>
      <w:rPr>
        <w:rFonts w:ascii="Symbol" w:hAnsi="Symbol" w:hint="default"/>
        <w:b w:val="0"/>
        <w:i w:val="0"/>
        <w:color w:val="auto"/>
      </w:rPr>
    </w:lvl>
    <w:lvl w:ilvl="1">
      <w:start w:val="1"/>
      <w:numFmt w:val="lowerLetter"/>
      <w:lvlText w:val="%2."/>
      <w:lvlJc w:val="left"/>
      <w:pPr>
        <w:tabs>
          <w:tab w:val="num" w:pos="794"/>
        </w:tabs>
        <w:ind w:left="792" w:hanging="435"/>
      </w:pPr>
      <w:rPr>
        <w:rFonts w:cs="Times New Roman" w:hint="default"/>
        <w:b w:val="0"/>
        <w:i w:val="0"/>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42">
    <w:nsid w:val="474025C3"/>
    <w:multiLevelType w:val="hybridMultilevel"/>
    <w:tmpl w:val="D7B4AA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nsid w:val="4A19579B"/>
    <w:multiLevelType w:val="multilevel"/>
    <w:tmpl w:val="F488A7B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1701"/>
        </w:tabs>
        <w:ind w:left="1701" w:hanging="964"/>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44">
    <w:nsid w:val="4EC81851"/>
    <w:multiLevelType w:val="hybridMultilevel"/>
    <w:tmpl w:val="D5302B4A"/>
    <w:lvl w:ilvl="0" w:tplc="3092ACAA">
      <w:start w:val="1"/>
      <w:numFmt w:val="bullet"/>
      <w:pStyle w:val="Bullet1"/>
      <w:lvlText w:val=""/>
      <w:lvlJc w:val="left"/>
      <w:pPr>
        <w:tabs>
          <w:tab w:val="num" w:pos="680"/>
        </w:tabs>
        <w:ind w:left="680" w:hanging="397"/>
      </w:pPr>
      <w:rPr>
        <w:rFonts w:ascii="Symbol" w:hAnsi="Symbol" w:hint="default"/>
      </w:rPr>
    </w:lvl>
    <w:lvl w:ilvl="1" w:tplc="08090003">
      <w:start w:val="1"/>
      <w:numFmt w:val="bullet"/>
      <w:lvlText w:val="o"/>
      <w:lvlJc w:val="left"/>
      <w:pPr>
        <w:tabs>
          <w:tab w:val="num" w:pos="986"/>
        </w:tabs>
        <w:ind w:left="986" w:hanging="360"/>
      </w:pPr>
      <w:rPr>
        <w:rFonts w:ascii="Courier New" w:hAnsi="Courier New" w:cs="Courier New" w:hint="default"/>
      </w:rPr>
    </w:lvl>
    <w:lvl w:ilvl="2" w:tplc="08090005" w:tentative="1">
      <w:start w:val="1"/>
      <w:numFmt w:val="bullet"/>
      <w:lvlText w:val=""/>
      <w:lvlJc w:val="left"/>
      <w:pPr>
        <w:tabs>
          <w:tab w:val="num" w:pos="1706"/>
        </w:tabs>
        <w:ind w:left="1706" w:hanging="360"/>
      </w:pPr>
      <w:rPr>
        <w:rFonts w:ascii="Wingdings" w:hAnsi="Wingdings" w:hint="default"/>
      </w:rPr>
    </w:lvl>
    <w:lvl w:ilvl="3" w:tplc="08090001" w:tentative="1">
      <w:start w:val="1"/>
      <w:numFmt w:val="bullet"/>
      <w:lvlText w:val=""/>
      <w:lvlJc w:val="left"/>
      <w:pPr>
        <w:tabs>
          <w:tab w:val="num" w:pos="2426"/>
        </w:tabs>
        <w:ind w:left="2426" w:hanging="360"/>
      </w:pPr>
      <w:rPr>
        <w:rFonts w:ascii="Symbol" w:hAnsi="Symbol" w:hint="default"/>
      </w:rPr>
    </w:lvl>
    <w:lvl w:ilvl="4" w:tplc="08090003" w:tentative="1">
      <w:start w:val="1"/>
      <w:numFmt w:val="bullet"/>
      <w:lvlText w:val="o"/>
      <w:lvlJc w:val="left"/>
      <w:pPr>
        <w:tabs>
          <w:tab w:val="num" w:pos="3146"/>
        </w:tabs>
        <w:ind w:left="3146" w:hanging="360"/>
      </w:pPr>
      <w:rPr>
        <w:rFonts w:ascii="Courier New" w:hAnsi="Courier New" w:cs="Courier New" w:hint="default"/>
      </w:rPr>
    </w:lvl>
    <w:lvl w:ilvl="5" w:tplc="08090005" w:tentative="1">
      <w:start w:val="1"/>
      <w:numFmt w:val="bullet"/>
      <w:lvlText w:val=""/>
      <w:lvlJc w:val="left"/>
      <w:pPr>
        <w:tabs>
          <w:tab w:val="num" w:pos="3866"/>
        </w:tabs>
        <w:ind w:left="3866" w:hanging="360"/>
      </w:pPr>
      <w:rPr>
        <w:rFonts w:ascii="Wingdings" w:hAnsi="Wingdings" w:hint="default"/>
      </w:rPr>
    </w:lvl>
    <w:lvl w:ilvl="6" w:tplc="08090001">
      <w:start w:val="1"/>
      <w:numFmt w:val="bullet"/>
      <w:lvlText w:val=""/>
      <w:lvlJc w:val="left"/>
      <w:pPr>
        <w:tabs>
          <w:tab w:val="num" w:pos="4586"/>
        </w:tabs>
        <w:ind w:left="4586" w:hanging="360"/>
      </w:pPr>
      <w:rPr>
        <w:rFonts w:ascii="Symbol" w:hAnsi="Symbol" w:hint="default"/>
      </w:rPr>
    </w:lvl>
    <w:lvl w:ilvl="7" w:tplc="08090003" w:tentative="1">
      <w:start w:val="1"/>
      <w:numFmt w:val="bullet"/>
      <w:lvlText w:val="o"/>
      <w:lvlJc w:val="left"/>
      <w:pPr>
        <w:tabs>
          <w:tab w:val="num" w:pos="5306"/>
        </w:tabs>
        <w:ind w:left="5306" w:hanging="360"/>
      </w:pPr>
      <w:rPr>
        <w:rFonts w:ascii="Courier New" w:hAnsi="Courier New" w:cs="Courier New" w:hint="default"/>
      </w:rPr>
    </w:lvl>
    <w:lvl w:ilvl="8" w:tplc="08090005" w:tentative="1">
      <w:start w:val="1"/>
      <w:numFmt w:val="bullet"/>
      <w:lvlText w:val=""/>
      <w:lvlJc w:val="left"/>
      <w:pPr>
        <w:tabs>
          <w:tab w:val="num" w:pos="6026"/>
        </w:tabs>
        <w:ind w:left="6026" w:hanging="360"/>
      </w:pPr>
      <w:rPr>
        <w:rFonts w:ascii="Wingdings" w:hAnsi="Wingdings" w:hint="default"/>
      </w:rPr>
    </w:lvl>
  </w:abstractNum>
  <w:abstractNum w:abstractNumId="45">
    <w:nsid w:val="4ECE6CA8"/>
    <w:multiLevelType w:val="multilevel"/>
    <w:tmpl w:val="347CC3E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6">
    <w:nsid w:val="51724213"/>
    <w:multiLevelType w:val="hybridMultilevel"/>
    <w:tmpl w:val="094020E8"/>
    <w:lvl w:ilvl="0" w:tplc="12885758">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Time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Times"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Times"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47">
    <w:nsid w:val="52B947BA"/>
    <w:multiLevelType w:val="hybridMultilevel"/>
    <w:tmpl w:val="02D4EF24"/>
    <w:lvl w:ilvl="0" w:tplc="F00245AC">
      <w:start w:val="1"/>
      <w:numFmt w:val="decimal"/>
      <w:lvlText w:val="%1"/>
      <w:lvlJc w:val="left"/>
      <w:pPr>
        <w:ind w:left="720" w:hanging="360"/>
      </w:pPr>
      <w:rPr>
        <w:rFonts w:ascii="Arial" w:hAnsi="Arial" w:hint="default"/>
        <w:b/>
        <w:i w:val="0"/>
        <w:sz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nsid w:val="56DB4924"/>
    <w:multiLevelType w:val="hybridMultilevel"/>
    <w:tmpl w:val="4108493A"/>
    <w:lvl w:ilvl="0" w:tplc="F00245AC">
      <w:start w:val="1"/>
      <w:numFmt w:val="decimal"/>
      <w:lvlText w:val="%1"/>
      <w:lvlJc w:val="left"/>
      <w:pPr>
        <w:ind w:left="720" w:hanging="360"/>
      </w:pPr>
      <w:rPr>
        <w:rFonts w:ascii="Arial" w:hAnsi="Arial" w:hint="default"/>
        <w:b/>
        <w:i w:val="0"/>
        <w:sz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nsid w:val="579A0128"/>
    <w:multiLevelType w:val="hybridMultilevel"/>
    <w:tmpl w:val="02FE2432"/>
    <w:lvl w:ilvl="0" w:tplc="F00245AC">
      <w:start w:val="1"/>
      <w:numFmt w:val="decimal"/>
      <w:lvlText w:val="%1"/>
      <w:lvlJc w:val="left"/>
      <w:pPr>
        <w:ind w:left="720" w:hanging="360"/>
      </w:pPr>
      <w:rPr>
        <w:rFonts w:ascii="Arial" w:hAnsi="Arial" w:hint="default"/>
        <w:b/>
        <w:i w:val="0"/>
        <w:sz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nsid w:val="5B895260"/>
    <w:multiLevelType w:val="hybridMultilevel"/>
    <w:tmpl w:val="D8A25732"/>
    <w:lvl w:ilvl="0" w:tplc="F00245AC">
      <w:start w:val="1"/>
      <w:numFmt w:val="decimal"/>
      <w:lvlText w:val="%1"/>
      <w:lvlJc w:val="left"/>
      <w:pPr>
        <w:ind w:left="720" w:hanging="360"/>
      </w:pPr>
      <w:rPr>
        <w:rFonts w:ascii="Arial" w:hAnsi="Arial" w:hint="default"/>
        <w:b/>
        <w:i w:val="0"/>
        <w:sz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nsid w:val="5E4A0614"/>
    <w:multiLevelType w:val="singleLevel"/>
    <w:tmpl w:val="E08634DA"/>
    <w:lvl w:ilvl="0">
      <w:start w:val="1"/>
      <w:numFmt w:val="bullet"/>
      <w:lvlText w:val=""/>
      <w:lvlJc w:val="left"/>
      <w:pPr>
        <w:tabs>
          <w:tab w:val="num" w:pos="360"/>
        </w:tabs>
        <w:ind w:left="360" w:hanging="360"/>
      </w:pPr>
      <w:rPr>
        <w:rFonts w:ascii="Symbol" w:hAnsi="Symbol" w:hint="default"/>
      </w:rPr>
    </w:lvl>
  </w:abstractNum>
  <w:abstractNum w:abstractNumId="52">
    <w:nsid w:val="61391778"/>
    <w:multiLevelType w:val="hybridMultilevel"/>
    <w:tmpl w:val="216A3C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63463643"/>
    <w:multiLevelType w:val="multilevel"/>
    <w:tmpl w:val="239A370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val="0"/>
        <w:i w:val="0"/>
        <w:sz w:val="28"/>
      </w:rPr>
    </w:lvl>
    <w:lvl w:ilvl="2">
      <w:start w:val="1"/>
      <w:numFmt w:val="decimal"/>
      <w:lvlText w:val="%1.%2.%3"/>
      <w:lvlJc w:val="left"/>
      <w:pPr>
        <w:tabs>
          <w:tab w:val="num" w:pos="1701"/>
        </w:tabs>
        <w:ind w:left="1701" w:hanging="964"/>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54">
    <w:nsid w:val="6619134A"/>
    <w:multiLevelType w:val="hybridMultilevel"/>
    <w:tmpl w:val="701C71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nsid w:val="665C3710"/>
    <w:multiLevelType w:val="multilevel"/>
    <w:tmpl w:val="24CCE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6">
    <w:nsid w:val="6A3B1DFA"/>
    <w:multiLevelType w:val="hybridMultilevel"/>
    <w:tmpl w:val="8BD4D2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6A76724C"/>
    <w:multiLevelType w:val="hybridMultilevel"/>
    <w:tmpl w:val="5C14FE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nsid w:val="6BF31065"/>
    <w:multiLevelType w:val="hybridMultilevel"/>
    <w:tmpl w:val="36F25E5A"/>
    <w:lvl w:ilvl="0" w:tplc="F00245AC">
      <w:start w:val="1"/>
      <w:numFmt w:val="decimal"/>
      <w:lvlText w:val="%1"/>
      <w:lvlJc w:val="left"/>
      <w:pPr>
        <w:ind w:left="720" w:hanging="360"/>
      </w:pPr>
      <w:rPr>
        <w:rFonts w:ascii="Arial" w:hAnsi="Arial" w:hint="default"/>
        <w:b/>
        <w:i w:val="0"/>
        <w:sz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nsid w:val="6DDD761B"/>
    <w:multiLevelType w:val="multilevel"/>
    <w:tmpl w:val="2BD28974"/>
    <w:lvl w:ilvl="0">
      <w:start w:val="1"/>
      <w:numFmt w:val="decimal"/>
      <w:pStyle w:val="Heading1"/>
      <w:lvlText w:val="%1"/>
      <w:lvlJc w:val="left"/>
      <w:pPr>
        <w:tabs>
          <w:tab w:val="num" w:pos="4253"/>
        </w:tabs>
        <w:ind w:left="4253" w:hanging="567"/>
      </w:pPr>
      <w:rPr>
        <w:rFonts w:hint="default"/>
      </w:rPr>
    </w:lvl>
    <w:lvl w:ilvl="1">
      <w:start w:val="1"/>
      <w:numFmt w:val="decimal"/>
      <w:pStyle w:val="Heading2"/>
      <w:lvlText w:val="%1.%2"/>
      <w:lvlJc w:val="left"/>
      <w:pPr>
        <w:tabs>
          <w:tab w:val="num" w:pos="567"/>
        </w:tabs>
        <w:ind w:left="567" w:hanging="567"/>
      </w:pPr>
      <w:rPr>
        <w:rFonts w:hint="default"/>
        <w:b w:val="0"/>
        <w:i w:val="0"/>
        <w:sz w:val="28"/>
      </w:rPr>
    </w:lvl>
    <w:lvl w:ilvl="2">
      <w:start w:val="1"/>
      <w:numFmt w:val="decimal"/>
      <w:lvlRestart w:val="1"/>
      <w:pStyle w:val="Heading2a"/>
      <w:lvlText w:val="%1.%3"/>
      <w:lvlJc w:val="left"/>
      <w:pPr>
        <w:tabs>
          <w:tab w:val="num" w:pos="567"/>
        </w:tabs>
        <w:ind w:left="567" w:hanging="567"/>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60">
    <w:nsid w:val="6F1E13E6"/>
    <w:multiLevelType w:val="hybridMultilevel"/>
    <w:tmpl w:val="16BA29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nsid w:val="73D6264D"/>
    <w:multiLevelType w:val="multilevel"/>
    <w:tmpl w:val="8C5C0C4E"/>
    <w:lvl w:ilvl="0">
      <w:start w:val="1"/>
      <w:numFmt w:val="bullet"/>
      <w:lvlText w:val=""/>
      <w:lvlJc w:val="left"/>
      <w:pPr>
        <w:ind w:left="720" w:hanging="360"/>
      </w:pPr>
      <w:rPr>
        <w:rFonts w:ascii="Symbol" w:hAnsi="Symbol" w:hint="default"/>
        <w:color w:val="577CA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2">
    <w:nsid w:val="756E4190"/>
    <w:multiLevelType w:val="multilevel"/>
    <w:tmpl w:val="B43AB6BA"/>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785"/>
        </w:tabs>
        <w:ind w:left="709" w:hanging="284"/>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nsid w:val="7BCD4C16"/>
    <w:multiLevelType w:val="multilevel"/>
    <w:tmpl w:val="9BE67302"/>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4">
    <w:nsid w:val="7F4B42E1"/>
    <w:multiLevelType w:val="hybridMultilevel"/>
    <w:tmpl w:val="84C03B24"/>
    <w:lvl w:ilvl="0" w:tplc="5546C4F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F676FB7"/>
    <w:multiLevelType w:val="hybridMultilevel"/>
    <w:tmpl w:val="F8F21302"/>
    <w:lvl w:ilvl="0" w:tplc="C8424A40">
      <w:start w:val="1"/>
      <w:numFmt w:val="decimal"/>
      <w:lvlText w:val="%1"/>
      <w:lvlJc w:val="left"/>
      <w:pPr>
        <w:ind w:left="720" w:hanging="360"/>
      </w:pPr>
      <w:rPr>
        <w:rFonts w:ascii="Arial" w:hAnsi="Arial" w:hint="default"/>
        <w:b/>
        <w:i w:val="0"/>
        <w:sz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51"/>
  </w:num>
  <w:num w:numId="2">
    <w:abstractNumId w:val="9"/>
  </w:num>
  <w:num w:numId="3">
    <w:abstractNumId w:val="29"/>
  </w:num>
  <w:num w:numId="4">
    <w:abstractNumId w:val="13"/>
  </w:num>
  <w:num w:numId="5">
    <w:abstractNumId w:val="62"/>
  </w:num>
  <w:num w:numId="6">
    <w:abstractNumId w:val="35"/>
  </w:num>
  <w:num w:numId="7">
    <w:abstractNumId w:val="45"/>
  </w:num>
  <w:num w:numId="8">
    <w:abstractNumId w:val="63"/>
  </w:num>
  <w:num w:numId="9">
    <w:abstractNumId w:val="11"/>
  </w:num>
  <w:num w:numId="10">
    <w:abstractNumId w:val="46"/>
  </w:num>
  <w:num w:numId="11">
    <w:abstractNumId w:val="32"/>
  </w:num>
  <w:num w:numId="12">
    <w:abstractNumId w:val="19"/>
  </w:num>
  <w:num w:numId="13">
    <w:abstractNumId w:val="34"/>
  </w:num>
  <w:num w:numId="14">
    <w:abstractNumId w:val="12"/>
  </w:num>
  <w:num w:numId="15">
    <w:abstractNumId w:val="33"/>
  </w:num>
  <w:num w:numId="16">
    <w:abstractNumId w:val="16"/>
  </w:num>
  <w:num w:numId="17">
    <w:abstractNumId w:val="18"/>
  </w:num>
  <w:num w:numId="18">
    <w:abstractNumId w:val="64"/>
  </w:num>
  <w:num w:numId="19">
    <w:abstractNumId w:val="36"/>
  </w:num>
  <w:num w:numId="20">
    <w:abstractNumId w:val="61"/>
  </w:num>
  <w:num w:numId="21">
    <w:abstractNumId w:val="55"/>
  </w:num>
  <w:num w:numId="22">
    <w:abstractNumId w:val="64"/>
    <w:lvlOverride w:ilvl="0">
      <w:startOverride w:val="1"/>
    </w:lvlOverride>
  </w:num>
  <w:num w:numId="23">
    <w:abstractNumId w:val="24"/>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59"/>
  </w:num>
  <w:num w:numId="34">
    <w:abstractNumId w:val="39"/>
  </w:num>
  <w:num w:numId="35">
    <w:abstractNumId w:val="43"/>
  </w:num>
  <w:num w:numId="36">
    <w:abstractNumId w:val="30"/>
  </w:num>
  <w:num w:numId="37">
    <w:abstractNumId w:val="44"/>
  </w:num>
  <w:num w:numId="38">
    <w:abstractNumId w:val="21"/>
  </w:num>
  <w:num w:numId="39">
    <w:abstractNumId w:val="37"/>
  </w:num>
  <w:num w:numId="40">
    <w:abstractNumId w:val="38"/>
  </w:num>
  <w:num w:numId="41">
    <w:abstractNumId w:val="22"/>
  </w:num>
  <w:num w:numId="42">
    <w:abstractNumId w:val="53"/>
  </w:num>
  <w:num w:numId="43">
    <w:abstractNumId w:val="37"/>
  </w:num>
  <w:num w:numId="44">
    <w:abstractNumId w:val="10"/>
  </w:num>
  <w:num w:numId="45">
    <w:abstractNumId w:val="31"/>
  </w:num>
  <w:num w:numId="46">
    <w:abstractNumId w:val="41"/>
  </w:num>
  <w:num w:numId="47">
    <w:abstractNumId w:val="56"/>
  </w:num>
  <w:num w:numId="48">
    <w:abstractNumId w:val="44"/>
  </w:num>
  <w:num w:numId="49">
    <w:abstractNumId w:val="15"/>
  </w:num>
  <w:num w:numId="50">
    <w:abstractNumId w:val="54"/>
  </w:num>
  <w:num w:numId="51">
    <w:abstractNumId w:val="52"/>
  </w:num>
  <w:num w:numId="52">
    <w:abstractNumId w:val="60"/>
  </w:num>
  <w:num w:numId="53">
    <w:abstractNumId w:val="14"/>
  </w:num>
  <w:num w:numId="54">
    <w:abstractNumId w:val="50"/>
  </w:num>
  <w:num w:numId="55">
    <w:abstractNumId w:val="48"/>
  </w:num>
  <w:num w:numId="56">
    <w:abstractNumId w:val="40"/>
  </w:num>
  <w:num w:numId="57">
    <w:abstractNumId w:val="27"/>
  </w:num>
  <w:num w:numId="58">
    <w:abstractNumId w:val="65"/>
  </w:num>
  <w:num w:numId="59">
    <w:abstractNumId w:val="17"/>
  </w:num>
  <w:num w:numId="60">
    <w:abstractNumId w:val="49"/>
  </w:num>
  <w:num w:numId="61">
    <w:abstractNumId w:val="20"/>
  </w:num>
  <w:num w:numId="62">
    <w:abstractNumId w:val="58"/>
  </w:num>
  <w:num w:numId="63">
    <w:abstractNumId w:val="25"/>
  </w:num>
  <w:num w:numId="64">
    <w:abstractNumId w:val="57"/>
  </w:num>
  <w:num w:numId="65">
    <w:abstractNumId w:val="23"/>
  </w:num>
  <w:num w:numId="66">
    <w:abstractNumId w:val="26"/>
  </w:num>
  <w:num w:numId="67">
    <w:abstractNumId w:val="47"/>
  </w:num>
  <w:num w:numId="68">
    <w:abstractNumId w:val="42"/>
  </w:num>
  <w:num w:numId="69">
    <w:abstractNumId w:val="28"/>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bordersDoNotSurroundHeader/>
  <w:stylePaneFormatFilter w:val="3001"/>
  <w:defaultTabStop w:val="567"/>
  <w:evenAndOddHeaders/>
  <w:drawingGridHorizontalSpacing w:val="11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rsids>
    <w:rsidRoot w:val="00284BE1"/>
    <w:rsid w:val="00011D25"/>
    <w:rsid w:val="000236E9"/>
    <w:rsid w:val="00024EEB"/>
    <w:rsid w:val="00026F11"/>
    <w:rsid w:val="00030351"/>
    <w:rsid w:val="00031DC7"/>
    <w:rsid w:val="000356E9"/>
    <w:rsid w:val="000360D5"/>
    <w:rsid w:val="00041834"/>
    <w:rsid w:val="00043666"/>
    <w:rsid w:val="000456C5"/>
    <w:rsid w:val="00053781"/>
    <w:rsid w:val="000547D0"/>
    <w:rsid w:val="0005554E"/>
    <w:rsid w:val="000641BE"/>
    <w:rsid w:val="00065B09"/>
    <w:rsid w:val="00065FAD"/>
    <w:rsid w:val="000678A6"/>
    <w:rsid w:val="00070C0C"/>
    <w:rsid w:val="00071877"/>
    <w:rsid w:val="00072166"/>
    <w:rsid w:val="0008265F"/>
    <w:rsid w:val="0008344B"/>
    <w:rsid w:val="000867AC"/>
    <w:rsid w:val="00086B44"/>
    <w:rsid w:val="00087649"/>
    <w:rsid w:val="000876F3"/>
    <w:rsid w:val="000902F4"/>
    <w:rsid w:val="00095610"/>
    <w:rsid w:val="000A5A67"/>
    <w:rsid w:val="000B1BC0"/>
    <w:rsid w:val="000C3909"/>
    <w:rsid w:val="000C3FB9"/>
    <w:rsid w:val="000C4F54"/>
    <w:rsid w:val="000D018D"/>
    <w:rsid w:val="000D04E2"/>
    <w:rsid w:val="000D311B"/>
    <w:rsid w:val="000F339B"/>
    <w:rsid w:val="000F354C"/>
    <w:rsid w:val="00100BEB"/>
    <w:rsid w:val="0010237F"/>
    <w:rsid w:val="001038A7"/>
    <w:rsid w:val="00104B5D"/>
    <w:rsid w:val="0010568C"/>
    <w:rsid w:val="00111CE2"/>
    <w:rsid w:val="00115A67"/>
    <w:rsid w:val="00122D55"/>
    <w:rsid w:val="00127715"/>
    <w:rsid w:val="001279CC"/>
    <w:rsid w:val="0013240B"/>
    <w:rsid w:val="00133273"/>
    <w:rsid w:val="0013727D"/>
    <w:rsid w:val="00137F9B"/>
    <w:rsid w:val="0014456A"/>
    <w:rsid w:val="00145B2B"/>
    <w:rsid w:val="001502AD"/>
    <w:rsid w:val="00150A89"/>
    <w:rsid w:val="001526A1"/>
    <w:rsid w:val="00152E32"/>
    <w:rsid w:val="00153EE6"/>
    <w:rsid w:val="00155AD0"/>
    <w:rsid w:val="001609E9"/>
    <w:rsid w:val="00161638"/>
    <w:rsid w:val="00167580"/>
    <w:rsid w:val="00177D52"/>
    <w:rsid w:val="001912D3"/>
    <w:rsid w:val="0019440C"/>
    <w:rsid w:val="00195D3A"/>
    <w:rsid w:val="001975BA"/>
    <w:rsid w:val="001A38F2"/>
    <w:rsid w:val="001A3ADC"/>
    <w:rsid w:val="001B39B7"/>
    <w:rsid w:val="001B68F2"/>
    <w:rsid w:val="001C29F1"/>
    <w:rsid w:val="001C42FF"/>
    <w:rsid w:val="001C621A"/>
    <w:rsid w:val="001C6542"/>
    <w:rsid w:val="001D15E5"/>
    <w:rsid w:val="001E6175"/>
    <w:rsid w:val="001E7C55"/>
    <w:rsid w:val="001F775F"/>
    <w:rsid w:val="001F7F9F"/>
    <w:rsid w:val="00200162"/>
    <w:rsid w:val="002017C1"/>
    <w:rsid w:val="002071E9"/>
    <w:rsid w:val="00207474"/>
    <w:rsid w:val="00207F77"/>
    <w:rsid w:val="00216D93"/>
    <w:rsid w:val="00217633"/>
    <w:rsid w:val="0022055E"/>
    <w:rsid w:val="00220800"/>
    <w:rsid w:val="00222F07"/>
    <w:rsid w:val="0023089A"/>
    <w:rsid w:val="002329B1"/>
    <w:rsid w:val="002345D9"/>
    <w:rsid w:val="00237332"/>
    <w:rsid w:val="00246605"/>
    <w:rsid w:val="00250477"/>
    <w:rsid w:val="002529E6"/>
    <w:rsid w:val="0025435B"/>
    <w:rsid w:val="00254B97"/>
    <w:rsid w:val="00257626"/>
    <w:rsid w:val="002628A3"/>
    <w:rsid w:val="00270552"/>
    <w:rsid w:val="0027120B"/>
    <w:rsid w:val="00284BE1"/>
    <w:rsid w:val="00287F55"/>
    <w:rsid w:val="00287F99"/>
    <w:rsid w:val="0029033F"/>
    <w:rsid w:val="00291118"/>
    <w:rsid w:val="002944A8"/>
    <w:rsid w:val="002977C0"/>
    <w:rsid w:val="002A38F1"/>
    <w:rsid w:val="002B173B"/>
    <w:rsid w:val="002B24FE"/>
    <w:rsid w:val="002C058A"/>
    <w:rsid w:val="002C52ED"/>
    <w:rsid w:val="002D21E0"/>
    <w:rsid w:val="002E2664"/>
    <w:rsid w:val="002E272D"/>
    <w:rsid w:val="002E760C"/>
    <w:rsid w:val="002F1DA5"/>
    <w:rsid w:val="002F7F68"/>
    <w:rsid w:val="00301D0D"/>
    <w:rsid w:val="00302220"/>
    <w:rsid w:val="00302357"/>
    <w:rsid w:val="0030300D"/>
    <w:rsid w:val="003033D6"/>
    <w:rsid w:val="0030574F"/>
    <w:rsid w:val="00306C9D"/>
    <w:rsid w:val="00312A3A"/>
    <w:rsid w:val="00315AFE"/>
    <w:rsid w:val="00316C45"/>
    <w:rsid w:val="003179AA"/>
    <w:rsid w:val="00325C27"/>
    <w:rsid w:val="00326930"/>
    <w:rsid w:val="003300CE"/>
    <w:rsid w:val="00332B95"/>
    <w:rsid w:val="00333713"/>
    <w:rsid w:val="00337CE9"/>
    <w:rsid w:val="0034641C"/>
    <w:rsid w:val="003518F8"/>
    <w:rsid w:val="00353A0F"/>
    <w:rsid w:val="003557CB"/>
    <w:rsid w:val="00356853"/>
    <w:rsid w:val="00361BB3"/>
    <w:rsid w:val="0036567C"/>
    <w:rsid w:val="00367690"/>
    <w:rsid w:val="00367F16"/>
    <w:rsid w:val="00377A42"/>
    <w:rsid w:val="00382758"/>
    <w:rsid w:val="00384499"/>
    <w:rsid w:val="00384B26"/>
    <w:rsid w:val="00390996"/>
    <w:rsid w:val="003925D9"/>
    <w:rsid w:val="0039799F"/>
    <w:rsid w:val="003A75EB"/>
    <w:rsid w:val="003B0320"/>
    <w:rsid w:val="003C221C"/>
    <w:rsid w:val="003C6045"/>
    <w:rsid w:val="003C66D5"/>
    <w:rsid w:val="003D0ACD"/>
    <w:rsid w:val="003D341C"/>
    <w:rsid w:val="003D4A90"/>
    <w:rsid w:val="003D74CD"/>
    <w:rsid w:val="003E155E"/>
    <w:rsid w:val="003E5754"/>
    <w:rsid w:val="003F09A7"/>
    <w:rsid w:val="003F0B99"/>
    <w:rsid w:val="003F53AE"/>
    <w:rsid w:val="003F68BF"/>
    <w:rsid w:val="003F7A18"/>
    <w:rsid w:val="0040002F"/>
    <w:rsid w:val="004007FA"/>
    <w:rsid w:val="00411B40"/>
    <w:rsid w:val="00413CF9"/>
    <w:rsid w:val="00422014"/>
    <w:rsid w:val="004229A7"/>
    <w:rsid w:val="004230DF"/>
    <w:rsid w:val="00423EC0"/>
    <w:rsid w:val="00436B0B"/>
    <w:rsid w:val="00437DD8"/>
    <w:rsid w:val="0044013D"/>
    <w:rsid w:val="00445209"/>
    <w:rsid w:val="004453DF"/>
    <w:rsid w:val="00452836"/>
    <w:rsid w:val="00475307"/>
    <w:rsid w:val="00476572"/>
    <w:rsid w:val="00480F83"/>
    <w:rsid w:val="00484EF1"/>
    <w:rsid w:val="00486DD1"/>
    <w:rsid w:val="00491212"/>
    <w:rsid w:val="00497D50"/>
    <w:rsid w:val="004A2E4F"/>
    <w:rsid w:val="004A6DB3"/>
    <w:rsid w:val="004B0055"/>
    <w:rsid w:val="004B062C"/>
    <w:rsid w:val="004B1A2A"/>
    <w:rsid w:val="004B3F0A"/>
    <w:rsid w:val="004C1E7B"/>
    <w:rsid w:val="004C515F"/>
    <w:rsid w:val="004D1E17"/>
    <w:rsid w:val="004D20DA"/>
    <w:rsid w:val="004D2D04"/>
    <w:rsid w:val="004D3FFE"/>
    <w:rsid w:val="004D5511"/>
    <w:rsid w:val="004D596C"/>
    <w:rsid w:val="004E0362"/>
    <w:rsid w:val="004F5228"/>
    <w:rsid w:val="004F525C"/>
    <w:rsid w:val="00505476"/>
    <w:rsid w:val="00506234"/>
    <w:rsid w:val="00511C3B"/>
    <w:rsid w:val="00515285"/>
    <w:rsid w:val="00517344"/>
    <w:rsid w:val="00517981"/>
    <w:rsid w:val="005211FD"/>
    <w:rsid w:val="00532571"/>
    <w:rsid w:val="00532592"/>
    <w:rsid w:val="00532A94"/>
    <w:rsid w:val="005331DB"/>
    <w:rsid w:val="005350A1"/>
    <w:rsid w:val="0054501C"/>
    <w:rsid w:val="005461A9"/>
    <w:rsid w:val="00550230"/>
    <w:rsid w:val="00553620"/>
    <w:rsid w:val="00555B89"/>
    <w:rsid w:val="00555F62"/>
    <w:rsid w:val="005572C5"/>
    <w:rsid w:val="00557FE5"/>
    <w:rsid w:val="005610C8"/>
    <w:rsid w:val="005649CE"/>
    <w:rsid w:val="00565AAB"/>
    <w:rsid w:val="00570918"/>
    <w:rsid w:val="005824C8"/>
    <w:rsid w:val="005839EA"/>
    <w:rsid w:val="00585E1C"/>
    <w:rsid w:val="00590117"/>
    <w:rsid w:val="00592F68"/>
    <w:rsid w:val="00596B01"/>
    <w:rsid w:val="005A22AE"/>
    <w:rsid w:val="005A4287"/>
    <w:rsid w:val="005A56A1"/>
    <w:rsid w:val="005A5E81"/>
    <w:rsid w:val="005A6FFA"/>
    <w:rsid w:val="005B0348"/>
    <w:rsid w:val="005B0457"/>
    <w:rsid w:val="005B13D2"/>
    <w:rsid w:val="005B6138"/>
    <w:rsid w:val="005B6C4B"/>
    <w:rsid w:val="005B78A4"/>
    <w:rsid w:val="005B7EA6"/>
    <w:rsid w:val="005C45E6"/>
    <w:rsid w:val="005C5DFC"/>
    <w:rsid w:val="005D68F7"/>
    <w:rsid w:val="005F2A77"/>
    <w:rsid w:val="005F2E37"/>
    <w:rsid w:val="005F7F75"/>
    <w:rsid w:val="00603742"/>
    <w:rsid w:val="00607EB7"/>
    <w:rsid w:val="00610017"/>
    <w:rsid w:val="00614A9D"/>
    <w:rsid w:val="0061590D"/>
    <w:rsid w:val="00617A91"/>
    <w:rsid w:val="00622602"/>
    <w:rsid w:val="006255C2"/>
    <w:rsid w:val="00636429"/>
    <w:rsid w:val="00636BF7"/>
    <w:rsid w:val="006377F6"/>
    <w:rsid w:val="00643CB3"/>
    <w:rsid w:val="00652A26"/>
    <w:rsid w:val="00653F9F"/>
    <w:rsid w:val="006611AE"/>
    <w:rsid w:val="00665610"/>
    <w:rsid w:val="00665898"/>
    <w:rsid w:val="00666FF2"/>
    <w:rsid w:val="00667977"/>
    <w:rsid w:val="00667E60"/>
    <w:rsid w:val="00671A37"/>
    <w:rsid w:val="006736E4"/>
    <w:rsid w:val="00681CFC"/>
    <w:rsid w:val="00682791"/>
    <w:rsid w:val="00682F7D"/>
    <w:rsid w:val="00683432"/>
    <w:rsid w:val="00693370"/>
    <w:rsid w:val="0069594B"/>
    <w:rsid w:val="006A0089"/>
    <w:rsid w:val="006A0DF5"/>
    <w:rsid w:val="006A272C"/>
    <w:rsid w:val="006A76BC"/>
    <w:rsid w:val="006B139F"/>
    <w:rsid w:val="006B2DB1"/>
    <w:rsid w:val="006B50E8"/>
    <w:rsid w:val="006B595C"/>
    <w:rsid w:val="006C3E92"/>
    <w:rsid w:val="006D268A"/>
    <w:rsid w:val="006D6B24"/>
    <w:rsid w:val="006D7677"/>
    <w:rsid w:val="006E019D"/>
    <w:rsid w:val="006E4979"/>
    <w:rsid w:val="006E52B9"/>
    <w:rsid w:val="006E7C8E"/>
    <w:rsid w:val="006F3F16"/>
    <w:rsid w:val="006F438A"/>
    <w:rsid w:val="007005CB"/>
    <w:rsid w:val="00700D3C"/>
    <w:rsid w:val="00703330"/>
    <w:rsid w:val="0070533B"/>
    <w:rsid w:val="00706D58"/>
    <w:rsid w:val="007138E1"/>
    <w:rsid w:val="00716F84"/>
    <w:rsid w:val="00721E8C"/>
    <w:rsid w:val="007233FC"/>
    <w:rsid w:val="007315C7"/>
    <w:rsid w:val="00733A0F"/>
    <w:rsid w:val="00736B67"/>
    <w:rsid w:val="00737B46"/>
    <w:rsid w:val="00741F3E"/>
    <w:rsid w:val="0074635C"/>
    <w:rsid w:val="00750737"/>
    <w:rsid w:val="00760452"/>
    <w:rsid w:val="00763393"/>
    <w:rsid w:val="00766002"/>
    <w:rsid w:val="00767E52"/>
    <w:rsid w:val="0077410A"/>
    <w:rsid w:val="007743F4"/>
    <w:rsid w:val="00774679"/>
    <w:rsid w:val="00777FD5"/>
    <w:rsid w:val="007814F4"/>
    <w:rsid w:val="00782818"/>
    <w:rsid w:val="0078562F"/>
    <w:rsid w:val="007A034C"/>
    <w:rsid w:val="007A2F03"/>
    <w:rsid w:val="007A3B11"/>
    <w:rsid w:val="007A469F"/>
    <w:rsid w:val="007A6592"/>
    <w:rsid w:val="007A7D38"/>
    <w:rsid w:val="007B5983"/>
    <w:rsid w:val="007B699A"/>
    <w:rsid w:val="007B6AEE"/>
    <w:rsid w:val="007B6F0D"/>
    <w:rsid w:val="007C5376"/>
    <w:rsid w:val="007C537A"/>
    <w:rsid w:val="007C7109"/>
    <w:rsid w:val="007C760C"/>
    <w:rsid w:val="007D42BC"/>
    <w:rsid w:val="007D4BB2"/>
    <w:rsid w:val="007E3518"/>
    <w:rsid w:val="007E3A88"/>
    <w:rsid w:val="007E5C90"/>
    <w:rsid w:val="007F3E1E"/>
    <w:rsid w:val="007F40FA"/>
    <w:rsid w:val="00801283"/>
    <w:rsid w:val="00802375"/>
    <w:rsid w:val="00802631"/>
    <w:rsid w:val="008116CF"/>
    <w:rsid w:val="00831E08"/>
    <w:rsid w:val="008321D3"/>
    <w:rsid w:val="00832F8A"/>
    <w:rsid w:val="00833BA1"/>
    <w:rsid w:val="00836E3E"/>
    <w:rsid w:val="008414E1"/>
    <w:rsid w:val="00842B2B"/>
    <w:rsid w:val="008456EC"/>
    <w:rsid w:val="0086005C"/>
    <w:rsid w:val="0086203C"/>
    <w:rsid w:val="00872E01"/>
    <w:rsid w:val="0088059A"/>
    <w:rsid w:val="0088110A"/>
    <w:rsid w:val="00881FCF"/>
    <w:rsid w:val="00883224"/>
    <w:rsid w:val="00886865"/>
    <w:rsid w:val="00892333"/>
    <w:rsid w:val="00894634"/>
    <w:rsid w:val="008A4996"/>
    <w:rsid w:val="008A64E6"/>
    <w:rsid w:val="008A6AD9"/>
    <w:rsid w:val="008B4BD6"/>
    <w:rsid w:val="008B5C72"/>
    <w:rsid w:val="008C0E70"/>
    <w:rsid w:val="008C326F"/>
    <w:rsid w:val="008C411A"/>
    <w:rsid w:val="008C48F6"/>
    <w:rsid w:val="008C5520"/>
    <w:rsid w:val="008D1B38"/>
    <w:rsid w:val="008E3E3F"/>
    <w:rsid w:val="008E577C"/>
    <w:rsid w:val="008E5C9A"/>
    <w:rsid w:val="008F1DA0"/>
    <w:rsid w:val="008F2D6C"/>
    <w:rsid w:val="008F7819"/>
    <w:rsid w:val="008F7B39"/>
    <w:rsid w:val="0090177F"/>
    <w:rsid w:val="00904870"/>
    <w:rsid w:val="00911CDA"/>
    <w:rsid w:val="00913905"/>
    <w:rsid w:val="00916471"/>
    <w:rsid w:val="009167D2"/>
    <w:rsid w:val="009170D0"/>
    <w:rsid w:val="00920904"/>
    <w:rsid w:val="00921385"/>
    <w:rsid w:val="009230B3"/>
    <w:rsid w:val="00923746"/>
    <w:rsid w:val="009247D7"/>
    <w:rsid w:val="00936550"/>
    <w:rsid w:val="00937652"/>
    <w:rsid w:val="0094260D"/>
    <w:rsid w:val="00942708"/>
    <w:rsid w:val="00942A6C"/>
    <w:rsid w:val="00946929"/>
    <w:rsid w:val="00946B0B"/>
    <w:rsid w:val="00955E00"/>
    <w:rsid w:val="00962857"/>
    <w:rsid w:val="009670F7"/>
    <w:rsid w:val="00967D8E"/>
    <w:rsid w:val="0098044A"/>
    <w:rsid w:val="00981629"/>
    <w:rsid w:val="00986689"/>
    <w:rsid w:val="0099104D"/>
    <w:rsid w:val="009930F4"/>
    <w:rsid w:val="00994CA5"/>
    <w:rsid w:val="00995115"/>
    <w:rsid w:val="009A160A"/>
    <w:rsid w:val="009A33C6"/>
    <w:rsid w:val="009A7099"/>
    <w:rsid w:val="009A78FC"/>
    <w:rsid w:val="009B1883"/>
    <w:rsid w:val="009B4680"/>
    <w:rsid w:val="009B7097"/>
    <w:rsid w:val="009C074B"/>
    <w:rsid w:val="009E02D8"/>
    <w:rsid w:val="009E2C30"/>
    <w:rsid w:val="009E44F6"/>
    <w:rsid w:val="009F6147"/>
    <w:rsid w:val="009F7020"/>
    <w:rsid w:val="009F7D78"/>
    <w:rsid w:val="00A01A5B"/>
    <w:rsid w:val="00A03650"/>
    <w:rsid w:val="00A055E8"/>
    <w:rsid w:val="00A07BD5"/>
    <w:rsid w:val="00A102AF"/>
    <w:rsid w:val="00A10B25"/>
    <w:rsid w:val="00A10C74"/>
    <w:rsid w:val="00A146E0"/>
    <w:rsid w:val="00A157A1"/>
    <w:rsid w:val="00A215C7"/>
    <w:rsid w:val="00A27DC6"/>
    <w:rsid w:val="00A30EF7"/>
    <w:rsid w:val="00A46D06"/>
    <w:rsid w:val="00A46D63"/>
    <w:rsid w:val="00A51E64"/>
    <w:rsid w:val="00A54297"/>
    <w:rsid w:val="00A54D60"/>
    <w:rsid w:val="00A5518A"/>
    <w:rsid w:val="00A554F4"/>
    <w:rsid w:val="00A56958"/>
    <w:rsid w:val="00A56A39"/>
    <w:rsid w:val="00A57370"/>
    <w:rsid w:val="00A5759C"/>
    <w:rsid w:val="00A620AA"/>
    <w:rsid w:val="00A62250"/>
    <w:rsid w:val="00A629FE"/>
    <w:rsid w:val="00A631A4"/>
    <w:rsid w:val="00A723F0"/>
    <w:rsid w:val="00A7415D"/>
    <w:rsid w:val="00A808CE"/>
    <w:rsid w:val="00A835C5"/>
    <w:rsid w:val="00A8455B"/>
    <w:rsid w:val="00A84E71"/>
    <w:rsid w:val="00A85C14"/>
    <w:rsid w:val="00A907A9"/>
    <w:rsid w:val="00A950D0"/>
    <w:rsid w:val="00A96147"/>
    <w:rsid w:val="00A96A3A"/>
    <w:rsid w:val="00A9747B"/>
    <w:rsid w:val="00AA0322"/>
    <w:rsid w:val="00AA4F21"/>
    <w:rsid w:val="00AB16E8"/>
    <w:rsid w:val="00AB4280"/>
    <w:rsid w:val="00AD4EA4"/>
    <w:rsid w:val="00AD6019"/>
    <w:rsid w:val="00AD6143"/>
    <w:rsid w:val="00AD758E"/>
    <w:rsid w:val="00AF0321"/>
    <w:rsid w:val="00AF1151"/>
    <w:rsid w:val="00AF4D38"/>
    <w:rsid w:val="00AF7AD4"/>
    <w:rsid w:val="00B05678"/>
    <w:rsid w:val="00B0699C"/>
    <w:rsid w:val="00B0699F"/>
    <w:rsid w:val="00B137B0"/>
    <w:rsid w:val="00B22DC8"/>
    <w:rsid w:val="00B23888"/>
    <w:rsid w:val="00B25942"/>
    <w:rsid w:val="00B36D09"/>
    <w:rsid w:val="00B41A1E"/>
    <w:rsid w:val="00B4411A"/>
    <w:rsid w:val="00B5104A"/>
    <w:rsid w:val="00B539AF"/>
    <w:rsid w:val="00B573B8"/>
    <w:rsid w:val="00B60FE0"/>
    <w:rsid w:val="00B612FC"/>
    <w:rsid w:val="00B675AF"/>
    <w:rsid w:val="00B71F0D"/>
    <w:rsid w:val="00B72AB0"/>
    <w:rsid w:val="00B74215"/>
    <w:rsid w:val="00B80034"/>
    <w:rsid w:val="00B828E0"/>
    <w:rsid w:val="00B83046"/>
    <w:rsid w:val="00B92DE7"/>
    <w:rsid w:val="00B93388"/>
    <w:rsid w:val="00BA52DC"/>
    <w:rsid w:val="00BA6E1B"/>
    <w:rsid w:val="00BB0861"/>
    <w:rsid w:val="00BB6EA2"/>
    <w:rsid w:val="00BB72D9"/>
    <w:rsid w:val="00BC3A84"/>
    <w:rsid w:val="00BC4ED1"/>
    <w:rsid w:val="00BD1468"/>
    <w:rsid w:val="00BD1C46"/>
    <w:rsid w:val="00BE0A96"/>
    <w:rsid w:val="00BE2C7D"/>
    <w:rsid w:val="00BE2E38"/>
    <w:rsid w:val="00BE3B40"/>
    <w:rsid w:val="00BF1232"/>
    <w:rsid w:val="00BF1B6F"/>
    <w:rsid w:val="00BF4C9C"/>
    <w:rsid w:val="00C051A9"/>
    <w:rsid w:val="00C10436"/>
    <w:rsid w:val="00C11393"/>
    <w:rsid w:val="00C231E5"/>
    <w:rsid w:val="00C25483"/>
    <w:rsid w:val="00C25986"/>
    <w:rsid w:val="00C27351"/>
    <w:rsid w:val="00C318BB"/>
    <w:rsid w:val="00C32651"/>
    <w:rsid w:val="00C37C56"/>
    <w:rsid w:val="00C43375"/>
    <w:rsid w:val="00C479A8"/>
    <w:rsid w:val="00C509B9"/>
    <w:rsid w:val="00C509DB"/>
    <w:rsid w:val="00C524BA"/>
    <w:rsid w:val="00C536D8"/>
    <w:rsid w:val="00C53E45"/>
    <w:rsid w:val="00C54492"/>
    <w:rsid w:val="00C56E60"/>
    <w:rsid w:val="00C61A9B"/>
    <w:rsid w:val="00C64698"/>
    <w:rsid w:val="00C65E13"/>
    <w:rsid w:val="00C750C5"/>
    <w:rsid w:val="00C80637"/>
    <w:rsid w:val="00C91420"/>
    <w:rsid w:val="00C918A0"/>
    <w:rsid w:val="00C9190D"/>
    <w:rsid w:val="00C971A4"/>
    <w:rsid w:val="00CA4286"/>
    <w:rsid w:val="00CB1A21"/>
    <w:rsid w:val="00CB23B3"/>
    <w:rsid w:val="00CB2658"/>
    <w:rsid w:val="00CB467D"/>
    <w:rsid w:val="00CB621B"/>
    <w:rsid w:val="00CC0404"/>
    <w:rsid w:val="00CC532E"/>
    <w:rsid w:val="00CD3343"/>
    <w:rsid w:val="00CE39E5"/>
    <w:rsid w:val="00CE752E"/>
    <w:rsid w:val="00CF0181"/>
    <w:rsid w:val="00CF3955"/>
    <w:rsid w:val="00CF51BE"/>
    <w:rsid w:val="00CF6C30"/>
    <w:rsid w:val="00D04922"/>
    <w:rsid w:val="00D06BF6"/>
    <w:rsid w:val="00D11CD9"/>
    <w:rsid w:val="00D12FC4"/>
    <w:rsid w:val="00D24A03"/>
    <w:rsid w:val="00D301D0"/>
    <w:rsid w:val="00D3087E"/>
    <w:rsid w:val="00D332E1"/>
    <w:rsid w:val="00D464A7"/>
    <w:rsid w:val="00D4656D"/>
    <w:rsid w:val="00D468C5"/>
    <w:rsid w:val="00D47619"/>
    <w:rsid w:val="00D476C1"/>
    <w:rsid w:val="00D51696"/>
    <w:rsid w:val="00D52E3B"/>
    <w:rsid w:val="00D565BA"/>
    <w:rsid w:val="00D56BCF"/>
    <w:rsid w:val="00D61F52"/>
    <w:rsid w:val="00D629E7"/>
    <w:rsid w:val="00D629FE"/>
    <w:rsid w:val="00D63A35"/>
    <w:rsid w:val="00D64B6B"/>
    <w:rsid w:val="00D87F57"/>
    <w:rsid w:val="00DA3D85"/>
    <w:rsid w:val="00DB046F"/>
    <w:rsid w:val="00DB14B3"/>
    <w:rsid w:val="00DB5AB3"/>
    <w:rsid w:val="00DC62B9"/>
    <w:rsid w:val="00DD1501"/>
    <w:rsid w:val="00DD7B94"/>
    <w:rsid w:val="00DE2942"/>
    <w:rsid w:val="00DE508E"/>
    <w:rsid w:val="00DE5CCB"/>
    <w:rsid w:val="00DE5D80"/>
    <w:rsid w:val="00DF25FD"/>
    <w:rsid w:val="00E02206"/>
    <w:rsid w:val="00E026A7"/>
    <w:rsid w:val="00E04A58"/>
    <w:rsid w:val="00E0516A"/>
    <w:rsid w:val="00E0650B"/>
    <w:rsid w:val="00E129C0"/>
    <w:rsid w:val="00E178C0"/>
    <w:rsid w:val="00E204A0"/>
    <w:rsid w:val="00E21B86"/>
    <w:rsid w:val="00E366C1"/>
    <w:rsid w:val="00E379F3"/>
    <w:rsid w:val="00E41567"/>
    <w:rsid w:val="00E42FEF"/>
    <w:rsid w:val="00E5360B"/>
    <w:rsid w:val="00E60DBB"/>
    <w:rsid w:val="00E62C3B"/>
    <w:rsid w:val="00E663DF"/>
    <w:rsid w:val="00E769DC"/>
    <w:rsid w:val="00E81CE2"/>
    <w:rsid w:val="00E908AD"/>
    <w:rsid w:val="00E9337D"/>
    <w:rsid w:val="00E94C68"/>
    <w:rsid w:val="00E96354"/>
    <w:rsid w:val="00EA4871"/>
    <w:rsid w:val="00EB060F"/>
    <w:rsid w:val="00EB2B38"/>
    <w:rsid w:val="00EB4A11"/>
    <w:rsid w:val="00EC08EC"/>
    <w:rsid w:val="00EC26EF"/>
    <w:rsid w:val="00EC290D"/>
    <w:rsid w:val="00EC383E"/>
    <w:rsid w:val="00EC604E"/>
    <w:rsid w:val="00ED023E"/>
    <w:rsid w:val="00ED2261"/>
    <w:rsid w:val="00ED4AE9"/>
    <w:rsid w:val="00ED61B0"/>
    <w:rsid w:val="00ED68DB"/>
    <w:rsid w:val="00EE77ED"/>
    <w:rsid w:val="00EF2402"/>
    <w:rsid w:val="00EF4E76"/>
    <w:rsid w:val="00EF69F7"/>
    <w:rsid w:val="00F009F0"/>
    <w:rsid w:val="00F0613C"/>
    <w:rsid w:val="00F061B8"/>
    <w:rsid w:val="00F117E2"/>
    <w:rsid w:val="00F12E90"/>
    <w:rsid w:val="00F13DBA"/>
    <w:rsid w:val="00F21DFA"/>
    <w:rsid w:val="00F27446"/>
    <w:rsid w:val="00F42824"/>
    <w:rsid w:val="00F4495A"/>
    <w:rsid w:val="00F45EC2"/>
    <w:rsid w:val="00F4634B"/>
    <w:rsid w:val="00F51F1C"/>
    <w:rsid w:val="00F546FF"/>
    <w:rsid w:val="00F576D3"/>
    <w:rsid w:val="00F62DFD"/>
    <w:rsid w:val="00F67954"/>
    <w:rsid w:val="00F851A5"/>
    <w:rsid w:val="00F86C6C"/>
    <w:rsid w:val="00F93521"/>
    <w:rsid w:val="00F94E9A"/>
    <w:rsid w:val="00FB0095"/>
    <w:rsid w:val="00FB3573"/>
    <w:rsid w:val="00FB775D"/>
    <w:rsid w:val="00FC3935"/>
    <w:rsid w:val="00FC4B93"/>
    <w:rsid w:val="00FD067A"/>
    <w:rsid w:val="00FD107D"/>
    <w:rsid w:val="00FD6909"/>
    <w:rsid w:val="00FD718F"/>
    <w:rsid w:val="00FE2F41"/>
    <w:rsid w:val="00FE3D1F"/>
    <w:rsid w:val="00FE7236"/>
    <w:rsid w:val="00FF1D31"/>
    <w:rsid w:val="00FF204C"/>
    <w:rsid w:val="00FF739D"/>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rules v:ext="edit">
        <o:r id="V:Rule9" type="connector" idref="#_x0000_s1030"/>
        <o:r id="V:Rule10" type="connector" idref="#_x0000_s1037"/>
        <o:r id="V:Rule11" type="connector" idref="#_x0000_s1035"/>
        <o:r id="V:Rule12" type="connector" idref="#_x0000_s1051"/>
        <o:r id="V:Rule13" type="connector" idref="#_x0000_s1042"/>
        <o:r id="V:Rule14" type="connector" idref="#_x0000_s1044"/>
        <o:r id="V:Rule15" type="connector" idref="#_x0000_s1028"/>
        <o:r id="V:Rule16"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annotation text"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613C"/>
    <w:rPr>
      <w:sz w:val="22"/>
      <w:szCs w:val="24"/>
      <w:lang w:eastAsia="en-US"/>
    </w:rPr>
  </w:style>
  <w:style w:type="paragraph" w:styleId="Heading1">
    <w:name w:val="heading 1"/>
    <w:basedOn w:val="Normal"/>
    <w:next w:val="BodyText"/>
    <w:qFormat/>
    <w:rsid w:val="00505476"/>
    <w:pPr>
      <w:keepNext/>
      <w:numPr>
        <w:numId w:val="33"/>
      </w:numPr>
      <w:pBdr>
        <w:bottom w:val="single" w:sz="12" w:space="1" w:color="9A7735"/>
      </w:pBdr>
      <w:tabs>
        <w:tab w:val="clear" w:pos="4253"/>
        <w:tab w:val="num" w:pos="567"/>
      </w:tabs>
      <w:spacing w:after="360"/>
      <w:ind w:left="567"/>
      <w:outlineLvl w:val="0"/>
    </w:pPr>
    <w:rPr>
      <w:rFonts w:ascii="Arial" w:hAnsi="Arial"/>
      <w:caps/>
      <w:sz w:val="32"/>
    </w:rPr>
  </w:style>
  <w:style w:type="paragraph" w:styleId="Heading2">
    <w:name w:val="heading 2"/>
    <w:basedOn w:val="Normal"/>
    <w:next w:val="BodyText"/>
    <w:link w:val="Heading2Char"/>
    <w:qFormat/>
    <w:rsid w:val="002628A3"/>
    <w:pPr>
      <w:keepNext/>
      <w:numPr>
        <w:ilvl w:val="1"/>
        <w:numId w:val="33"/>
      </w:numPr>
      <w:spacing w:before="240" w:after="240" w:line="260" w:lineRule="atLeast"/>
      <w:outlineLvl w:val="1"/>
    </w:pPr>
    <w:rPr>
      <w:rFonts w:ascii="Arial" w:hAnsi="Arial"/>
      <w:sz w:val="28"/>
      <w:szCs w:val="28"/>
    </w:rPr>
  </w:style>
  <w:style w:type="paragraph" w:styleId="Heading3">
    <w:name w:val="heading 3"/>
    <w:basedOn w:val="Normal"/>
    <w:next w:val="BodyText"/>
    <w:link w:val="Heading3Char"/>
    <w:qFormat/>
    <w:rsid w:val="00A54297"/>
    <w:pPr>
      <w:keepNext/>
      <w:spacing w:before="120" w:line="260" w:lineRule="atLeast"/>
      <w:outlineLvl w:val="2"/>
    </w:pPr>
    <w:rPr>
      <w:rFonts w:ascii="Arial" w:hAnsi="Arial"/>
      <w:b/>
    </w:rPr>
  </w:style>
  <w:style w:type="paragraph" w:styleId="Heading4">
    <w:name w:val="heading 4"/>
    <w:basedOn w:val="BodyText"/>
    <w:next w:val="BodyText"/>
    <w:qFormat/>
    <w:rsid w:val="00B83046"/>
    <w:pPr>
      <w:keepNext/>
      <w:spacing w:before="120" w:after="0"/>
      <w:outlineLvl w:val="3"/>
    </w:pPr>
    <w:rPr>
      <w:b/>
    </w:rPr>
  </w:style>
  <w:style w:type="paragraph" w:styleId="Heading9">
    <w:name w:val="heading 9"/>
    <w:basedOn w:val="Normal"/>
    <w:qFormat/>
    <w:rsid w:val="00682791"/>
    <w:pPr>
      <w:outlineLvl w:val="8"/>
    </w:pPr>
    <w:rPr>
      <w:rFonts w:cs="Arial"/>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B72D9"/>
    <w:pPr>
      <w:spacing w:after="240" w:line="260" w:lineRule="atLeast"/>
      <w:jc w:val="both"/>
    </w:pPr>
    <w:rPr>
      <w:szCs w:val="20"/>
    </w:rPr>
  </w:style>
  <w:style w:type="paragraph" w:customStyle="1" w:styleId="Bullet2nospace">
    <w:name w:val="Bullet 2 no space"/>
    <w:basedOn w:val="Bullet1"/>
    <w:rsid w:val="00E21B86"/>
    <w:pPr>
      <w:spacing w:after="0"/>
    </w:pPr>
  </w:style>
  <w:style w:type="paragraph" w:customStyle="1" w:styleId="Bullet1">
    <w:name w:val="Bullet 1"/>
    <w:basedOn w:val="BodyText"/>
    <w:rsid w:val="00411B40"/>
    <w:pPr>
      <w:numPr>
        <w:numId w:val="37"/>
      </w:numPr>
      <w:tabs>
        <w:tab w:val="left" w:pos="284"/>
      </w:tabs>
    </w:pPr>
  </w:style>
  <w:style w:type="paragraph" w:styleId="Footer">
    <w:name w:val="footer"/>
    <w:basedOn w:val="Normal"/>
    <w:link w:val="FooterChar"/>
    <w:uiPriority w:val="99"/>
    <w:rsid w:val="00995115"/>
    <w:pPr>
      <w:tabs>
        <w:tab w:val="center" w:pos="4153"/>
        <w:tab w:val="right" w:pos="8306"/>
      </w:tabs>
    </w:pPr>
  </w:style>
  <w:style w:type="paragraph" w:styleId="FootnoteText">
    <w:name w:val="footnote text"/>
    <w:basedOn w:val="Normal"/>
    <w:link w:val="FootnoteTextChar"/>
    <w:rsid w:val="00C971A4"/>
    <w:rPr>
      <w:sz w:val="14"/>
      <w:szCs w:val="20"/>
    </w:rPr>
  </w:style>
  <w:style w:type="paragraph" w:styleId="Header">
    <w:name w:val="header"/>
    <w:basedOn w:val="Normal"/>
    <w:rsid w:val="00C64698"/>
    <w:pPr>
      <w:tabs>
        <w:tab w:val="center" w:pos="4253"/>
        <w:tab w:val="right" w:pos="8505"/>
      </w:tabs>
      <w:spacing w:line="200" w:lineRule="atLeast"/>
    </w:pPr>
    <w:rPr>
      <w:sz w:val="16"/>
      <w:szCs w:val="20"/>
    </w:rPr>
  </w:style>
  <w:style w:type="character" w:styleId="Hyperlink">
    <w:name w:val="Hyperlink"/>
    <w:basedOn w:val="DefaultParagraphFont"/>
    <w:uiPriority w:val="99"/>
    <w:rsid w:val="00216D93"/>
    <w:rPr>
      <w:color w:val="0000FF"/>
      <w:u w:val="single"/>
    </w:rPr>
  </w:style>
  <w:style w:type="paragraph" w:customStyle="1" w:styleId="Keypointtext">
    <w:name w:val="Key point text"/>
    <w:basedOn w:val="Normal"/>
    <w:rsid w:val="007B699A"/>
    <w:pPr>
      <w:spacing w:before="120" w:line="260" w:lineRule="atLeast"/>
    </w:pPr>
    <w:rPr>
      <w:rFonts w:ascii="Arial" w:hAnsi="Arial"/>
      <w:sz w:val="20"/>
    </w:rPr>
  </w:style>
  <w:style w:type="table" w:customStyle="1" w:styleId="TableMOE1">
    <w:name w:val="Table MOE 1"/>
    <w:basedOn w:val="TableNormal"/>
    <w:rsid w:val="004C1E7B"/>
    <w:pPr>
      <w:jc w:val="right"/>
    </w:pPr>
    <w:rPr>
      <w:rFonts w:ascii="Arial" w:hAnsi="Arial"/>
    </w:rPr>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CDBB9A"/>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tcBorders>
          <w:top w:val="nil"/>
          <w:left w:val="single" w:sz="4" w:space="0" w:color="7F7F7F"/>
          <w:bottom w:val="nil"/>
          <w:right w:val="single" w:sz="4" w:space="0" w:color="7F7F7F"/>
          <w:insideH w:val="nil"/>
          <w:insideV w:val="single" w:sz="4" w:space="0" w:color="7F7F7F"/>
          <w:tl2br w:val="nil"/>
          <w:tr2bl w:val="nil"/>
        </w:tcBorders>
        <w:shd w:val="clear" w:color="auto" w:fill="CDBB9A"/>
      </w:tcPr>
    </w:tblStylePr>
  </w:style>
  <w:style w:type="table" w:styleId="TableGrid">
    <w:name w:val="Table Grid"/>
    <w:basedOn w:val="TableNormal"/>
    <w:rsid w:val="006152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rsid w:val="00A80F89"/>
    <w:rPr>
      <w:vertAlign w:val="superscript"/>
    </w:rPr>
  </w:style>
  <w:style w:type="paragraph" w:styleId="Caption">
    <w:name w:val="caption"/>
    <w:basedOn w:val="Normal"/>
    <w:next w:val="Normal"/>
    <w:qFormat/>
    <w:rsid w:val="006C3E92"/>
    <w:pPr>
      <w:keepNext/>
      <w:spacing w:line="220" w:lineRule="atLeast"/>
    </w:pPr>
    <w:rPr>
      <w:rFonts w:ascii="Arial" w:hAnsi="Arial" w:cs="Arial"/>
      <w:b/>
      <w:bCs/>
      <w:sz w:val="15"/>
      <w:szCs w:val="20"/>
    </w:rPr>
  </w:style>
  <w:style w:type="character" w:styleId="PageNumber">
    <w:name w:val="page number"/>
    <w:basedOn w:val="DefaultParagraphFont"/>
    <w:semiHidden/>
    <w:rsid w:val="009930F4"/>
    <w:rPr>
      <w:rFonts w:ascii="Arial" w:hAnsi="Arial"/>
      <w:sz w:val="18"/>
    </w:rPr>
  </w:style>
  <w:style w:type="paragraph" w:customStyle="1" w:styleId="Tabletext">
    <w:name w:val="Table text"/>
    <w:basedOn w:val="Normal"/>
    <w:rsid w:val="00F45EC2"/>
    <w:pPr>
      <w:spacing w:line="220" w:lineRule="atLeast"/>
    </w:pPr>
    <w:rPr>
      <w:rFonts w:ascii="Arial" w:hAnsi="Arial"/>
      <w:sz w:val="15"/>
    </w:rPr>
  </w:style>
  <w:style w:type="paragraph" w:styleId="BalloonText">
    <w:name w:val="Balloon Text"/>
    <w:basedOn w:val="Normal"/>
    <w:semiHidden/>
    <w:rsid w:val="002541DD"/>
    <w:rPr>
      <w:rFonts w:cs="Tahoma"/>
      <w:sz w:val="16"/>
      <w:szCs w:val="16"/>
    </w:rPr>
  </w:style>
  <w:style w:type="paragraph" w:customStyle="1" w:styleId="Tableheading">
    <w:name w:val="Table heading"/>
    <w:basedOn w:val="Tabletext"/>
    <w:rsid w:val="00D24A03"/>
    <w:pPr>
      <w:keepNext/>
      <w:jc w:val="center"/>
    </w:pPr>
    <w:rPr>
      <w:b/>
    </w:rPr>
  </w:style>
  <w:style w:type="paragraph" w:styleId="TOC1">
    <w:name w:val="toc 1"/>
    <w:basedOn w:val="BodyText"/>
    <w:next w:val="Normal"/>
    <w:uiPriority w:val="39"/>
    <w:rsid w:val="00177D52"/>
    <w:pPr>
      <w:tabs>
        <w:tab w:val="right" w:pos="8222"/>
      </w:tabs>
      <w:spacing w:before="240" w:after="80" w:line="240" w:lineRule="auto"/>
      <w:ind w:left="567" w:right="709" w:hanging="567"/>
    </w:pPr>
    <w:rPr>
      <w:rFonts w:ascii="Arial" w:hAnsi="Arial" w:cs="Arial"/>
      <w:noProof/>
      <w:sz w:val="20"/>
    </w:rPr>
  </w:style>
  <w:style w:type="paragraph" w:styleId="TOC2">
    <w:name w:val="toc 2"/>
    <w:basedOn w:val="Normal"/>
    <w:next w:val="Normal"/>
    <w:uiPriority w:val="39"/>
    <w:rsid w:val="00F009F0"/>
    <w:pPr>
      <w:tabs>
        <w:tab w:val="right" w:pos="8222"/>
      </w:tabs>
      <w:spacing w:after="80"/>
      <w:ind w:left="1134" w:right="709" w:hanging="567"/>
    </w:pPr>
    <w:rPr>
      <w:rFonts w:ascii="Arial" w:hAnsi="Arial"/>
      <w:noProof/>
      <w:sz w:val="20"/>
    </w:rPr>
  </w:style>
  <w:style w:type="paragraph" w:styleId="TableofFigures">
    <w:name w:val="table of figures"/>
    <w:basedOn w:val="BodyText"/>
    <w:next w:val="Normal"/>
    <w:uiPriority w:val="99"/>
    <w:rsid w:val="00667977"/>
    <w:pPr>
      <w:tabs>
        <w:tab w:val="right" w:pos="7598"/>
      </w:tabs>
      <w:spacing w:before="240" w:after="120" w:line="260" w:lineRule="exact"/>
      <w:ind w:right="851"/>
      <w:jc w:val="left"/>
    </w:pPr>
    <w:rPr>
      <w:rFonts w:ascii="Arial" w:hAnsi="Arial" w:cs="Arial"/>
      <w:sz w:val="18"/>
    </w:rPr>
  </w:style>
  <w:style w:type="paragraph" w:customStyle="1" w:styleId="Note">
    <w:name w:val="Note"/>
    <w:basedOn w:val="Normal"/>
    <w:next w:val="BodyText"/>
    <w:rsid w:val="002628A3"/>
    <w:pPr>
      <w:spacing w:before="120" w:after="240" w:line="180" w:lineRule="atLeast"/>
    </w:pPr>
    <w:rPr>
      <w:rFonts w:ascii="Arial" w:hAnsi="Arial"/>
      <w:sz w:val="14"/>
    </w:rPr>
  </w:style>
  <w:style w:type="paragraph" w:customStyle="1" w:styleId="Bullet1a">
    <w:name w:val="Bullet 1a"/>
    <w:basedOn w:val="Bullet1"/>
    <w:rsid w:val="00315AFE"/>
    <w:pPr>
      <w:tabs>
        <w:tab w:val="left" w:pos="567"/>
      </w:tabs>
      <w:ind w:left="568"/>
    </w:pPr>
  </w:style>
  <w:style w:type="paragraph" w:customStyle="1" w:styleId="Figurelabel">
    <w:name w:val="Figure label"/>
    <w:basedOn w:val="Caption"/>
    <w:next w:val="BodyText"/>
    <w:rsid w:val="009A7099"/>
    <w:pPr>
      <w:spacing w:after="120"/>
    </w:pPr>
    <w:rPr>
      <w:b w:val="0"/>
    </w:rPr>
  </w:style>
  <w:style w:type="paragraph" w:customStyle="1" w:styleId="Referencetext">
    <w:name w:val="Reference text"/>
    <w:basedOn w:val="BodyText"/>
    <w:qFormat/>
    <w:rsid w:val="00AD4BF0"/>
  </w:style>
  <w:style w:type="paragraph" w:styleId="Title">
    <w:name w:val="Title"/>
    <w:basedOn w:val="Normal"/>
    <w:qFormat/>
    <w:rsid w:val="002628A3"/>
    <w:pPr>
      <w:spacing w:after="120" w:line="620" w:lineRule="exact"/>
      <w:ind w:left="2552"/>
      <w:jc w:val="right"/>
      <w:outlineLvl w:val="0"/>
    </w:pPr>
    <w:rPr>
      <w:rFonts w:ascii="Arial" w:hAnsi="Arial"/>
      <w:color w:val="FFFFFF"/>
      <w:sz w:val="48"/>
    </w:rPr>
  </w:style>
  <w:style w:type="paragraph" w:customStyle="1" w:styleId="Insidecover">
    <w:name w:val="Inside cover"/>
    <w:basedOn w:val="Normal"/>
    <w:rsid w:val="004D1E17"/>
    <w:pPr>
      <w:ind w:left="-284"/>
    </w:pPr>
    <w:rPr>
      <w:rFonts w:ascii="Arial" w:hAnsi="Arial"/>
      <w:sz w:val="18"/>
    </w:rPr>
  </w:style>
  <w:style w:type="paragraph" w:customStyle="1" w:styleId="Heading">
    <w:name w:val="Heading"/>
    <w:basedOn w:val="Normal"/>
    <w:next w:val="BodyText"/>
    <w:rsid w:val="00505476"/>
    <w:pPr>
      <w:keepNext/>
      <w:pBdr>
        <w:bottom w:val="single" w:sz="12" w:space="1" w:color="9A7735"/>
      </w:pBdr>
      <w:tabs>
        <w:tab w:val="left" w:pos="567"/>
      </w:tabs>
      <w:spacing w:after="360"/>
    </w:pPr>
    <w:rPr>
      <w:rFonts w:ascii="Arial" w:hAnsi="Arial"/>
      <w:caps/>
      <w:sz w:val="32"/>
    </w:rPr>
  </w:style>
  <w:style w:type="paragraph" w:customStyle="1" w:styleId="Keypointheading">
    <w:name w:val="Key point heading"/>
    <w:basedOn w:val="Normal"/>
    <w:next w:val="Keypointtext"/>
    <w:rsid w:val="007B699A"/>
    <w:pPr>
      <w:spacing w:before="120"/>
    </w:pPr>
    <w:rPr>
      <w:rFonts w:ascii="Arial" w:hAnsi="Arial"/>
      <w:caps/>
      <w:sz w:val="20"/>
    </w:rPr>
  </w:style>
  <w:style w:type="paragraph" w:customStyle="1" w:styleId="FooterEvenPage">
    <w:name w:val="Footer Even Page"/>
    <w:basedOn w:val="FooterOddPage"/>
    <w:rsid w:val="00D04922"/>
    <w:pPr>
      <w:ind w:left="851" w:right="0"/>
      <w:jc w:val="left"/>
    </w:pPr>
  </w:style>
  <w:style w:type="paragraph" w:customStyle="1" w:styleId="FooterOddPage">
    <w:name w:val="Footer Odd Page"/>
    <w:basedOn w:val="Normal"/>
    <w:rsid w:val="00995115"/>
    <w:pPr>
      <w:spacing w:line="200" w:lineRule="atLeast"/>
      <w:ind w:right="851"/>
      <w:jc w:val="right"/>
    </w:pPr>
    <w:rPr>
      <w:rFonts w:ascii="Arial" w:hAnsi="Arial"/>
      <w:sz w:val="16"/>
      <w:szCs w:val="18"/>
    </w:rPr>
  </w:style>
  <w:style w:type="paragraph" w:customStyle="1" w:styleId="Figure-Table">
    <w:name w:val="Figure-Table #"/>
    <w:basedOn w:val="Normal"/>
    <w:rsid w:val="009A33C6"/>
    <w:pPr>
      <w:spacing w:before="240" w:after="120" w:line="260" w:lineRule="exact"/>
    </w:pPr>
    <w:rPr>
      <w:rFonts w:ascii="Arial" w:hAnsi="Arial" w:cs="Arial"/>
      <w:b/>
      <w:sz w:val="18"/>
    </w:rPr>
  </w:style>
  <w:style w:type="paragraph" w:customStyle="1" w:styleId="Tablelabel">
    <w:name w:val="Table label"/>
    <w:basedOn w:val="Caption"/>
    <w:next w:val="Normal"/>
    <w:rsid w:val="009A7099"/>
    <w:pPr>
      <w:spacing w:after="120"/>
    </w:pPr>
    <w:rPr>
      <w:b w:val="0"/>
    </w:rPr>
  </w:style>
  <w:style w:type="paragraph" w:customStyle="1" w:styleId="Bullet2a">
    <w:name w:val="Bullet 2a"/>
    <w:basedOn w:val="Bullet2nospace"/>
    <w:rsid w:val="00315AFE"/>
    <w:pPr>
      <w:tabs>
        <w:tab w:val="left" w:pos="567"/>
      </w:tabs>
      <w:ind w:left="568"/>
    </w:pPr>
  </w:style>
  <w:style w:type="table" w:customStyle="1" w:styleId="TableMOE2">
    <w:name w:val="Table MOE 2"/>
    <w:basedOn w:val="TableMOE1"/>
    <w:rsid w:val="004C1E7B"/>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CDBB9A"/>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shd w:val="clear" w:color="auto" w:fill="CDBB9A"/>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tcBorders>
          <w:top w:val="nil"/>
          <w:left w:val="single" w:sz="4" w:space="0" w:color="7F7F7F"/>
          <w:bottom w:val="nil"/>
          <w:right w:val="single" w:sz="4" w:space="0" w:color="7F7F7F"/>
          <w:insideH w:val="nil"/>
          <w:insideV w:val="single" w:sz="4" w:space="0" w:color="7F7F7F"/>
          <w:tl2br w:val="nil"/>
          <w:tr2bl w:val="nil"/>
        </w:tcBorders>
        <w:shd w:val="clear" w:color="auto" w:fill="CDBB9A"/>
      </w:tcPr>
    </w:tblStylePr>
  </w:style>
  <w:style w:type="paragraph" w:customStyle="1" w:styleId="Appendix">
    <w:name w:val="Appendix"/>
    <w:basedOn w:val="Heading1"/>
    <w:next w:val="BodyText"/>
    <w:rsid w:val="006D7677"/>
    <w:pPr>
      <w:numPr>
        <w:numId w:val="39"/>
      </w:numPr>
    </w:pPr>
  </w:style>
  <w:style w:type="table" w:customStyle="1" w:styleId="TableMOE3">
    <w:name w:val="Table MOE 3"/>
    <w:basedOn w:val="TableGrid"/>
    <w:rsid w:val="004C1E7B"/>
    <w:pPr>
      <w:jc w:val="right"/>
    </w:pPr>
    <w:rPr>
      <w:rFonts w:ascii="Arial" w:hAnsi="Arial"/>
    </w:rPr>
    <w:tblPr>
      <w:tblInd w:w="28" w:type="dxa"/>
      <w:tblBorders>
        <w:top w:val="single" w:sz="4" w:space="0" w:color="7F7F7F"/>
        <w:left w:val="single" w:sz="4" w:space="0" w:color="7F7F7F"/>
        <w:bottom w:val="single" w:sz="4" w:space="0" w:color="7F7F7F"/>
        <w:right w:val="single" w:sz="4" w:space="0" w:color="7F7F7F"/>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Titlesub">
    <w:name w:val="Title sub"/>
    <w:basedOn w:val="Title"/>
    <w:rsid w:val="002628A3"/>
    <w:pPr>
      <w:ind w:left="2835"/>
      <w:outlineLvl w:val="1"/>
    </w:pPr>
    <w:rPr>
      <w:i/>
      <w:sz w:val="40"/>
      <w:szCs w:val="40"/>
    </w:rPr>
  </w:style>
  <w:style w:type="paragraph" w:customStyle="1" w:styleId="Headingspaceafter">
    <w:name w:val="Heading (space after)"/>
    <w:basedOn w:val="Heading"/>
    <w:next w:val="BodyText"/>
    <w:rsid w:val="00BB72D9"/>
    <w:pPr>
      <w:spacing w:after="1200"/>
    </w:pPr>
    <w:rPr>
      <w:caps w:val="0"/>
      <w:sz w:val="36"/>
    </w:rPr>
  </w:style>
  <w:style w:type="table" w:customStyle="1" w:styleId="TableMOE4">
    <w:name w:val="Table MOE 4"/>
    <w:basedOn w:val="TableMOE3"/>
    <w:rsid w:val="004C1E7B"/>
    <w:tblPr>
      <w:tblInd w:w="28" w:type="dxa"/>
      <w:tblBorders>
        <w:top w:val="single" w:sz="4" w:space="0" w:color="7F7F7F"/>
        <w:left w:val="single" w:sz="4" w:space="0" w:color="7F7F7F"/>
        <w:bottom w:val="single" w:sz="4" w:space="0" w:color="7F7F7F"/>
        <w:right w:val="single" w:sz="4" w:space="0" w:color="7F7F7F"/>
        <w:insideH w:val="single" w:sz="4" w:space="0" w:color="7F7F7F"/>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Heading1A">
    <w:name w:val="Heading 1A"/>
    <w:basedOn w:val="Normal"/>
    <w:next w:val="BodyText"/>
    <w:rsid w:val="00A554F4"/>
    <w:pPr>
      <w:spacing w:after="240" w:line="260" w:lineRule="atLeast"/>
      <w:jc w:val="both"/>
    </w:pPr>
    <w:rPr>
      <w:rFonts w:ascii="Arial" w:hAnsi="Arial" w:cs="Arial"/>
      <w:color w:val="9A7735"/>
      <w:sz w:val="24"/>
    </w:rPr>
  </w:style>
  <w:style w:type="paragraph" w:customStyle="1" w:styleId="Heading1BnotinTOC">
    <w:name w:val="Heading 1B (not in TOC)"/>
    <w:basedOn w:val="Normal"/>
    <w:next w:val="BodyText"/>
    <w:rsid w:val="002628A3"/>
    <w:pPr>
      <w:spacing w:after="240" w:line="260" w:lineRule="atLeast"/>
      <w:jc w:val="both"/>
    </w:pPr>
    <w:rPr>
      <w:rFonts w:ascii="Arial" w:hAnsi="Arial"/>
      <w:color w:val="9A7735"/>
      <w:sz w:val="24"/>
    </w:rPr>
  </w:style>
  <w:style w:type="paragraph" w:customStyle="1" w:styleId="Heading2a">
    <w:name w:val="Heading 2a"/>
    <w:basedOn w:val="Normal"/>
    <w:next w:val="BodyText"/>
    <w:rsid w:val="00104B5D"/>
    <w:pPr>
      <w:keepNext/>
      <w:numPr>
        <w:ilvl w:val="2"/>
        <w:numId w:val="33"/>
      </w:numPr>
      <w:spacing w:before="240" w:after="240" w:line="260" w:lineRule="atLeast"/>
    </w:pPr>
    <w:rPr>
      <w:rFonts w:ascii="Arial" w:hAnsi="Arial"/>
      <w:sz w:val="24"/>
    </w:rPr>
  </w:style>
  <w:style w:type="paragraph" w:customStyle="1" w:styleId="AppendixSub">
    <w:name w:val="Appendix Sub"/>
    <w:basedOn w:val="Appendix"/>
    <w:next w:val="BodyText"/>
    <w:rsid w:val="000678A6"/>
    <w:pPr>
      <w:numPr>
        <w:ilvl w:val="1"/>
      </w:numPr>
      <w:pBdr>
        <w:bottom w:val="none" w:sz="0" w:space="0" w:color="auto"/>
      </w:pBdr>
      <w:spacing w:before="240" w:after="240" w:line="260" w:lineRule="atLeast"/>
    </w:pPr>
    <w:rPr>
      <w:caps w:val="0"/>
      <w:sz w:val="28"/>
    </w:rPr>
  </w:style>
  <w:style w:type="character" w:styleId="CommentReference">
    <w:name w:val="annotation reference"/>
    <w:basedOn w:val="DefaultParagraphFont"/>
    <w:rsid w:val="00086B44"/>
    <w:rPr>
      <w:sz w:val="16"/>
      <w:szCs w:val="16"/>
    </w:rPr>
  </w:style>
  <w:style w:type="paragraph" w:customStyle="1" w:styleId="TGbulletindent">
    <w:name w:val="*TG bullet indent"/>
    <w:basedOn w:val="Normal"/>
    <w:rsid w:val="00086B44"/>
    <w:pPr>
      <w:numPr>
        <w:numId w:val="46"/>
      </w:numPr>
      <w:spacing w:after="120"/>
    </w:pPr>
    <w:rPr>
      <w:rFonts w:ascii="Arial" w:hAnsi="Arial"/>
      <w:szCs w:val="20"/>
    </w:rPr>
  </w:style>
  <w:style w:type="paragraph" w:styleId="NormalWeb">
    <w:name w:val="Normal (Web)"/>
    <w:basedOn w:val="Normal"/>
    <w:uiPriority w:val="99"/>
    <w:unhideWhenUsed/>
    <w:rsid w:val="00086B44"/>
    <w:pPr>
      <w:spacing w:before="240" w:after="240"/>
    </w:pPr>
    <w:rPr>
      <w:sz w:val="24"/>
      <w:lang w:eastAsia="en-NZ"/>
    </w:rPr>
  </w:style>
  <w:style w:type="paragraph" w:styleId="ListParagraph">
    <w:name w:val="List Paragraph"/>
    <w:basedOn w:val="Normal"/>
    <w:uiPriority w:val="34"/>
    <w:qFormat/>
    <w:rsid w:val="00086B44"/>
    <w:pPr>
      <w:ind w:left="720"/>
      <w:contextualSpacing/>
    </w:pPr>
    <w:rPr>
      <w:rFonts w:ascii="Arial" w:hAnsi="Arial" w:cs="Arial"/>
      <w:color w:val="333333"/>
      <w:spacing w:val="15"/>
      <w:kern w:val="36"/>
      <w:sz w:val="24"/>
      <w:lang w:val="en-GB" w:eastAsia="en-GB"/>
    </w:rPr>
  </w:style>
  <w:style w:type="paragraph" w:styleId="CommentText">
    <w:name w:val="annotation text"/>
    <w:basedOn w:val="Normal"/>
    <w:link w:val="CommentTextChar"/>
    <w:uiPriority w:val="99"/>
    <w:rsid w:val="00086B44"/>
    <w:pPr>
      <w:spacing w:after="240"/>
    </w:pPr>
    <w:rPr>
      <w:rFonts w:ascii="Arial" w:hAnsi="Arial"/>
      <w:sz w:val="20"/>
      <w:szCs w:val="20"/>
      <w:lang w:val="en-GB"/>
    </w:rPr>
  </w:style>
  <w:style w:type="character" w:customStyle="1" w:styleId="CommentTextChar">
    <w:name w:val="Comment Text Char"/>
    <w:basedOn w:val="DefaultParagraphFont"/>
    <w:link w:val="CommentText"/>
    <w:uiPriority w:val="99"/>
    <w:rsid w:val="00086B44"/>
    <w:rPr>
      <w:rFonts w:ascii="Arial" w:hAnsi="Arial"/>
      <w:lang w:val="en-GB" w:eastAsia="en-US"/>
    </w:rPr>
  </w:style>
  <w:style w:type="paragraph" w:customStyle="1" w:styleId="Default">
    <w:name w:val="Default"/>
    <w:rsid w:val="00086B44"/>
    <w:pPr>
      <w:autoSpaceDE w:val="0"/>
      <w:autoSpaceDN w:val="0"/>
      <w:adjustRightInd w:val="0"/>
    </w:pPr>
    <w:rPr>
      <w:rFonts w:ascii="Arial" w:hAnsi="Arial" w:cs="Arial"/>
      <w:color w:val="000000"/>
      <w:spacing w:val="15"/>
      <w:sz w:val="24"/>
      <w:szCs w:val="24"/>
    </w:rPr>
  </w:style>
  <w:style w:type="paragraph" w:customStyle="1" w:styleId="TGHeading2">
    <w:name w:val="*TG Heading 2"/>
    <w:basedOn w:val="Normal"/>
    <w:next w:val="Normal"/>
    <w:rsid w:val="00086B44"/>
    <w:pPr>
      <w:keepNext/>
      <w:spacing w:before="120"/>
    </w:pPr>
    <w:rPr>
      <w:rFonts w:ascii="Arial" w:hAnsi="Arial"/>
      <w:b/>
      <w:bCs/>
      <w:szCs w:val="20"/>
    </w:rPr>
  </w:style>
  <w:style w:type="paragraph" w:styleId="CommentSubject">
    <w:name w:val="annotation subject"/>
    <w:basedOn w:val="CommentText"/>
    <w:next w:val="CommentText"/>
    <w:link w:val="CommentSubjectChar"/>
    <w:rsid w:val="00532571"/>
    <w:pPr>
      <w:spacing w:after="0"/>
    </w:pPr>
    <w:rPr>
      <w:rFonts w:ascii="Times New Roman" w:hAnsi="Times New Roman"/>
      <w:b/>
      <w:bCs/>
      <w:lang w:val="en-NZ"/>
    </w:rPr>
  </w:style>
  <w:style w:type="character" w:customStyle="1" w:styleId="CommentSubjectChar">
    <w:name w:val="Comment Subject Char"/>
    <w:basedOn w:val="CommentTextChar"/>
    <w:link w:val="CommentSubject"/>
    <w:rsid w:val="00532571"/>
    <w:rPr>
      <w:b/>
      <w:bCs/>
    </w:rPr>
  </w:style>
  <w:style w:type="character" w:customStyle="1" w:styleId="FootnoteTextChar">
    <w:name w:val="Footnote Text Char"/>
    <w:basedOn w:val="DefaultParagraphFont"/>
    <w:link w:val="FootnoteText"/>
    <w:rsid w:val="00AD6143"/>
    <w:rPr>
      <w:sz w:val="14"/>
      <w:lang w:eastAsia="en-US"/>
    </w:rPr>
  </w:style>
  <w:style w:type="character" w:customStyle="1" w:styleId="FooterChar">
    <w:name w:val="Footer Char"/>
    <w:basedOn w:val="DefaultParagraphFont"/>
    <w:link w:val="Footer"/>
    <w:uiPriority w:val="99"/>
    <w:rsid w:val="00683432"/>
    <w:rPr>
      <w:sz w:val="22"/>
      <w:szCs w:val="24"/>
      <w:lang w:eastAsia="en-US"/>
    </w:rPr>
  </w:style>
  <w:style w:type="character" w:customStyle="1" w:styleId="Heading3Char">
    <w:name w:val="Heading 3 Char"/>
    <w:basedOn w:val="DefaultParagraphFont"/>
    <w:link w:val="Heading3"/>
    <w:rsid w:val="00333713"/>
    <w:rPr>
      <w:rFonts w:ascii="Arial" w:hAnsi="Arial"/>
      <w:b/>
      <w:sz w:val="22"/>
      <w:szCs w:val="24"/>
      <w:lang w:eastAsia="en-US"/>
    </w:rPr>
  </w:style>
  <w:style w:type="paragraph" w:customStyle="1" w:styleId="TGfootnotetext">
    <w:name w:val="*TG footnote text"/>
    <w:basedOn w:val="FootnoteText"/>
    <w:link w:val="TGfootnotetextChar"/>
    <w:rsid w:val="00333713"/>
    <w:rPr>
      <w:rFonts w:ascii="Arial" w:hAnsi="Arial"/>
      <w:sz w:val="20"/>
    </w:rPr>
  </w:style>
  <w:style w:type="character" w:customStyle="1" w:styleId="TGfootnotetextChar">
    <w:name w:val="*TG footnote text Char"/>
    <w:link w:val="TGfootnotetext"/>
    <w:rsid w:val="00333713"/>
    <w:rPr>
      <w:rFonts w:ascii="Arial" w:hAnsi="Arial"/>
      <w:lang w:eastAsia="en-US"/>
    </w:rPr>
  </w:style>
  <w:style w:type="character" w:customStyle="1" w:styleId="Heading2Char">
    <w:name w:val="Heading 2 Char"/>
    <w:basedOn w:val="DefaultParagraphFont"/>
    <w:link w:val="Heading2"/>
    <w:rsid w:val="00653F9F"/>
    <w:rPr>
      <w:rFonts w:ascii="Arial" w:hAnsi="Arial"/>
      <w:sz w:val="28"/>
      <w:szCs w:val="28"/>
      <w:lang w:eastAsia="en-US"/>
    </w:rPr>
  </w:style>
  <w:style w:type="character" w:customStyle="1" w:styleId="BodyTextChar">
    <w:name w:val="Body Text Char"/>
    <w:basedOn w:val="DefaultParagraphFont"/>
    <w:link w:val="BodyText"/>
    <w:rsid w:val="00653F9F"/>
    <w:rPr>
      <w:sz w:val="22"/>
      <w:lang w:eastAsia="en-US"/>
    </w:rPr>
  </w:style>
  <w:style w:type="character" w:styleId="FollowedHyperlink">
    <w:name w:val="FollowedHyperlink"/>
    <w:basedOn w:val="DefaultParagraphFont"/>
    <w:rsid w:val="00E9635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84109609">
      <w:bodyDiv w:val="1"/>
      <w:marLeft w:val="0"/>
      <w:marRight w:val="0"/>
      <w:marTop w:val="0"/>
      <w:marBottom w:val="0"/>
      <w:divBdr>
        <w:top w:val="none" w:sz="0" w:space="0" w:color="auto"/>
        <w:left w:val="none" w:sz="0" w:space="0" w:color="auto"/>
        <w:bottom w:val="none" w:sz="0" w:space="0" w:color="auto"/>
        <w:right w:val="none" w:sz="0" w:space="0" w:color="auto"/>
      </w:divBdr>
    </w:div>
    <w:div w:id="1453013419">
      <w:bodyDiv w:val="1"/>
      <w:marLeft w:val="0"/>
      <w:marRight w:val="0"/>
      <w:marTop w:val="0"/>
      <w:marBottom w:val="0"/>
      <w:divBdr>
        <w:top w:val="none" w:sz="0" w:space="0" w:color="auto"/>
        <w:left w:val="none" w:sz="0" w:space="0" w:color="auto"/>
        <w:bottom w:val="none" w:sz="0" w:space="0" w:color="auto"/>
        <w:right w:val="none" w:sz="0" w:space="0" w:color="auto"/>
      </w:divBdr>
    </w:div>
    <w:div w:id="1651909289">
      <w:bodyDiv w:val="1"/>
      <w:marLeft w:val="0"/>
      <w:marRight w:val="0"/>
      <w:marTop w:val="0"/>
      <w:marBottom w:val="0"/>
      <w:divBdr>
        <w:top w:val="none" w:sz="0" w:space="0" w:color="auto"/>
        <w:left w:val="none" w:sz="0" w:space="0" w:color="auto"/>
        <w:bottom w:val="none" w:sz="0" w:space="0" w:color="auto"/>
        <w:right w:val="none" w:sz="0" w:space="0" w:color="auto"/>
      </w:divBdr>
    </w:div>
    <w:div w:id="1867402493">
      <w:bodyDiv w:val="1"/>
      <w:marLeft w:val="0"/>
      <w:marRight w:val="0"/>
      <w:marTop w:val="0"/>
      <w:marBottom w:val="0"/>
      <w:divBdr>
        <w:top w:val="none" w:sz="0" w:space="0" w:color="auto"/>
        <w:left w:val="none" w:sz="0" w:space="0" w:color="auto"/>
        <w:bottom w:val="none" w:sz="0" w:space="0" w:color="auto"/>
        <w:right w:val="none" w:sz="0" w:space="0" w:color="auto"/>
      </w:divBdr>
      <w:divsChild>
        <w:div w:id="151533361">
          <w:marLeft w:val="0"/>
          <w:marRight w:val="0"/>
          <w:marTop w:val="0"/>
          <w:marBottom w:val="0"/>
          <w:divBdr>
            <w:top w:val="none" w:sz="0" w:space="0" w:color="auto"/>
            <w:left w:val="none" w:sz="0" w:space="0" w:color="auto"/>
            <w:bottom w:val="none" w:sz="0" w:space="0" w:color="auto"/>
            <w:right w:val="none" w:sz="0" w:space="0" w:color="auto"/>
          </w:divBdr>
        </w:div>
        <w:div w:id="627779753">
          <w:marLeft w:val="0"/>
          <w:marRight w:val="0"/>
          <w:marTop w:val="0"/>
          <w:marBottom w:val="0"/>
          <w:divBdr>
            <w:top w:val="none" w:sz="0" w:space="0" w:color="auto"/>
            <w:left w:val="none" w:sz="0" w:space="0" w:color="auto"/>
            <w:bottom w:val="none" w:sz="0" w:space="0" w:color="auto"/>
            <w:right w:val="none" w:sz="0" w:space="0" w:color="auto"/>
          </w:divBdr>
        </w:div>
        <w:div w:id="1903131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hyperlink" Target="http://dol.govt.nz/publications/research/who-left/" TargetMode="External"/><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image" Target="media/image45.emf"/><Relationship Id="rId68" Type="http://schemas.openxmlformats.org/officeDocument/2006/relationships/image" Target="media/image50.emf"/><Relationship Id="rId76" Type="http://schemas.openxmlformats.org/officeDocument/2006/relationships/footer" Target="footer7.xml"/><Relationship Id="rId84" Type="http://schemas.openxmlformats.org/officeDocument/2006/relationships/hyperlink" Target="http://www.stats.govt.nz/" TargetMode="External"/><Relationship Id="rId89" Type="http://schemas.openxmlformats.org/officeDocument/2006/relationships/hyperlink" Target="http://www.dol.govt.nz/publication-view.asp?ID=441"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emf"/><Relationship Id="rId92" Type="http://schemas.openxmlformats.org/officeDocument/2006/relationships/hyperlink" Target="http://www.educationcounts.govt.nz/publications/tertiary_education/going-abroad-what-do-we-know-about-people-going-overseas-after-tertiary-study" TargetMode="Externa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1.emf"/><Relationship Id="rId11" Type="http://schemas.openxmlformats.org/officeDocument/2006/relationships/hyperlink" Target="http://www.educationcounts.govt.nz/" TargetMode="Externa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png"/><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8.emf"/><Relationship Id="rId74" Type="http://schemas.openxmlformats.org/officeDocument/2006/relationships/header" Target="header3.xml"/><Relationship Id="rId79" Type="http://schemas.openxmlformats.org/officeDocument/2006/relationships/image" Target="media/image56.emf"/><Relationship Id="rId87" Type="http://schemas.openxmlformats.org/officeDocument/2006/relationships/image" Target="media/image62.emf"/><Relationship Id="rId5" Type="http://schemas.openxmlformats.org/officeDocument/2006/relationships/webSettings" Target="webSettings.xml"/><Relationship Id="rId61" Type="http://schemas.openxmlformats.org/officeDocument/2006/relationships/image" Target="media/image43.emf"/><Relationship Id="rId82" Type="http://schemas.openxmlformats.org/officeDocument/2006/relationships/image" Target="media/image59.emf"/><Relationship Id="rId90" Type="http://schemas.openxmlformats.org/officeDocument/2006/relationships/hyperlink" Target="http://www.educationcounts.govt.nz/publications/tertiary_education/looking-at-the-employment-outcomes-of-tertiary-education" TargetMode="External"/><Relationship Id="rId95" Type="http://schemas.openxmlformats.org/officeDocument/2006/relationships/footer" Target="footer9.xml"/><Relationship Id="rId19" Type="http://schemas.openxmlformats.org/officeDocument/2006/relationships/image" Target="media/image3.emf"/><Relationship Id="rId14" Type="http://schemas.openxmlformats.org/officeDocument/2006/relationships/footer" Target="footer4.xml"/><Relationship Id="rId22" Type="http://schemas.openxmlformats.org/officeDocument/2006/relationships/hyperlink" Target="http://www.educationcounts.govt.nz/publications/tertiary_education/going-abroad-what-do-we-know-about-people-going-overseas-after-tertiary-study" TargetMode="Externa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footer" Target="footer8.xml"/><Relationship Id="rId8" Type="http://schemas.openxmlformats.org/officeDocument/2006/relationships/header" Target="header1.xml"/><Relationship Id="rId51" Type="http://schemas.openxmlformats.org/officeDocument/2006/relationships/image" Target="media/image33.emf"/><Relationship Id="rId72" Type="http://schemas.openxmlformats.org/officeDocument/2006/relationships/image" Target="media/image54.emf"/><Relationship Id="rId80" Type="http://schemas.openxmlformats.org/officeDocument/2006/relationships/image" Target="media/image57.emf"/><Relationship Id="rId85" Type="http://schemas.openxmlformats.org/officeDocument/2006/relationships/image" Target="media/image60.emf"/><Relationship Id="rId93" Type="http://schemas.openxmlformats.org/officeDocument/2006/relationships/header" Target="header6.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9.emf"/><Relationship Id="rId20" Type="http://schemas.openxmlformats.org/officeDocument/2006/relationships/image" Target="media/image4.emf"/><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header" Target="header4.xml"/><Relationship Id="rId83" Type="http://schemas.openxmlformats.org/officeDocument/2006/relationships/hyperlink" Target="http://www.stats.govt.nz/browse_for_stats/snapshots-of-nz/integrated-data-infrastructure/privacy-impact-assessment-for-the-idi.aspx" TargetMode="External"/><Relationship Id="rId88" Type="http://schemas.openxmlformats.org/officeDocument/2006/relationships/image" Target="media/image63.emf"/><Relationship Id="rId91" Type="http://schemas.openxmlformats.org/officeDocument/2006/relationships/hyperlink" Target="http://www.educationcounts.govt.nz/publications/80898/146542" TargetMode="External"/><Relationship Id="rId96"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ducationcounts.govt.nz/" TargetMode="Externa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png"/><Relationship Id="rId78" Type="http://schemas.openxmlformats.org/officeDocument/2006/relationships/header" Target="header5.xml"/><Relationship Id="rId81" Type="http://schemas.openxmlformats.org/officeDocument/2006/relationships/image" Target="media/image58.emf"/><Relationship Id="rId86" Type="http://schemas.openxmlformats.org/officeDocument/2006/relationships/image" Target="media/image61.emf"/><Relationship Id="rId9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2.emf"/><Relationship Id="rId39" Type="http://schemas.openxmlformats.org/officeDocument/2006/relationships/image" Target="media/image21.emf"/></Relationships>
</file>

<file path=word/_rels/footnotes.xml.rels><?xml version="1.0" encoding="UTF-8" standalone="yes"?>
<Relationships xmlns="http://schemas.openxmlformats.org/package/2006/relationships"><Relationship Id="rId1" Type="http://schemas.openxmlformats.org/officeDocument/2006/relationships/hyperlink" Target="http://www.educationcounts.govt.nz/data-services/collecting-information/code_sets/new_zealand_standard_classification_of_education_nzsc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64.jpeg"/></Relationships>
</file>

<file path=word/_rels/header7.xml.rels><?xml version="1.0" encoding="UTF-8" standalone="yes"?>
<Relationships xmlns="http://schemas.openxmlformats.org/package/2006/relationships"><Relationship Id="rId1" Type="http://schemas.openxmlformats.org/officeDocument/2006/relationships/image" Target="media/image6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CD0432-080C-45F0-A2C6-98778F57D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11374</Words>
  <Characters>64247</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Report</vt:lpstr>
    </vt:vector>
  </TitlesOfParts>
  <Company>Ministry of Education</Company>
  <LinksUpToDate>false</LinksUpToDate>
  <CharactersWithSpaces>75471</CharactersWithSpaces>
  <SharedDoc>false</SharedDoc>
  <HLinks>
    <vt:vector size="138" baseType="variant">
      <vt:variant>
        <vt:i4>1900596</vt:i4>
      </vt:variant>
      <vt:variant>
        <vt:i4>140</vt:i4>
      </vt:variant>
      <vt:variant>
        <vt:i4>0</vt:i4>
      </vt:variant>
      <vt:variant>
        <vt:i4>5</vt:i4>
      </vt:variant>
      <vt:variant>
        <vt:lpwstr/>
      </vt:variant>
      <vt:variant>
        <vt:lpwstr>_Toc229990610</vt:lpwstr>
      </vt:variant>
      <vt:variant>
        <vt:i4>1835060</vt:i4>
      </vt:variant>
      <vt:variant>
        <vt:i4>134</vt:i4>
      </vt:variant>
      <vt:variant>
        <vt:i4>0</vt:i4>
      </vt:variant>
      <vt:variant>
        <vt:i4>5</vt:i4>
      </vt:variant>
      <vt:variant>
        <vt:lpwstr/>
      </vt:variant>
      <vt:variant>
        <vt:lpwstr>_Toc229990609</vt:lpwstr>
      </vt:variant>
      <vt:variant>
        <vt:i4>1835060</vt:i4>
      </vt:variant>
      <vt:variant>
        <vt:i4>128</vt:i4>
      </vt:variant>
      <vt:variant>
        <vt:i4>0</vt:i4>
      </vt:variant>
      <vt:variant>
        <vt:i4>5</vt:i4>
      </vt:variant>
      <vt:variant>
        <vt:lpwstr/>
      </vt:variant>
      <vt:variant>
        <vt:lpwstr>_Toc229990608</vt:lpwstr>
      </vt:variant>
      <vt:variant>
        <vt:i4>1835060</vt:i4>
      </vt:variant>
      <vt:variant>
        <vt:i4>122</vt:i4>
      </vt:variant>
      <vt:variant>
        <vt:i4>0</vt:i4>
      </vt:variant>
      <vt:variant>
        <vt:i4>5</vt:i4>
      </vt:variant>
      <vt:variant>
        <vt:lpwstr/>
      </vt:variant>
      <vt:variant>
        <vt:lpwstr>_Toc229990607</vt:lpwstr>
      </vt:variant>
      <vt:variant>
        <vt:i4>1835060</vt:i4>
      </vt:variant>
      <vt:variant>
        <vt:i4>116</vt:i4>
      </vt:variant>
      <vt:variant>
        <vt:i4>0</vt:i4>
      </vt:variant>
      <vt:variant>
        <vt:i4>5</vt:i4>
      </vt:variant>
      <vt:variant>
        <vt:lpwstr/>
      </vt:variant>
      <vt:variant>
        <vt:lpwstr>_Toc229990606</vt:lpwstr>
      </vt:variant>
      <vt:variant>
        <vt:i4>1376311</vt:i4>
      </vt:variant>
      <vt:variant>
        <vt:i4>107</vt:i4>
      </vt:variant>
      <vt:variant>
        <vt:i4>0</vt:i4>
      </vt:variant>
      <vt:variant>
        <vt:i4>5</vt:i4>
      </vt:variant>
      <vt:variant>
        <vt:lpwstr/>
      </vt:variant>
      <vt:variant>
        <vt:lpwstr>_Toc229990596</vt:lpwstr>
      </vt:variant>
      <vt:variant>
        <vt:i4>1310775</vt:i4>
      </vt:variant>
      <vt:variant>
        <vt:i4>98</vt:i4>
      </vt:variant>
      <vt:variant>
        <vt:i4>0</vt:i4>
      </vt:variant>
      <vt:variant>
        <vt:i4>5</vt:i4>
      </vt:variant>
      <vt:variant>
        <vt:lpwstr/>
      </vt:variant>
      <vt:variant>
        <vt:lpwstr>_Toc229990589</vt:lpwstr>
      </vt:variant>
      <vt:variant>
        <vt:i4>1310775</vt:i4>
      </vt:variant>
      <vt:variant>
        <vt:i4>92</vt:i4>
      </vt:variant>
      <vt:variant>
        <vt:i4>0</vt:i4>
      </vt:variant>
      <vt:variant>
        <vt:i4>5</vt:i4>
      </vt:variant>
      <vt:variant>
        <vt:lpwstr/>
      </vt:variant>
      <vt:variant>
        <vt:lpwstr>_Toc229990588</vt:lpwstr>
      </vt:variant>
      <vt:variant>
        <vt:i4>1310775</vt:i4>
      </vt:variant>
      <vt:variant>
        <vt:i4>86</vt:i4>
      </vt:variant>
      <vt:variant>
        <vt:i4>0</vt:i4>
      </vt:variant>
      <vt:variant>
        <vt:i4>5</vt:i4>
      </vt:variant>
      <vt:variant>
        <vt:lpwstr/>
      </vt:variant>
      <vt:variant>
        <vt:lpwstr>_Toc229990587</vt:lpwstr>
      </vt:variant>
      <vt:variant>
        <vt:i4>1310775</vt:i4>
      </vt:variant>
      <vt:variant>
        <vt:i4>80</vt:i4>
      </vt:variant>
      <vt:variant>
        <vt:i4>0</vt:i4>
      </vt:variant>
      <vt:variant>
        <vt:i4>5</vt:i4>
      </vt:variant>
      <vt:variant>
        <vt:lpwstr/>
      </vt:variant>
      <vt:variant>
        <vt:lpwstr>_Toc229990586</vt:lpwstr>
      </vt:variant>
      <vt:variant>
        <vt:i4>1310775</vt:i4>
      </vt:variant>
      <vt:variant>
        <vt:i4>74</vt:i4>
      </vt:variant>
      <vt:variant>
        <vt:i4>0</vt:i4>
      </vt:variant>
      <vt:variant>
        <vt:i4>5</vt:i4>
      </vt:variant>
      <vt:variant>
        <vt:lpwstr/>
      </vt:variant>
      <vt:variant>
        <vt:lpwstr>_Toc229990585</vt:lpwstr>
      </vt:variant>
      <vt:variant>
        <vt:i4>1310775</vt:i4>
      </vt:variant>
      <vt:variant>
        <vt:i4>68</vt:i4>
      </vt:variant>
      <vt:variant>
        <vt:i4>0</vt:i4>
      </vt:variant>
      <vt:variant>
        <vt:i4>5</vt:i4>
      </vt:variant>
      <vt:variant>
        <vt:lpwstr/>
      </vt:variant>
      <vt:variant>
        <vt:lpwstr>_Toc229990584</vt:lpwstr>
      </vt:variant>
      <vt:variant>
        <vt:i4>1310775</vt:i4>
      </vt:variant>
      <vt:variant>
        <vt:i4>62</vt:i4>
      </vt:variant>
      <vt:variant>
        <vt:i4>0</vt:i4>
      </vt:variant>
      <vt:variant>
        <vt:i4>5</vt:i4>
      </vt:variant>
      <vt:variant>
        <vt:lpwstr/>
      </vt:variant>
      <vt:variant>
        <vt:lpwstr>_Toc229990583</vt:lpwstr>
      </vt:variant>
      <vt:variant>
        <vt:i4>1310775</vt:i4>
      </vt:variant>
      <vt:variant>
        <vt:i4>56</vt:i4>
      </vt:variant>
      <vt:variant>
        <vt:i4>0</vt:i4>
      </vt:variant>
      <vt:variant>
        <vt:i4>5</vt:i4>
      </vt:variant>
      <vt:variant>
        <vt:lpwstr/>
      </vt:variant>
      <vt:variant>
        <vt:lpwstr>_Toc229990582</vt:lpwstr>
      </vt:variant>
      <vt:variant>
        <vt:i4>1310775</vt:i4>
      </vt:variant>
      <vt:variant>
        <vt:i4>50</vt:i4>
      </vt:variant>
      <vt:variant>
        <vt:i4>0</vt:i4>
      </vt:variant>
      <vt:variant>
        <vt:i4>5</vt:i4>
      </vt:variant>
      <vt:variant>
        <vt:lpwstr/>
      </vt:variant>
      <vt:variant>
        <vt:lpwstr>_Toc229990581</vt:lpwstr>
      </vt:variant>
      <vt:variant>
        <vt:i4>1310775</vt:i4>
      </vt:variant>
      <vt:variant>
        <vt:i4>44</vt:i4>
      </vt:variant>
      <vt:variant>
        <vt:i4>0</vt:i4>
      </vt:variant>
      <vt:variant>
        <vt:i4>5</vt:i4>
      </vt:variant>
      <vt:variant>
        <vt:lpwstr/>
      </vt:variant>
      <vt:variant>
        <vt:lpwstr>_Toc229990580</vt:lpwstr>
      </vt:variant>
      <vt:variant>
        <vt:i4>1769527</vt:i4>
      </vt:variant>
      <vt:variant>
        <vt:i4>38</vt:i4>
      </vt:variant>
      <vt:variant>
        <vt:i4>0</vt:i4>
      </vt:variant>
      <vt:variant>
        <vt:i4>5</vt:i4>
      </vt:variant>
      <vt:variant>
        <vt:lpwstr/>
      </vt:variant>
      <vt:variant>
        <vt:lpwstr>_Toc229990579</vt:lpwstr>
      </vt:variant>
      <vt:variant>
        <vt:i4>1769527</vt:i4>
      </vt:variant>
      <vt:variant>
        <vt:i4>32</vt:i4>
      </vt:variant>
      <vt:variant>
        <vt:i4>0</vt:i4>
      </vt:variant>
      <vt:variant>
        <vt:i4>5</vt:i4>
      </vt:variant>
      <vt:variant>
        <vt:lpwstr/>
      </vt:variant>
      <vt:variant>
        <vt:lpwstr>_Toc229990578</vt:lpwstr>
      </vt:variant>
      <vt:variant>
        <vt:i4>1769527</vt:i4>
      </vt:variant>
      <vt:variant>
        <vt:i4>26</vt:i4>
      </vt:variant>
      <vt:variant>
        <vt:i4>0</vt:i4>
      </vt:variant>
      <vt:variant>
        <vt:i4>5</vt:i4>
      </vt:variant>
      <vt:variant>
        <vt:lpwstr/>
      </vt:variant>
      <vt:variant>
        <vt:lpwstr>_Toc229990577</vt:lpwstr>
      </vt:variant>
      <vt:variant>
        <vt:i4>1769527</vt:i4>
      </vt:variant>
      <vt:variant>
        <vt:i4>20</vt:i4>
      </vt:variant>
      <vt:variant>
        <vt:i4>0</vt:i4>
      </vt:variant>
      <vt:variant>
        <vt:i4>5</vt:i4>
      </vt:variant>
      <vt:variant>
        <vt:lpwstr/>
      </vt:variant>
      <vt:variant>
        <vt:lpwstr>_Toc229990576</vt:lpwstr>
      </vt:variant>
      <vt:variant>
        <vt:i4>1769527</vt:i4>
      </vt:variant>
      <vt:variant>
        <vt:i4>14</vt:i4>
      </vt:variant>
      <vt:variant>
        <vt:i4>0</vt:i4>
      </vt:variant>
      <vt:variant>
        <vt:i4>5</vt:i4>
      </vt:variant>
      <vt:variant>
        <vt:lpwstr/>
      </vt:variant>
      <vt:variant>
        <vt:lpwstr>_Toc229990575</vt:lpwstr>
      </vt:variant>
      <vt:variant>
        <vt:i4>1769527</vt:i4>
      </vt:variant>
      <vt:variant>
        <vt:i4>8</vt:i4>
      </vt:variant>
      <vt:variant>
        <vt:i4>0</vt:i4>
      </vt:variant>
      <vt:variant>
        <vt:i4>5</vt:i4>
      </vt:variant>
      <vt:variant>
        <vt:lpwstr/>
      </vt:variant>
      <vt:variant>
        <vt:lpwstr>_Toc229990574</vt:lpwstr>
      </vt:variant>
      <vt:variant>
        <vt:i4>6946933</vt:i4>
      </vt:variant>
      <vt:variant>
        <vt:i4>0</vt:i4>
      </vt:variant>
      <vt:variant>
        <vt:i4>0</vt:i4>
      </vt:variant>
      <vt:variant>
        <vt:i4>5</vt:i4>
      </vt:variant>
      <vt:variant>
        <vt:lpwstr>http://www.educationcounts.govt.nz/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Roger Smyth</dc:creator>
  <dc:description>Developed by Airplane Studios/Edocs</dc:description>
  <cp:lastModifiedBy>Louise Howie</cp:lastModifiedBy>
  <cp:revision>2</cp:revision>
  <cp:lastPrinted>2014-05-05T04:17:00Z</cp:lastPrinted>
  <dcterms:created xsi:type="dcterms:W3CDTF">2014-06-30T20:19:00Z</dcterms:created>
  <dcterms:modified xsi:type="dcterms:W3CDTF">2014-06-30T20:19:00Z</dcterms:modified>
</cp:coreProperties>
</file>