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66" w:rsidRPr="00A0628E" w:rsidRDefault="00AD33C4" w:rsidP="00A0628E">
      <w:pPr>
        <w:pStyle w:val="Title"/>
      </w:pPr>
      <w:bookmarkStart w:id="0" w:name="ReportTitle"/>
      <w:r>
        <w:t>Measures of Adult Literacy and Numeracy</w:t>
      </w:r>
      <w:bookmarkEnd w:id="0"/>
      <w:r w:rsidR="00151377">
        <w:rPr>
          <w:noProof/>
          <w:lang w:eastAsia="en-NZ"/>
        </w:rPr>
        <w:drawing>
          <wp:anchor distT="0" distB="0" distL="114300" distR="114300" simplePos="0" relativeHeight="251657728" behindDoc="0" locked="0" layoutInCell="1" allowOverlap="1">
            <wp:simplePos x="0" y="0"/>
            <wp:positionH relativeFrom="column">
              <wp:posOffset>-737235</wp:posOffset>
            </wp:positionH>
            <wp:positionV relativeFrom="paragraph">
              <wp:posOffset>9324975</wp:posOffset>
            </wp:positionV>
            <wp:extent cx="1263650" cy="129540"/>
            <wp:effectExtent l="19050" t="0" r="0" b="0"/>
            <wp:wrapNone/>
            <wp:docPr id="12" name="Picture 12" descr="newzealand-government-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zealand-government-rev"/>
                    <pic:cNvPicPr>
                      <a:picLocks noChangeAspect="1" noChangeArrowheads="1"/>
                    </pic:cNvPicPr>
                  </pic:nvPicPr>
                  <pic:blipFill>
                    <a:blip r:embed="rId9" cstate="print"/>
                    <a:srcRect/>
                    <a:stretch>
                      <a:fillRect/>
                    </a:stretch>
                  </pic:blipFill>
                  <pic:spPr bwMode="auto">
                    <a:xfrm>
                      <a:off x="0" y="0"/>
                      <a:ext cx="1263650" cy="129540"/>
                    </a:xfrm>
                    <a:prstGeom prst="rect">
                      <a:avLst/>
                    </a:prstGeom>
                    <a:noFill/>
                    <a:ln w="9525">
                      <a:noFill/>
                      <a:miter lim="800000"/>
                      <a:headEnd/>
                      <a:tailEnd/>
                    </a:ln>
                  </pic:spPr>
                </pic:pic>
              </a:graphicData>
            </a:graphic>
          </wp:anchor>
        </w:drawing>
      </w:r>
    </w:p>
    <w:p w:rsidR="00AF0321" w:rsidRPr="00AD33C4" w:rsidRDefault="00AD33C4" w:rsidP="00AD33C4">
      <w:pPr>
        <w:pStyle w:val="Titlesub"/>
        <w:ind w:left="1418"/>
        <w:rPr>
          <w:sz w:val="36"/>
          <w:szCs w:val="36"/>
        </w:rPr>
      </w:pPr>
      <w:r w:rsidRPr="00AD33C4">
        <w:rPr>
          <w:sz w:val="36"/>
          <w:szCs w:val="36"/>
        </w:rPr>
        <w:t xml:space="preserve">Comparing the Adult Literacy and Life Skills Survey and </w:t>
      </w:r>
      <w:r w:rsidR="00B32F64">
        <w:rPr>
          <w:sz w:val="36"/>
          <w:szCs w:val="36"/>
        </w:rPr>
        <w:t xml:space="preserve">the </w:t>
      </w:r>
      <w:r w:rsidRPr="00AD33C4">
        <w:rPr>
          <w:sz w:val="36"/>
          <w:szCs w:val="36"/>
        </w:rPr>
        <w:t>Literacy and Numeracy for Adults Assessment Tool</w:t>
      </w:r>
    </w:p>
    <w:p w:rsidR="00ED68DB" w:rsidRPr="000045D2" w:rsidRDefault="00ED68DB" w:rsidP="002F7F68"/>
    <w:p w:rsidR="002F7F68" w:rsidRDefault="002F7F68" w:rsidP="00B675AF">
      <w:pPr>
        <w:sectPr w:rsidR="002F7F68" w:rsidSect="001E592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041" w:right="624" w:bottom="3774" w:left="1701" w:header="709" w:footer="709" w:gutter="0"/>
          <w:pgNumType w:start="1"/>
          <w:cols w:space="708"/>
          <w:vAlign w:val="bottom"/>
          <w:docGrid w:linePitch="360"/>
        </w:sectPr>
      </w:pPr>
    </w:p>
    <w:p w:rsidR="00642831" w:rsidRPr="00642831" w:rsidRDefault="00642831" w:rsidP="00B675AF">
      <w:pPr>
        <w:pStyle w:val="Insidecover"/>
        <w:spacing w:before="200"/>
      </w:pPr>
      <w:r w:rsidRPr="00642831">
        <w:lastRenderedPageBreak/>
        <w:t xml:space="preserve">The </w:t>
      </w:r>
      <w:r>
        <w:t>Tertiary Education Occasional Papers provide short reports on research, analysis and statistics relating to tertiary education in New Zealand. These papers include short original works and summaries of published research and analysis.</w:t>
      </w:r>
    </w:p>
    <w:p w:rsidR="004D1E17" w:rsidRDefault="00ED68DB" w:rsidP="00B675AF">
      <w:pPr>
        <w:pStyle w:val="Insidecover"/>
        <w:spacing w:before="200"/>
      </w:pPr>
      <w:r w:rsidRPr="006511DE">
        <w:rPr>
          <w:b/>
        </w:rPr>
        <w:t>Author</w:t>
      </w:r>
    </w:p>
    <w:p w:rsidR="004D1E17" w:rsidRDefault="001324FC" w:rsidP="004D1E17">
      <w:pPr>
        <w:pStyle w:val="Insidecover"/>
      </w:pPr>
      <w:r>
        <w:t>David Earle</w:t>
      </w:r>
      <w:r w:rsidR="00ED68DB" w:rsidRPr="006511DE">
        <w:t xml:space="preserve">, </w:t>
      </w:r>
      <w:r>
        <w:t>Chief Research Analyst</w:t>
      </w:r>
    </w:p>
    <w:p w:rsidR="004D1E17" w:rsidRPr="008C48F6" w:rsidRDefault="00ED68DB" w:rsidP="004D1E17">
      <w:pPr>
        <w:pStyle w:val="Insidecover"/>
        <w:rPr>
          <w:lang w:val="en-GB"/>
        </w:rPr>
      </w:pPr>
      <w:r w:rsidRPr="008C48F6">
        <w:rPr>
          <w:lang w:val="en-GB"/>
        </w:rPr>
        <w:t xml:space="preserve">Email: </w:t>
      </w:r>
      <w:r w:rsidR="001324FC">
        <w:rPr>
          <w:lang w:val="en-GB"/>
        </w:rPr>
        <w:t>david.ear</w:t>
      </w:r>
      <w:r w:rsidR="00A53F48">
        <w:rPr>
          <w:lang w:val="en-GB"/>
        </w:rPr>
        <w:t>l</w:t>
      </w:r>
      <w:r w:rsidR="001324FC">
        <w:rPr>
          <w:lang w:val="en-GB"/>
        </w:rPr>
        <w:t>e</w:t>
      </w:r>
      <w:r w:rsidRPr="008C48F6">
        <w:rPr>
          <w:lang w:val="en-GB"/>
        </w:rPr>
        <w:t>@minedu.govt.nz</w:t>
      </w:r>
      <w:r w:rsidR="004D1E17" w:rsidRPr="008C48F6">
        <w:rPr>
          <w:lang w:val="en-GB"/>
        </w:rPr>
        <w:t xml:space="preserve">   </w:t>
      </w:r>
    </w:p>
    <w:p w:rsidR="004D1E17" w:rsidRDefault="00ED68DB" w:rsidP="00B675AF">
      <w:pPr>
        <w:pStyle w:val="Insidecover"/>
        <w:spacing w:before="200"/>
      </w:pPr>
      <w:r w:rsidRPr="006511DE">
        <w:rPr>
          <w:b/>
        </w:rPr>
        <w:t>Acknowledgements</w:t>
      </w:r>
    </w:p>
    <w:p w:rsidR="00ED68DB" w:rsidRPr="006511DE" w:rsidRDefault="00ED68DB" w:rsidP="004D1E17">
      <w:pPr>
        <w:pStyle w:val="Insidecover"/>
      </w:pPr>
      <w:r w:rsidRPr="006511DE">
        <w:t xml:space="preserve">The author gratefully acknowledges comments provided by </w:t>
      </w:r>
      <w:r w:rsidR="00AD33C4">
        <w:t>Chris Lane</w:t>
      </w:r>
      <w:r w:rsidR="00763520">
        <w:t xml:space="preserve"> and Paul Satherley (Ministry of Education), El</w:t>
      </w:r>
      <w:r w:rsidR="00B32F64">
        <w:t>l</w:t>
      </w:r>
      <w:r w:rsidR="00763520">
        <w:t>iot Lawes (New Zealand Council for Educational Research) and Gill Thomas (Maths Technology Ltd)</w:t>
      </w:r>
      <w:r w:rsidRPr="006511DE">
        <w:t xml:space="preserve">.  </w:t>
      </w:r>
    </w:p>
    <w:p w:rsidR="00ED68DB" w:rsidRPr="006511DE" w:rsidRDefault="00ED68DB" w:rsidP="00B675AF">
      <w:pPr>
        <w:pStyle w:val="Insidecover"/>
        <w:spacing w:before="200"/>
      </w:pPr>
      <w:r w:rsidRPr="006511DE">
        <w:t xml:space="preserve">All views expressed in this </w:t>
      </w:r>
      <w:r w:rsidR="00A0628E">
        <w:t>paper</w:t>
      </w:r>
      <w:r w:rsidRPr="006511DE">
        <w:t>, and any remaining errors or omissions, remain the responsibility of the author.</w:t>
      </w:r>
    </w:p>
    <w:p w:rsidR="0087238B" w:rsidRDefault="0087238B" w:rsidP="0087238B">
      <w:pPr>
        <w:pStyle w:val="Insidecover"/>
        <w:spacing w:before="200"/>
      </w:pPr>
      <w:r>
        <w:rPr>
          <w:b/>
        </w:rPr>
        <w:t>Published by</w:t>
      </w:r>
    </w:p>
    <w:p w:rsidR="0087238B" w:rsidRDefault="0087238B" w:rsidP="0087238B">
      <w:pPr>
        <w:pStyle w:val="Insidecover"/>
      </w:pPr>
      <w:r>
        <w:t>Tertiary Sector Performance Analysis</w:t>
      </w:r>
    </w:p>
    <w:p w:rsidR="0087238B" w:rsidRDefault="00B32F64" w:rsidP="0087238B">
      <w:pPr>
        <w:pStyle w:val="Insidecover"/>
      </w:pPr>
      <w:r>
        <w:t>Graduate Achievement, Vocations and Careers</w:t>
      </w:r>
    </w:p>
    <w:p w:rsidR="0087238B" w:rsidRDefault="0087238B" w:rsidP="0087238B">
      <w:pPr>
        <w:pStyle w:val="Insidecover"/>
      </w:pPr>
      <w:r>
        <w:t>MINISTRY OF EDUCATION</w:t>
      </w:r>
    </w:p>
    <w:p w:rsidR="0087238B" w:rsidRDefault="0087238B" w:rsidP="0087238B">
      <w:pPr>
        <w:pStyle w:val="Insidecover"/>
        <w:spacing w:before="200"/>
      </w:pPr>
      <w:r>
        <w:t>© Crown Copyright</w:t>
      </w:r>
    </w:p>
    <w:p w:rsidR="0087238B" w:rsidRDefault="0087238B" w:rsidP="0087238B">
      <w:pPr>
        <w:autoSpaceDE w:val="0"/>
        <w:autoSpaceDN w:val="0"/>
        <w:adjustRightInd w:val="0"/>
        <w:ind w:left="-284"/>
        <w:rPr>
          <w:rFonts w:ascii="Arial" w:hAnsi="Arial" w:cs="Arial"/>
          <w:color w:val="000000"/>
          <w:sz w:val="18"/>
          <w:szCs w:val="18"/>
          <w:lang w:eastAsia="en-NZ"/>
        </w:rPr>
      </w:pPr>
      <w:r>
        <w:rPr>
          <w:rFonts w:ascii="Arial" w:hAnsi="Arial" w:cs="Arial"/>
          <w:color w:val="000000"/>
          <w:sz w:val="18"/>
          <w:szCs w:val="18"/>
          <w:lang w:eastAsia="en-NZ"/>
        </w:rPr>
        <w:t>This work is licensed under the Creative Commons Attribution 3.0 New Zealand licence.</w:t>
      </w:r>
    </w:p>
    <w:p w:rsidR="0087238B" w:rsidRDefault="0087238B" w:rsidP="0087238B">
      <w:pPr>
        <w:autoSpaceDE w:val="0"/>
        <w:autoSpaceDN w:val="0"/>
        <w:adjustRightInd w:val="0"/>
        <w:ind w:left="-284"/>
        <w:rPr>
          <w:rFonts w:ascii="Arial" w:hAnsi="Arial"/>
          <w:sz w:val="18"/>
        </w:rPr>
      </w:pPr>
      <w:r>
        <w:rPr>
          <w:rFonts w:ascii="Arial" w:hAnsi="Arial" w:cs="Arial"/>
          <w:color w:val="000000"/>
          <w:sz w:val="18"/>
          <w:szCs w:val="18"/>
          <w:lang w:eastAsia="en-NZ"/>
        </w:rPr>
        <w:t xml:space="preserve">You are free to copy, distribute and adapt the work, as long as you attribute the work to the copyright holder and abide by the other licence terms. To view a copy of this licence, visit </w:t>
      </w:r>
      <w:r>
        <w:rPr>
          <w:rFonts w:ascii="Arial" w:hAnsi="Arial" w:cs="Arial"/>
          <w:sz w:val="18"/>
          <w:szCs w:val="18"/>
          <w:lang w:eastAsia="en-NZ"/>
        </w:rPr>
        <w:t>www.creativecommons.org/licenses/</w:t>
      </w:r>
      <w:r>
        <w:rPr>
          <w:rFonts w:ascii="Arial" w:hAnsi="Arial" w:cs="Arial"/>
          <w:sz w:val="18"/>
          <w:szCs w:val="18"/>
          <w:lang w:eastAsia="en-NZ"/>
        </w:rPr>
        <w:br/>
        <w:t>by/3.0/nz/.</w:t>
      </w:r>
    </w:p>
    <w:p w:rsidR="0087238B" w:rsidRPr="000A048C" w:rsidRDefault="0087238B" w:rsidP="0087238B">
      <w:pPr>
        <w:autoSpaceDE w:val="0"/>
        <w:autoSpaceDN w:val="0"/>
        <w:adjustRightInd w:val="0"/>
        <w:spacing w:before="200"/>
        <w:ind w:left="-284"/>
        <w:rPr>
          <w:rFonts w:ascii="Arial" w:hAnsi="Arial" w:cs="Arial"/>
          <w:sz w:val="18"/>
          <w:szCs w:val="18"/>
        </w:rPr>
      </w:pPr>
      <w:r>
        <w:rPr>
          <w:rFonts w:ascii="Arial" w:hAnsi="Arial"/>
          <w:sz w:val="18"/>
        </w:rPr>
        <w:t xml:space="preserve">This report is available from the Ministry of Education’s Education Counts website:  </w:t>
      </w:r>
      <w:hyperlink r:id="rId16" w:history="1">
        <w:r w:rsidRPr="000A048C">
          <w:rPr>
            <w:rFonts w:ascii="Arial" w:hAnsi="Arial" w:cs="Arial"/>
            <w:sz w:val="18"/>
            <w:szCs w:val="18"/>
          </w:rPr>
          <w:t>www.educationcounts.govt.nz</w:t>
        </w:r>
      </w:hyperlink>
      <w:r>
        <w:rPr>
          <w:rFonts w:ascii="Arial" w:hAnsi="Arial" w:cs="Arial"/>
          <w:sz w:val="18"/>
          <w:szCs w:val="18"/>
        </w:rPr>
        <w:t>.</w:t>
      </w:r>
    </w:p>
    <w:p w:rsidR="00ED68DB" w:rsidRPr="006511DE" w:rsidRDefault="00F37E41" w:rsidP="00B675AF">
      <w:pPr>
        <w:pStyle w:val="Insidecover"/>
        <w:spacing w:before="200" w:after="200"/>
      </w:pPr>
      <w:r>
        <w:t xml:space="preserve">June </w:t>
      </w:r>
      <w:r w:rsidR="00AD33C4">
        <w:t xml:space="preserve"> 2014</w:t>
      </w:r>
    </w:p>
    <w:p w:rsidR="00ED68DB" w:rsidRPr="00BA2059" w:rsidRDefault="006C207F" w:rsidP="004D1E17">
      <w:pPr>
        <w:pStyle w:val="Insidecover"/>
      </w:pPr>
      <w:r>
        <w:t>ISS</w:t>
      </w:r>
      <w:r w:rsidR="00B91465">
        <w:t>N</w:t>
      </w:r>
      <w:r w:rsidR="00B91465">
        <w:tab/>
      </w:r>
      <w:r w:rsidR="00B91465" w:rsidRPr="00B91465">
        <w:t>1179-5026</w:t>
      </w:r>
      <w:r>
        <w:t xml:space="preserve"> (online)</w:t>
      </w:r>
      <w:r w:rsidR="003C221C">
        <w:t xml:space="preserve"> </w:t>
      </w:r>
    </w:p>
    <w:p w:rsidR="00AF0321" w:rsidRDefault="00AF0321" w:rsidP="00B675AF">
      <w:pPr>
        <w:pStyle w:val="Insidecover"/>
        <w:sectPr w:rsidR="00AF0321" w:rsidSect="00832F8A">
          <w:headerReference w:type="default" r:id="rId17"/>
          <w:type w:val="evenPage"/>
          <w:pgSz w:w="11906" w:h="16838" w:code="9"/>
          <w:pgMar w:top="1418" w:right="1701" w:bottom="1418" w:left="1701" w:header="709" w:footer="709" w:gutter="0"/>
          <w:pgNumType w:start="1"/>
          <w:cols w:space="708"/>
          <w:vAlign w:val="bottom"/>
          <w:docGrid w:linePitch="360"/>
        </w:sectPr>
      </w:pPr>
    </w:p>
    <w:p w:rsidR="00177D52" w:rsidRDefault="009708E0" w:rsidP="009E4CB6">
      <w:pPr>
        <w:pStyle w:val="Heading"/>
      </w:pPr>
      <w:fldSimple w:instr=" REF ReportTitle  \* MERGEFORMAT ">
        <w:r w:rsidR="00E333BF">
          <w:t>Measures of Adult Literacy and Numeracy</w:t>
        </w:r>
      </w:fldSimple>
      <w:r w:rsidR="00072166">
        <w:t xml:space="preserve">  </w:t>
      </w:r>
    </w:p>
    <w:p w:rsidR="00A0628E" w:rsidRDefault="00A0628E" w:rsidP="00A0628E">
      <w:pPr>
        <w:pStyle w:val="Heading2"/>
      </w:pPr>
      <w:r>
        <w:t>Introduction</w:t>
      </w:r>
    </w:p>
    <w:p w:rsidR="002B77A3" w:rsidRDefault="00E4658B" w:rsidP="00E4658B">
      <w:pPr>
        <w:pStyle w:val="BodyText"/>
      </w:pPr>
      <w:r>
        <w:t xml:space="preserve">This paper explores the relationship </w:t>
      </w:r>
      <w:r w:rsidR="00B241A7">
        <w:t xml:space="preserve">between </w:t>
      </w:r>
      <w:r w:rsidR="002B77A3">
        <w:t xml:space="preserve">two </w:t>
      </w:r>
      <w:r w:rsidR="00284E22">
        <w:t xml:space="preserve">different </w:t>
      </w:r>
      <w:r w:rsidR="002B77A3">
        <w:t>measures of adult literacy and numera</w:t>
      </w:r>
      <w:r w:rsidR="0099475E">
        <w:t xml:space="preserve">cy. The Adult Literacy and Life </w:t>
      </w:r>
      <w:r w:rsidR="002B77A3">
        <w:t xml:space="preserve">Skills </w:t>
      </w:r>
      <w:r w:rsidR="00B842B5">
        <w:t>(ALL)</w:t>
      </w:r>
      <w:r w:rsidR="002B77A3">
        <w:t>Survey was an international survey of literacy, numeracy and problem solving skills undertaken in New Zealand in 2006. It provided information on the skills of the population, as well as wide range of background information on employment, qualifications and demographic characteristics.</w:t>
      </w:r>
      <w:r w:rsidR="00284E22" w:rsidRPr="00284E22">
        <w:t xml:space="preserve"> </w:t>
      </w:r>
      <w:r w:rsidR="00284E22">
        <w:t>The Literacy and Numeracy for Adults Assessment Tool was developed to measure the literacy and numeracy of learners in New Zealand adult education settings. It was implemented from 2010. It provides results that are aligned with the Adult Literacy and Numeracy Progressions</w:t>
      </w:r>
      <w:r w:rsidR="0099475E">
        <w:t xml:space="preserve"> </w:t>
      </w:r>
      <w:r w:rsidR="009708E0">
        <w:fldChar w:fldCharType="begin" w:fldLock="1"/>
      </w:r>
      <w:r w:rsidR="008879E2">
        <w:instrText>ADDIN CSL_CITATION { "citationItems" : [ { "id" : "ITEM-1", "itemData" : { "abstract" : "The learning progressions describe the main elements or strands of learning that adults require in order to: \u2022 Listen with understanding \u2022 Speak to Communicate \u2022 Read with Understanding \u2022 Write to Communicate \u2022 Make Sense of Number to Solve Problems \u2022 Reason Statistically, and \u2022 Measure and Interpret Shape and Space.", "author" : [ { "dropping-particle" : "", "family" : "Tertiary Education Commission", "given" : "", "non-dropping-particle" : "", "parse-names" : false, "suffix" : "" } ], "id" : "ITEM-1", "issued" : { "date-parts" : [ [ "2008" ] ] }, "publisher-place" : "Wellington", "title" : "Learning progressions for adult literacy and numeracy: background information", "type" : "report" }, "uris" : [ "http://www.mendeley.com/documents/?uuid=20394b71-5d92-4fef-a971-4594cd5d6e4b" ] } ], "mendeley" : { "previouslyFormattedCitation" : "(Tertiary Education Commission, 2008a)" }, "properties" : { "noteIndex" : 0 }, "schema" : "https://github.com/citation-style-language/schema/raw/master/csl-citation.json" }</w:instrText>
      </w:r>
      <w:r w:rsidR="009708E0">
        <w:fldChar w:fldCharType="separate"/>
      </w:r>
      <w:r w:rsidR="003C3F96" w:rsidRPr="003C3F96">
        <w:rPr>
          <w:noProof/>
        </w:rPr>
        <w:t>(Tertiary Education Commission, 2008a)</w:t>
      </w:r>
      <w:r w:rsidR="009708E0">
        <w:fldChar w:fldCharType="end"/>
      </w:r>
      <w:r w:rsidR="00284E22">
        <w:t xml:space="preserve">.  </w:t>
      </w:r>
    </w:p>
    <w:p w:rsidR="00CD5D96" w:rsidRDefault="00CD5D96" w:rsidP="00E4658B">
      <w:pPr>
        <w:pStyle w:val="BodyText"/>
      </w:pPr>
      <w:r>
        <w:t xml:space="preserve">Exploring the relationship between these two measures </w:t>
      </w:r>
      <w:r w:rsidR="00841D7F">
        <w:t>can give</w:t>
      </w:r>
      <w:r>
        <w:t xml:space="preserve"> us a clearer understanding of the Assessment Tool results by </w:t>
      </w:r>
      <w:r w:rsidR="00841D7F">
        <w:t>comparing the results with internationally referenced information</w:t>
      </w:r>
      <w:r>
        <w:t>.</w:t>
      </w:r>
    </w:p>
    <w:p w:rsidR="00011B96" w:rsidRDefault="00011B96" w:rsidP="00011B96">
      <w:pPr>
        <w:pStyle w:val="Heading2"/>
      </w:pPr>
      <w:r>
        <w:t>Background</w:t>
      </w:r>
    </w:p>
    <w:p w:rsidR="00B241A7" w:rsidRDefault="002B77A3" w:rsidP="00284E22">
      <w:pPr>
        <w:pStyle w:val="BodyText"/>
      </w:pPr>
      <w:r>
        <w:t xml:space="preserve">These two measures were set up for different purposes.  </w:t>
      </w:r>
      <w:r w:rsidR="00284E22">
        <w:t xml:space="preserve">The ALL survey </w:t>
      </w:r>
      <w:r w:rsidR="0099475E">
        <w:t>was</w:t>
      </w:r>
      <w:r w:rsidR="00284E22">
        <w:t xml:space="preserve"> intended for population </w:t>
      </w:r>
      <w:r w:rsidR="0075132E">
        <w:t>analysis</w:t>
      </w:r>
      <w:r w:rsidR="00284E22">
        <w:t xml:space="preserve">. Its purpose </w:t>
      </w:r>
      <w:r w:rsidR="0099475E">
        <w:t>was</w:t>
      </w:r>
      <w:r w:rsidR="00284E22">
        <w:t xml:space="preserve"> to accurately measure the skill distribution of groups </w:t>
      </w:r>
      <w:r w:rsidR="0075132E">
        <w:t>within the population</w:t>
      </w:r>
      <w:r w:rsidR="00284E22">
        <w:t xml:space="preserve">. It </w:t>
      </w:r>
      <w:r w:rsidR="0099475E">
        <w:t>was</w:t>
      </w:r>
      <w:r w:rsidR="00284E22">
        <w:t xml:space="preserve"> </w:t>
      </w:r>
      <w:r w:rsidR="004E696B">
        <w:t>based on a representative sample</w:t>
      </w:r>
      <w:r w:rsidR="00284E22">
        <w:t xml:space="preserve"> of the national population</w:t>
      </w:r>
      <w:r w:rsidR="004E696B">
        <w:t xml:space="preserve"> and intended</w:t>
      </w:r>
      <w:r w:rsidR="00284E22">
        <w:t xml:space="preserve"> for </w:t>
      </w:r>
      <w:r w:rsidR="004E696B">
        <w:t>research purposes</w:t>
      </w:r>
      <w:r w:rsidR="00841D7F">
        <w:t xml:space="preserve"> and international comparison</w:t>
      </w:r>
      <w:r w:rsidR="00284E22">
        <w:t>. The Assessment Tool is intended for individual testing. It is designed to provide an accurate measure of the skill of each respondent that can be used to inform teaching and learning</w:t>
      </w:r>
      <w:r w:rsidR="00DF1E24">
        <w:t xml:space="preserve"> </w:t>
      </w:r>
      <w:r w:rsidR="009708E0">
        <w:fldChar w:fldCharType="begin" w:fldLock="1"/>
      </w:r>
      <w:r w:rsidR="008879E2">
        <w:instrText>ADDIN CSL_CITATION { "citationItems" : [ { "id" : "ITEM-1", "itemData" : { "author" : [ { "dropping-particle" : "", "family" : "Yamamoto", "given" : "Kentaro", "non-dropping-particle" : "", "parse-names" : false, "suffix" : "" } ], "container-title" : "PIAAC International Research Conference: The Importance of Skills and How to Assess Them", "id" : "ITEM-1", "issued" : { "date-parts" : [ [ "2013" ] ] }, "publisher" : "OECD and ETS", "publisher-place" : "Washington DC", "title" : "Small Area Proficiency Estimation: extension of the PIAAC population modeling for proficiency estimation without direct asssessment", "type" : "paper-conference" }, "uris" : [ "http://www.mendeley.com/documents/?uuid=628dc600-bb78-42d5-aed7-f092bc2c72fc" ] } ], "mendeley" : { "previouslyFormattedCitation" : "(Yamamoto, 2013)" }, "properties" : { "noteIndex" : 0 }, "schema" : "https://github.com/citation-style-language/schema/raw/master/csl-citation.json" }</w:instrText>
      </w:r>
      <w:r w:rsidR="009708E0">
        <w:fldChar w:fldCharType="separate"/>
      </w:r>
      <w:r w:rsidR="003C3F96" w:rsidRPr="003C3F96">
        <w:rPr>
          <w:noProof/>
        </w:rPr>
        <w:t>(Yamamoto, 2013)</w:t>
      </w:r>
      <w:r w:rsidR="009708E0">
        <w:fldChar w:fldCharType="end"/>
      </w:r>
      <w:r w:rsidR="00284E22">
        <w:t xml:space="preserve">. </w:t>
      </w:r>
    </w:p>
    <w:p w:rsidR="002B77A3" w:rsidRDefault="001C6F96" w:rsidP="00E4658B">
      <w:pPr>
        <w:pStyle w:val="BodyText"/>
      </w:pPr>
      <w:r>
        <w:t>Both measures are based on a similar methodology</w:t>
      </w:r>
      <w:r w:rsidR="00CD5D96">
        <w:t>,</w:t>
      </w:r>
      <w:r>
        <w:t xml:space="preserve"> using a range of test items</w:t>
      </w:r>
      <w:r w:rsidR="00594D44">
        <w:t xml:space="preserve"> to</w:t>
      </w:r>
      <w:r>
        <w:t xml:space="preserve"> infer the literacy or numeracy abilities of the respondents.  They both use Item Response Theory to relate the tes</w:t>
      </w:r>
      <w:r w:rsidR="00DF1E24">
        <w:t>t items to scales of literacy and</w:t>
      </w:r>
      <w:r>
        <w:t xml:space="preserve"> numeracy ability </w:t>
      </w:r>
      <w:r w:rsidR="009708E0">
        <w:fldChar w:fldCharType="begin" w:fldLock="1"/>
      </w:r>
      <w:r w:rsidR="008879E2">
        <w:instrText>ADDIN CSL_CITATION { "citationItems" : [ { "id" : "ITEM-1", "itemData" : { "author" : [ { "dropping-particle" : "", "family" : "Darr", "given" : "Charles", "non-dropping-particle" : "", "parse-names" : false, "suffix" : "" } ], "chapter-number" : "4", "container-title" : "Assessing Adult Learning: literacy and numeracy competencies", "id" : "ITEM-1", "issued" : { "date-parts" : [ [ "2010" ] ] }, "page" : "41-52", "publisher" : "NZCER Press", "publisher-place" : "Wellington", "title" : "Inside the assessment tool: Part 2", "type" : "chapter" }, "uris" : [ "http://www.mendeley.com/documents/?uuid=ff47df4a-4862-4b50-bdb7-e6dcce7f5e7a" ] }, { "id" : "ITEM-2", "itemData" : { "abstract" : "Literacy for Life, is the second report from the Adult Literacy and Life Skills Survey. It presents additional results on the nature and magnitude of the literacy gaps faced by OECD countries and how these gaps have evolved over the medium term. It offers new insights into the factors that influence the formation of adult skills in various settings - at home and at work - for the eleven countries participating in the first and last round of data collection between 2003 and 2008. The study offers comparative evidence on the impact of various factors on the supply of skill. The study offers a special focus on numeracy skills and problem solving skills. It explores the relationships between numeracy and key socio-demographic factors as well as labour market outcomes and earnings. It highlights the importance of problem solving skills by defining this foundational skill and by exploring its determinants as well as its relative role in influencing important labour market outcomes. The report offers also an analysis of performance across multiple skill domains. It investigates the skill profiles of various population groups defined in terms of the demographic and socioeconomic characteristics of those who score at levels deemed to be low in one or more skill domains and explores the resulting consequences. The report concludes by investigating the issue of skill mismatch in the labour market and its relationship to adult learning. The extent and distribution of mismatch between the day to day literacy related requirements of workers and the literacy skills they have obtained is an important issue that is being explored in this study.", "author" : [ { "dropping-particle" : "", "family" : "Statistics Canada", "given" : "", "non-dropping-particle" : "", "parse-names" : false, "suffix" : "" }, { "dropping-particle" : "", "family" : "Organisation for Economic Cooperation and Development", "given" : "", "non-dropping-particle" : "", "parse-names" : false, "suffix" : "" } ], "id" : "ITEM-2", "issued" : { "date-parts" : [ [ "2011", "12" ] ] }, "publisher" : "Statistics Canada and OECD", "publisher-place" : "Ottawa and Paris", "title" : "Literacy for Life: Further Results from the Adult Literacy and Life Skills Survey", "type" : "book" }, "uris" : [ "http://www.mendeley.com/documents/?uuid=64794988-68a9-499c-bc85-bbbb3dcc448f" ] } ], "mendeley" : { "previouslyFormattedCitation" : "(Darr, 2010; Statistics Canada &amp; Organisation for Economic Cooperation and Development, 2011)" }, "properties" : { "noteIndex" : 0 }, "schema" : "https://github.com/citation-style-language/schema/raw/master/csl-citation.json" }</w:instrText>
      </w:r>
      <w:r w:rsidR="009708E0">
        <w:fldChar w:fldCharType="separate"/>
      </w:r>
      <w:r w:rsidR="003C3F96" w:rsidRPr="003C3F96">
        <w:rPr>
          <w:noProof/>
        </w:rPr>
        <w:t>(Darr, 2010; Statistics Canada &amp; Organisation for Economic Cooperation and Development, 2011)</w:t>
      </w:r>
      <w:r w:rsidR="009708E0">
        <w:fldChar w:fldCharType="end"/>
      </w:r>
      <w:r>
        <w:t>.  This approach makes several assumptions about literacy and numeracy, namely that:</w:t>
      </w:r>
    </w:p>
    <w:p w:rsidR="001C6F96" w:rsidRDefault="001C6F96" w:rsidP="001C6F96">
      <w:pPr>
        <w:pStyle w:val="ListBullet"/>
        <w:tabs>
          <w:tab w:val="clear" w:pos="360"/>
          <w:tab w:val="num" w:pos="927"/>
        </w:tabs>
        <w:ind w:left="927"/>
      </w:pPr>
      <w:r>
        <w:t xml:space="preserve">literacy and numeracy </w:t>
      </w:r>
      <w:r w:rsidR="00B241A7">
        <w:t>proficiency</w:t>
      </w:r>
      <w:r>
        <w:t xml:space="preserve"> can be quantified</w:t>
      </w:r>
    </w:p>
    <w:p w:rsidR="001C6F96" w:rsidRDefault="001C6F96" w:rsidP="001C6F96">
      <w:pPr>
        <w:pStyle w:val="ListBullet"/>
        <w:tabs>
          <w:tab w:val="clear" w:pos="360"/>
          <w:tab w:val="num" w:pos="927"/>
        </w:tabs>
        <w:ind w:left="927"/>
      </w:pPr>
      <w:r>
        <w:t xml:space="preserve">it is meaningful to say that one person has more </w:t>
      </w:r>
      <w:r w:rsidR="00B241A7">
        <w:t>proficiency</w:t>
      </w:r>
      <w:r>
        <w:t xml:space="preserve"> than another person</w:t>
      </w:r>
    </w:p>
    <w:p w:rsidR="001C6F96" w:rsidRDefault="001C6F96" w:rsidP="001C6F96">
      <w:pPr>
        <w:pStyle w:val="ListBullet"/>
        <w:tabs>
          <w:tab w:val="clear" w:pos="360"/>
          <w:tab w:val="num" w:pos="927"/>
        </w:tabs>
        <w:ind w:left="927"/>
      </w:pPr>
      <w:r>
        <w:t xml:space="preserve">the amount of </w:t>
      </w:r>
      <w:r w:rsidR="00435FEF">
        <w:t>proficiency</w:t>
      </w:r>
      <w:r>
        <w:t xml:space="preserve"> a</w:t>
      </w:r>
      <w:r w:rsidR="00623FF3">
        <w:t xml:space="preserve"> person </w:t>
      </w:r>
      <w:r w:rsidR="00435FEF">
        <w:t>has is reasonably</w:t>
      </w:r>
      <w:r w:rsidR="00623FF3">
        <w:t xml:space="preserve"> stable </w:t>
      </w:r>
      <w:r w:rsidR="00435FEF">
        <w:t>across</w:t>
      </w:r>
      <w:r w:rsidR="00623FF3">
        <w:t xml:space="preserve"> time and place (i.e. it won’t be different for the same person a day later or in a different location</w:t>
      </w:r>
      <w:r w:rsidR="00435FEF">
        <w:t>, unlike measures such as happiness or cash in the bank</w:t>
      </w:r>
      <w:r w:rsidR="00623FF3">
        <w:t>)</w:t>
      </w:r>
    </w:p>
    <w:p w:rsidR="00623FF3" w:rsidRDefault="00623FF3" w:rsidP="001C6F96">
      <w:pPr>
        <w:pStyle w:val="ListBullet"/>
        <w:tabs>
          <w:tab w:val="clear" w:pos="360"/>
          <w:tab w:val="num" w:pos="927"/>
        </w:tabs>
        <w:ind w:left="927"/>
      </w:pPr>
      <w:r>
        <w:t xml:space="preserve">a person can demonstrate their </w:t>
      </w:r>
      <w:r w:rsidR="00435FEF">
        <w:t>proficiency</w:t>
      </w:r>
      <w:r>
        <w:t xml:space="preserve"> by responding to a range of test items of </w:t>
      </w:r>
      <w:r w:rsidR="00435FEF">
        <w:t>varying</w:t>
      </w:r>
      <w:r>
        <w:t xml:space="preserve"> difficulty</w:t>
      </w:r>
    </w:p>
    <w:p w:rsidR="00623FF3" w:rsidRDefault="00623FF3" w:rsidP="001C6F96">
      <w:pPr>
        <w:pStyle w:val="ListBullet"/>
        <w:tabs>
          <w:tab w:val="clear" w:pos="360"/>
          <w:tab w:val="num" w:pos="927"/>
        </w:tabs>
        <w:ind w:left="927"/>
      </w:pPr>
      <w:proofErr w:type="gramStart"/>
      <w:r>
        <w:t>the</w:t>
      </w:r>
      <w:proofErr w:type="gramEnd"/>
      <w:r>
        <w:t xml:space="preserve"> responses to the test items reflect differences in literacy and numeracy </w:t>
      </w:r>
      <w:r w:rsidR="00435FEF">
        <w:t>proficiency</w:t>
      </w:r>
      <w:r>
        <w:t xml:space="preserve">, rather than other factors, such as </w:t>
      </w:r>
      <w:r w:rsidR="00435FEF">
        <w:t xml:space="preserve">linguistic or </w:t>
      </w:r>
      <w:r>
        <w:t>cultural understanding.</w:t>
      </w:r>
    </w:p>
    <w:p w:rsidR="00623FF3" w:rsidRDefault="00623FF3" w:rsidP="00623FF3">
      <w:pPr>
        <w:pStyle w:val="ListBullet"/>
        <w:numPr>
          <w:ilvl w:val="0"/>
          <w:numId w:val="0"/>
        </w:numPr>
        <w:ind w:left="360" w:hanging="360"/>
      </w:pPr>
    </w:p>
    <w:p w:rsidR="00623FF3" w:rsidRDefault="00623FF3" w:rsidP="00623FF3">
      <w:pPr>
        <w:pStyle w:val="BodyText"/>
      </w:pPr>
      <w:r>
        <w:t xml:space="preserve">These assumptions require that the measures have rigorous design and development. Particular attention is required to </w:t>
      </w:r>
      <w:proofErr w:type="gramStart"/>
      <w:r>
        <w:t>develop</w:t>
      </w:r>
      <w:r w:rsidR="004E696B">
        <w:t>,</w:t>
      </w:r>
      <w:proofErr w:type="gramEnd"/>
      <w:r w:rsidR="004E696B">
        <w:t xml:space="preserve"> test and scale test</w:t>
      </w:r>
      <w:r w:rsidR="00435FEF">
        <w:t xml:space="preserve"> items to ensure that each item</w:t>
      </w:r>
      <w:r>
        <w:t xml:space="preserve"> correctly tests an aspect of literacy or numeracy </w:t>
      </w:r>
      <w:r w:rsidR="00435FEF">
        <w:t>proficiency</w:t>
      </w:r>
      <w:r>
        <w:t xml:space="preserve"> and provides valid and reliable results.</w:t>
      </w:r>
    </w:p>
    <w:p w:rsidR="00623FF3" w:rsidRDefault="00011B96" w:rsidP="00623FF3">
      <w:pPr>
        <w:pStyle w:val="BodyText"/>
      </w:pPr>
      <w:r>
        <w:t xml:space="preserve">The literacy and numeracy scales derived from the ALL survey have been proven to have good correlation with education, employment and earning and health and well-being </w:t>
      </w:r>
      <w:r w:rsidR="009708E0">
        <w:fldChar w:fldCharType="begin" w:fldLock="1"/>
      </w:r>
      <w:r w:rsidR="008879E2">
        <w:instrText>ADDIN CSL_CITATION { "citationItems" : [ { "id" : "ITEM-1", "itemData" : { "abstract" : "This report, based on the Adult Literacy and Life Skills (ALL) Survey 2006, examines the link between English literacy and numeracy skills and educational qualifications by looking at the characteristics of people who have high levels of qualifications but low levels of literacy or numeracy, and at those who have high levels of literacy or numeracy despite low levels of qualifications. It finds that among those with degrees but low levels of English literacy, two thirds were people with English as an additional language, while among those with degrees but low levels of numeracy, half had English as an additional language. Leaving out people for whom English is an additional language, the level of educational qualifications is a good indicator of literacy and numeracy skill levels. Highly skilled people with low levels of qualifications were more likely to have completed year 12 or 13 at school than to have left school at year 11 or earlier, were more likely to have been born in New Zealand than overseas, and were almost all native speakers of English. We would have expected that there would be a large number of people in older age groups with low levels of qualifications but high levels of skills \u2013 people with high ability who left school and went into work in the days before access to tertiary education was widespread. That turns out not to be the case.", "author" : [ { "dropping-particle" : "", "family" : "Smyth", "given" : "Roger", "non-dropping-particle" : "", "parse-names" : false, "suffix" : "" }, { "dropping-particle" : "", "family" : "Lane", "given" : "Chris", "non-dropping-particle" : "", "parse-names" : false, "suffix" : "" } ], "id" : "ITEM-1", "issued" : { "date-parts" : [ [ "2009", "9" ] ] }, "publisher" : "Ministry of Education", "publisher-place" : "Wellington", "title" : "Skills and education: How well do educational qualifications measure skills?", "type" : "book" }, "uris" : [ "http://www.mendeley.com/documents/?uuid=3f55b7fa-cdef-43b2-be76-cc9f16005fd5" ] }, { "id" : "ITEM-2", "itemData" : { "abstract" : "Recent studies have shown a positive relationship between the proportion of the workforce with higher-level tertiary qualifications and labour productivity. The Adult Literacy and Life Skills (ALL) Survey provides an opportunity to look at skill levels in literacy and numeracy, along with educational qualifications, and relate these to hourly wages within industries and occupations. Hourly wages can be viewed as a measure of employee productivity. This study uses the ALL data to look at the extent to which hourly wages can be explained by skills and qualifications across industries and occupations. It addresses the following questions: Do employers value educational qualifications or skills or both? For employees with the same level of educational qualification, how much additional value is put on higher levels of literacy and numeracy? For employees with the same level of literacy or numeracy, how much additional value is put on having a higher level of education? Do some industries or occupations put greater value on literacy and numeracy than others? The findings of this study are presented in three sections. The first looks at the distribution of literacy and numeracy skills for people in employment. The second looks at the distribution of hourly wages. The third presents results of regression models looking at the relationships of skills, qualifications, occupation and industry to hourly wages.", "author" : [ { "dropping-particle" : "", "family" : "Earle", "given" : "David", "non-dropping-particle" : "", "parse-names" : false, "suffix" : "" } ], "id" : "ITEM-2", "issued" : { "date-parts" : [ [ "2009", "5" ] ] }, "publisher" : "Ministry of Education", "publisher-place" : "Wellington", "title" : "Skills, qualifications and wages - an analysis from the Adult Literacy and Life Skills survey", "type" : "book" }, "uris" : [ "http://www.mendeley.com/documents/?uuid=ad6ee991-2bc3-4e6a-9ffa-ef0f196bc9dd" ] }, { "id" : "ITEM-3", "itemData" : { "abstract" : "How does education relate to New Zealanders\u2019 assessment of their well-being? Is this different for physical well- being and for mental or emotional well-being? How does this change when literacy skills, income and other factors are taken into account?", "author" : [ { "dropping-particle" : "", "family" : "Lawes", "given" : "Elliot", "non-dropping-particle" : "", "parse-names" : false, "suffix" : "" } ], "id" : "ITEM-3", "issued" : { "date-parts" : [ [ "2009" ] ] }, "publisher-place" : "Wellington", "title" : "Well-being and education level", "type" : "article" }, "uris" : [ "http://www.mendeley.com/documents/?uuid=6a8ba0bf-4eb4-4d33-92da-77f49f810200" ] }, { "id" : "ITEM-4", "itemData" : { "abstract" : "Literacy for Life, is the second report from the Adult Literacy and Life Skills Survey. It presents additional results on the nature and magnitude of the literacy gaps faced by OECD countries and how these gaps have evolved over the medium term. It offers new insights into the factors that influence the formation of adult skills in various settings - at home and at work - for the eleven countries participating in the first and last round of data collection between 2003 and 2008. The study offers comparative evidence on the impact of various factors on the supply of skill. The study offers a special focus on numeracy skills and problem solving skills. It explores the relationships between numeracy and key socio-demographic factors as well as labour market outcomes and earnings. It highlights the importance of problem solving skills by defining this foundational skill and by exploring its determinants as well as its relative role in influencing important labour market outcomes. The report offers also an analysis of performance across multiple skill domains. It investigates the skill profiles of various population groups defined in terms of the demographic and socioeconomic characteristics of those who score at levels deemed to be low in one or more skill domains and explores the resulting consequences. The report concludes by investigating the issue of skill mismatch in the labour market and its relationship to adult learning. The extent and distribution of mismatch between the day to day literacy related requirements of workers and the literacy skills they have obtained is an important issue that is being explored in this study.", "author" : [ { "dropping-particle" : "", "family" : "Statistics Canada", "given" : "", "non-dropping-particle" : "", "parse-names" : false, "suffix" : "" }, { "dropping-particle" : "", "family" : "Organisation for Economic Cooperation and Development", "given" : "", "non-dropping-particle" : "", "parse-names" : false, "suffix" : "" } ], "id" : "ITEM-4", "issued" : { "date-parts" : [ [ "2011", "12" ] ] }, "publisher" : "Statistics Canada and OECD", "publisher-place" : "Ottawa and Paris", "title" : "Literacy for Life: Further Results from the Adult Literacy and Life Skills Survey", "type" : "book" }, "uris" : [ "http://www.mendeley.com/documents/?uuid=64794988-68a9-499c-bc85-bbbb3dcc448f" ] } ], "mendeley" : { "previouslyFormattedCitation" : "(Earle, 2009; Lawes, 2009; Smyth &amp; Lane, 2009; Statistics Canada &amp; Organisation for Economic Cooperation and Development, 2011)" }, "properties" : { "noteIndex" : 0 }, "schema" : "https://github.com/citation-style-language/schema/raw/master/csl-citation.json" }</w:instrText>
      </w:r>
      <w:r w:rsidR="009708E0">
        <w:fldChar w:fldCharType="separate"/>
      </w:r>
      <w:r w:rsidR="003C3F96" w:rsidRPr="003C3F96">
        <w:rPr>
          <w:noProof/>
        </w:rPr>
        <w:t>(Earle, 2009; Lawes, 2009; Smyth &amp; Lane, 2009; Statistics Canada &amp; Organisation for Economic Cooperation and Development, 2011)</w:t>
      </w:r>
      <w:r w:rsidR="009708E0">
        <w:fldChar w:fldCharType="end"/>
      </w:r>
      <w:r>
        <w:t>.</w:t>
      </w:r>
      <w:r w:rsidR="00E511AA">
        <w:t xml:space="preserve"> An analysis of the Assessment Tool results to 2011 found that “although groups of learners assessed using the Assessment Tool were clearly not </w:t>
      </w:r>
      <w:r w:rsidR="00E511AA">
        <w:lastRenderedPageBreak/>
        <w:t>representative of the adult population, the variations in Assessment Tool reading and general numeracy scores followed the same patterns as the total adult population according to the ALL survey 2006, in terms of age, gender, ethnicity, first language and educational participation”</w:t>
      </w:r>
      <w:r w:rsidR="0075132E">
        <w:t xml:space="preserve"> </w:t>
      </w:r>
      <w:r w:rsidR="009708E0">
        <w:fldChar w:fldCharType="begin" w:fldLock="1"/>
      </w:r>
      <w:r w:rsidR="008879E2">
        <w:instrText>ADDIN CSL_CITATION { "citationItems" : [ { "id" : "ITEM-1", "itemData" : { "ISBN" : "9780478406054", "author" : [ { "dropping-particle" : "", "family" : "Lane", "given" : "Chris", "non-dropping-particle" : "", "parse-names" : false, "suffix" : "" } ], "id" : "ITEM-1", "issued" : { "date-parts" : [ [ "2012" ] ] }, "publisher" : "Ministry of Education", "publisher-place" : "Wellington", "title" : "Assessing skills of adult learners in 2011: profiling skills and learning using the Literacy and Numeracy for Adults Assessment Tool", "type" : "book" }, "uris" : [ "http://www.mendeley.com/documents/?uuid=52a826a8-3e64-4389-81c1-b5d1fdf65ba2" ] } ], "mendeley" : { "previouslyFormattedCitation" : "(Lane, 2012)" }, "properties" : { "noteIndex" : 0 }, "schema" : "https://github.com/citation-style-language/schema/raw/master/csl-citation.json" }</w:instrText>
      </w:r>
      <w:r w:rsidR="009708E0">
        <w:fldChar w:fldCharType="separate"/>
      </w:r>
      <w:r w:rsidR="003C3F96" w:rsidRPr="003C3F96">
        <w:rPr>
          <w:noProof/>
        </w:rPr>
        <w:t>(Lane, 2012)</w:t>
      </w:r>
      <w:r w:rsidR="009708E0">
        <w:fldChar w:fldCharType="end"/>
      </w:r>
      <w:r w:rsidR="00E511AA">
        <w:t>.</w:t>
      </w:r>
    </w:p>
    <w:p w:rsidR="001C6F96" w:rsidRDefault="00435FEF" w:rsidP="00011B96">
      <w:pPr>
        <w:pStyle w:val="Heading2"/>
      </w:pPr>
      <w:r>
        <w:t>Two approaches to measuring literacy and numeracy</w:t>
      </w:r>
    </w:p>
    <w:p w:rsidR="00470D11" w:rsidRDefault="00011B96" w:rsidP="00011B96">
      <w:pPr>
        <w:pStyle w:val="BodyText"/>
      </w:pPr>
      <w:r>
        <w:t>The ALL survey and the Assessment Tool are based on somewhat different definitions of literacy and numeracy.</w:t>
      </w:r>
      <w:r w:rsidR="00435FEF">
        <w:t xml:space="preserve"> The ALL survey started</w:t>
      </w:r>
      <w:r w:rsidR="00561201">
        <w:t xml:space="preserve"> with general definitions of literacy and numeracy and then develop</w:t>
      </w:r>
      <w:r w:rsidR="00435FEF">
        <w:t>ed</w:t>
      </w:r>
      <w:r w:rsidR="00561201">
        <w:t xml:space="preserve"> more precise gradations of ability.  The Assessment Tool is based on a set of learning progressions that describe how learners develop their skills. The two measures</w:t>
      </w:r>
      <w:r w:rsidR="00470D11">
        <w:t xml:space="preserve"> also have different approaches to dividing the continuous scale scores into discrete levels or steps.</w:t>
      </w:r>
      <w:r w:rsidR="0075132E">
        <w:t xml:space="preserve"> T</w:t>
      </w:r>
      <w:r w:rsidR="00A451B3">
        <w:t xml:space="preserve">hey </w:t>
      </w:r>
      <w:r w:rsidR="00A21023">
        <w:t xml:space="preserve">have </w:t>
      </w:r>
      <w:r w:rsidR="0075132E">
        <w:t xml:space="preserve">also </w:t>
      </w:r>
      <w:r w:rsidR="00A21023">
        <w:t>been</w:t>
      </w:r>
      <w:r w:rsidR="00A451B3">
        <w:t xml:space="preserve"> administered in different circumstances.</w:t>
      </w:r>
    </w:p>
    <w:p w:rsidR="00FC7CE9" w:rsidRDefault="00FC7CE9" w:rsidP="00FC7CE9">
      <w:pPr>
        <w:pStyle w:val="Heading3"/>
      </w:pPr>
      <w:r>
        <w:t>The ALL survey</w:t>
      </w:r>
    </w:p>
    <w:p w:rsidR="00011B96" w:rsidRDefault="00A21023" w:rsidP="00011B96">
      <w:pPr>
        <w:pStyle w:val="BodyText"/>
      </w:pPr>
      <w:r>
        <w:t xml:space="preserve">The purpose of the ALL survey was to develop a measure of </w:t>
      </w:r>
      <w:r w:rsidR="00CD5D96">
        <w:t xml:space="preserve">the </w:t>
      </w:r>
      <w:r>
        <w:t>literacy and numeracy skills and knowledge people have to en</w:t>
      </w:r>
      <w:r w:rsidR="0075132E">
        <w:t>able</w:t>
      </w:r>
      <w:r>
        <w:t xml:space="preserve"> them to participate in society. L</w:t>
      </w:r>
      <w:r w:rsidR="00011B96">
        <w:t xml:space="preserve">iteracy </w:t>
      </w:r>
      <w:r w:rsidR="00435FEF">
        <w:t>was</w:t>
      </w:r>
      <w:r w:rsidR="00011B96">
        <w:t xml:space="preserve"> defined as “using printed and written information to function in society, to achieve one’s goals, and to develop one’s knowledge and potential.” </w:t>
      </w:r>
      <w:r w:rsidR="00470D11">
        <w:t xml:space="preserve"> The key feature of this definition is that literacy has purpose and enables people to contribute to society.  Similarly, numeracy is defined as “the knowledge and skills to effectively manage and respond to the mathematical demands of diverse situations,” and numerate behaviour is “observed when people manage a situation or solve a problem in a real context; it involves responding to information about mathematical ideas that may be represented in a range of ways; it requires the activation of a range of enabling k</w:t>
      </w:r>
      <w:r w:rsidR="00CB4D17">
        <w:t>nowledge, factors and processes</w:t>
      </w:r>
      <w:r w:rsidR="00470D11">
        <w:t>”</w:t>
      </w:r>
      <w:r w:rsidR="0075132E" w:rsidRPr="0075132E">
        <w:rPr>
          <w:rStyle w:val="FootnoteReference"/>
        </w:rPr>
        <w:t xml:space="preserve"> </w:t>
      </w:r>
      <w:r w:rsidR="009708E0">
        <w:fldChar w:fldCharType="begin" w:fldLock="1"/>
      </w:r>
      <w:r w:rsidR="008879E2">
        <w:instrText>ADDIN CSL_CITATION { "citationItems" : [ { "id" : "ITEM-1", "itemData" : { "abstract" : "Literacy for Life, is the second report from the Adult Literacy and Life Skills Survey. It presents additional results on the nature and magnitude of the literacy gaps faced by OECD countries and how these gaps have evolved over the medium term. It offers new insights into the factors that influence the formation of adult skills in various settings - at home and at work - for the eleven countries participating in the first and last round of data collection between 2003 and 2008. The study offers comparative evidence on the impact of various factors on the supply of skill. The study offers a special focus on numeracy skills and problem solving skills. It explores the relationships between numeracy and key socio-demographic factors as well as labour market outcomes and earnings. It highlights the importance of problem solving skills by defining this foundational skill and by exploring its determinants as well as its relative role in influencing important labour market outcomes. The report offers also an analysis of performance across multiple skill domains. It investigates the skill profiles of various population groups defined in terms of the demographic and socioeconomic characteristics of those who score at levels deemed to be low in one or more skill domains and explores the resulting consequences. The report concludes by investigating the issue of skill mismatch in the labour market and its relationship to adult learning. The extent and distribution of mismatch between the day to day literacy related requirements of workers and the literacy skills they have obtained is an important issue that is being explored in this study.", "author" : [ { "dropping-particle" : "", "family" : "Statistics Canada", "given" : "", "non-dropping-particle" : "", "parse-names" : false, "suffix" : "" }, { "dropping-particle" : "", "family" : "Organisation for Economic Cooperation and Development", "given" : "", "non-dropping-particle" : "", "parse-names" : false, "suffix" : "" } ], "id" : "ITEM-1", "issued" : { "date-parts" : [ [ "2011", "12" ] ] }, "publisher" : "Statistics Canada and OECD", "publisher-place" : "Ottawa and Paris", "title" : "Literacy for Life: Further Results from the Adult Literacy and Life Skills Survey", "type" : "book" }, "uris" : [ "http://www.mendeley.com/documents/?uuid=64794988-68a9-499c-bc85-bbbb3dcc448f" ] } ], "mendeley" : { "previouslyFormattedCitation" : "(Statistics Canada &amp; Organisation for Economic Cooperation and Development, 2011)" }, "properties" : { "noteIndex" : 0 }, "schema" : "https://github.com/citation-style-language/schema/raw/master/csl-citation.json" }</w:instrText>
      </w:r>
      <w:r w:rsidR="009708E0">
        <w:fldChar w:fldCharType="separate"/>
      </w:r>
      <w:r w:rsidR="003C3F96" w:rsidRPr="003C3F96">
        <w:rPr>
          <w:noProof/>
        </w:rPr>
        <w:t>(Statistics Canada &amp; Organisation for Economic Cooperation and Development, 2011)</w:t>
      </w:r>
      <w:r w:rsidR="009708E0">
        <w:fldChar w:fldCharType="end"/>
      </w:r>
      <w:r w:rsidR="00470D11">
        <w:t>.</w:t>
      </w:r>
      <w:r w:rsidR="0075132E" w:rsidRPr="0075132E">
        <w:rPr>
          <w:rStyle w:val="FootnoteReference"/>
        </w:rPr>
        <w:t xml:space="preserve"> </w:t>
      </w:r>
      <w:r w:rsidR="0075132E">
        <w:rPr>
          <w:rStyle w:val="FootnoteReference"/>
        </w:rPr>
        <w:footnoteReference w:id="1"/>
      </w:r>
    </w:p>
    <w:p w:rsidR="00CB4D17" w:rsidRDefault="00470D11" w:rsidP="00011B96">
      <w:pPr>
        <w:pStyle w:val="BodyText"/>
      </w:pPr>
      <w:r>
        <w:t xml:space="preserve">Literacy and numeracy </w:t>
      </w:r>
      <w:r w:rsidR="00435FEF">
        <w:t>were</w:t>
      </w:r>
      <w:r>
        <w:t xml:space="preserve"> measured on a continuous scale from </w:t>
      </w:r>
      <w:r w:rsidR="00787772">
        <w:t xml:space="preserve">0 to 500. </w:t>
      </w:r>
      <w:r w:rsidR="00A53F48">
        <w:t>The ALL survey measured two concepts of literacy</w:t>
      </w:r>
      <w:r w:rsidR="00787772">
        <w:t xml:space="preserve"> – prose literacy, </w:t>
      </w:r>
      <w:r w:rsidR="00A53F48">
        <w:t>the</w:t>
      </w:r>
      <w:r w:rsidR="00787772">
        <w:t xml:space="preserve"> ability to understand and use continuous text</w:t>
      </w:r>
      <w:r w:rsidR="00A53F48">
        <w:t>,</w:t>
      </w:r>
      <w:r w:rsidR="00787772">
        <w:t xml:space="preserve"> and document literacy, the ability to use text combined with charts, graphs and maps. For New Zealand, 90% of document literacy scores fell between </w:t>
      </w:r>
      <w:r w:rsidR="00A21023">
        <w:t xml:space="preserve">scale scores of </w:t>
      </w:r>
      <w:r w:rsidR="00787772">
        <w:t>185 and 355 and 90% of numeracy scores fell between</w:t>
      </w:r>
      <w:r w:rsidR="00A21023">
        <w:t xml:space="preserve"> scale scores of</w:t>
      </w:r>
      <w:r w:rsidR="00787772">
        <w:t xml:space="preserve"> 175 and 360 </w:t>
      </w:r>
      <w:r w:rsidR="009708E0">
        <w:fldChar w:fldCharType="begin" w:fldLock="1"/>
      </w:r>
      <w:r w:rsidR="008879E2">
        <w:instrText>ADDIN CSL_CITATION { "citationItems" : [ { "id" : "ITEM-1", "itemData" : { "abstract" : "How is literacy skill distributed across the New Zealand adult population? \u2022 Has there been any change in this distribution over the past 10 years? \u2022 Do the further education and training activities of New Zealand adults vary according to their literacy skills? \u2022 How do the skills of adults in New Zealand compare with those of adults from other countries? This report is the first in a series of four that investigates the initial results of the ALL survey. It will present an overview of the distribution of literacy skills in New Zealand, changes to that distribution since 1996, and a comparison of New Zealand\u2019s distribution of literacy skills with those of Canada, the USA and Australia.", "author" : [ { "dropping-particle" : "", "family" : "Satherley", "given" : "Paul", "non-dropping-particle" : "", "parse-names" : false, "suffix" : "" }, { "dropping-particle" : "", "family" : "Lawes", "given" : "Elliot", "non-dropping-particle" : "", "parse-names" : false, "suffix" : "" }, { "dropping-particle" : "", "family" : "Sok", "given" : "Saila", "non-dropping-particle" : "", "parse-names" : false, "suffix" : "" } ], "id" : "ITEM-1", "issued" : { "date-parts" : [ [ "2008" ] ] }, "publisher" : "Ministry of Education", "publisher-place" : "Wellington", "title" : "The Adult Literacy and Life Skills (ALL) Survey: overview and international comparisons", "type" : "book" }, "uris" : [ "http://www.mendeley.com/documents/?uuid=5810db63-d316-4b29-a2dc-d0cb11cfc974" ] } ], "mendeley" : { "previouslyFormattedCitation" : "(Satherley, Lawes, &amp; Sok, 2008)" }, "properties" : { "noteIndex" : 0 }, "schema" : "https://github.com/citation-style-language/schema/raw/master/csl-citation.json" }</w:instrText>
      </w:r>
      <w:r w:rsidR="009708E0">
        <w:fldChar w:fldCharType="separate"/>
      </w:r>
      <w:r w:rsidR="003C3F96" w:rsidRPr="003C3F96">
        <w:rPr>
          <w:noProof/>
        </w:rPr>
        <w:t>(Satherley, Lawes, &amp; Sok, 2008)</w:t>
      </w:r>
      <w:r w:rsidR="009708E0">
        <w:fldChar w:fldCharType="end"/>
      </w:r>
      <w:r w:rsidR="00787772">
        <w:t xml:space="preserve">.  </w:t>
      </w:r>
    </w:p>
    <w:p w:rsidR="00470D11" w:rsidRDefault="0099475E" w:rsidP="00011B96">
      <w:pPr>
        <w:pStyle w:val="BodyText"/>
      </w:pPr>
      <w:r>
        <w:t xml:space="preserve">The ALL scale was divided into 5 levels of proficiency.  </w:t>
      </w:r>
      <w:r w:rsidR="00CB4D17">
        <w:t xml:space="preserve">The descriptors for each level are summarised in the Appendix. When ALL was released, there was an emphasis on level 3 as the level “deemed as a minimum for persons to understand and use information contained in the increasingly difficult texts and tasks that characterize the emerging knowledge society and information economy” </w:t>
      </w:r>
      <w:r w:rsidR="009708E0">
        <w:fldChar w:fldCharType="begin" w:fldLock="1"/>
      </w:r>
      <w:r w:rsidR="008879E2">
        <w:instrText>ADDIN CSL_CITATION { "citationItems" : [ { "id" : "ITEM-1", "itemData" : { "abstract" : "Learning a Living and Earning Skills, the first report from the Adult Literacy and Life Skills Survey (ALL), presents new evidence on the nature and magnitude of the literacy gaps faced by Organisation for Economic Cooperation and Development (OECD) countries and how these gaps have evolved over the past decade. It offers new insights into the factors that influence the formation and loss of adult skills in various settings \u2013 at home and at work \u2013 for the seven countries participating in the first round of data collection. The study offers the first comparative evidence on the impact of formal adult education and informal learning on the supply of skill. It also provides unique insight into the distribution of information and communication technology skills, and how these have amplified both productivity and wage inequality. Findings point to large differences in the average level and population distribution of skills both within and between countries. Low skills are evident among all adult groups in significant\u2014albeit varying \u2013 proportions. Skills vary substantially even at similar levels of educational attainment. Hence some countries are more successful than others in building skills beyond initial schooling. These differences matter because skills are closely associated with economic life chances and quality of life. Improving skills, particularly among those with real life deficits, remains a large challenge. But policy can make a difference. The evidence shows how some countries have succeeded in building high levels of skill in multiple domains. Others have managed to improve the skills of the entire population. Again others have come close to realizing lifelong learning for all.", "author" : [ { "dropping-particle" : "", "family" : "Statistics Canada", "given" : "", "non-dropping-particle" : "", "parse-names" : false, "suffix" : "" }, { "dropping-particle" : "", "family" : "Organisation for Economic Cooperation and Development", "given" : "", "non-dropping-particle" : "", "parse-names" : false, "suffix" : "" } ], "id" : "ITEM-1", "issued" : { "date-parts" : [ [ "2005" ] ] }, "publisher" : "Statistics Canada and OECD", "publisher-place" : "Ottawa and Paris", "title" : "Learning a Living: first results of the adult literacy and life skills survey", "type" : "book" }, "uris" : [ "http://www.mendeley.com/documents/?uuid=a6178fcf-0092-43ba-a659-cd667f8c2828" ] } ], "mendeley" : { "previouslyFormattedCitation" : "(Statistics Canada &amp; Organisation for Economic Cooperation and Development, 2005)" }, "properties" : { "noteIndex" : 0 }, "schema" : "https://github.com/citation-style-language/schema/raw/master/csl-citation.json" }</w:instrText>
      </w:r>
      <w:r w:rsidR="009708E0">
        <w:fldChar w:fldCharType="separate"/>
      </w:r>
      <w:r w:rsidR="003C3F96" w:rsidRPr="003C3F96">
        <w:rPr>
          <w:noProof/>
        </w:rPr>
        <w:t>(Statistics Canada &amp; Organisation for Economic Cooperation and Development, 2005)</w:t>
      </w:r>
      <w:r w:rsidR="009708E0">
        <w:fldChar w:fldCharType="end"/>
      </w:r>
      <w:r w:rsidR="00CB4D17">
        <w:t xml:space="preserve">. However, in </w:t>
      </w:r>
      <w:r w:rsidR="00B32F64">
        <w:t xml:space="preserve">the </w:t>
      </w:r>
      <w:r w:rsidR="00CB4D17">
        <w:t>subsequent Programme for International Assessment of Adult Competencies</w:t>
      </w:r>
      <w:r w:rsidR="00B32F64">
        <w:t>,</w:t>
      </w:r>
      <w:r w:rsidR="00CB4D17">
        <w:t xml:space="preserve"> this approach has been rethought. The proficiency levels have a descriptive purpose “to aid interpretation and understanding … by describing the attributes of the tasks that adults with particular proficiency scores can typically successfully complete.” The levels are no longer seen as normative and representing standards for partic</w:t>
      </w:r>
      <w:r w:rsidR="000F72CB">
        <w:t xml:space="preserve">ipation in society or education </w:t>
      </w:r>
      <w:r w:rsidR="009708E0">
        <w:fldChar w:fldCharType="begin" w:fldLock="1"/>
      </w:r>
      <w:r w:rsidR="008879E2">
        <w:instrText>ADDIN CSL_CITATION { "citationItems" : [ { "id" : "ITEM-1", "itemData" : { "DOI" : "10.1787/9789264204256-en", "ISBN" : "9789264203983", "author" : [ { "dropping-particle" : "", "family" : "Organisation for Economic Cooperation and Development", "given" : "", "non-dropping-particle" : "", "parse-names" : false, "suffix" : "" } ], "id" : "ITEM-1", "issued" : { "date-parts" : [ [ "2013", "10", "8" ] ] }, "publisher" : "OECD Publishing", "title" : "OECD Skills Outlook 2013: First results from the Survey of Adult Skills", "type" : "book" }, "uris" : [ "http://www.mendeley.com/documents/?uuid=0d763f78-bb0f-4356-8028-d9511d163ec7" ] } ], "mendeley" : { "previouslyFormattedCitation" : "(Organisation for Economic Cooperation and Development, 2013)" }, "properties" : { "noteIndex" : 0 }, "schema" : "https://github.com/citation-style-language/schema/raw/master/csl-citation.json" }</w:instrText>
      </w:r>
      <w:r w:rsidR="009708E0">
        <w:fldChar w:fldCharType="separate"/>
      </w:r>
      <w:r w:rsidR="003C3F96" w:rsidRPr="003C3F96">
        <w:rPr>
          <w:noProof/>
        </w:rPr>
        <w:t>(Organisation for Economic Cooperation and Development, 2013)</w:t>
      </w:r>
      <w:r w:rsidR="009708E0">
        <w:fldChar w:fldCharType="end"/>
      </w:r>
      <w:r w:rsidR="000F72CB">
        <w:t>.</w:t>
      </w:r>
    </w:p>
    <w:p w:rsidR="00B241A7" w:rsidRDefault="00A451B3" w:rsidP="00B241A7">
      <w:pPr>
        <w:pStyle w:val="BodyText"/>
      </w:pPr>
      <w:r>
        <w:t xml:space="preserve">The ALL survey was administered as a research </w:t>
      </w:r>
      <w:r w:rsidR="00A21023">
        <w:t>survey</w:t>
      </w:r>
      <w:r w:rsidR="000F72CB">
        <w:t>, under strict international protocols</w:t>
      </w:r>
      <w:r>
        <w:t xml:space="preserve">.  </w:t>
      </w:r>
      <w:r w:rsidR="00A21023">
        <w:t>The s</w:t>
      </w:r>
      <w:r>
        <w:t>urvey was conducted within the respondents’ homes</w:t>
      </w:r>
      <w:r w:rsidR="00A21023">
        <w:t xml:space="preserve"> by trained interviewers.  The literacy and </w:t>
      </w:r>
      <w:r>
        <w:t>numeracy items were presented in booklets and answered on paper.</w:t>
      </w:r>
      <w:r w:rsidR="000F72CB">
        <w:t xml:space="preserve"> They included both multiple choice and write-in responses.</w:t>
      </w:r>
      <w:r w:rsidR="00B241A7">
        <w:t xml:space="preserve"> Scores for individuals were modelled </w:t>
      </w:r>
      <w:r w:rsidR="00A53F48">
        <w:t xml:space="preserve">using multivariate analysis </w:t>
      </w:r>
      <w:r w:rsidR="00B241A7">
        <w:t xml:space="preserve">and weighted to the population. </w:t>
      </w:r>
      <w:r w:rsidR="00493F6F">
        <w:t xml:space="preserve">The modelling produced a range of probable scores for each individual. These are presented in the data as a set of </w:t>
      </w:r>
      <w:r w:rsidR="00B32F64">
        <w:t>five</w:t>
      </w:r>
      <w:r w:rsidR="00493F6F">
        <w:t xml:space="preserve"> plausible values for each </w:t>
      </w:r>
      <w:r w:rsidR="00493F6F">
        <w:lastRenderedPageBreak/>
        <w:t>individual on each domain.</w:t>
      </w:r>
      <w:r w:rsidR="001927BB">
        <w:t xml:space="preserve"> </w:t>
      </w:r>
      <w:r w:rsidR="00B241A7">
        <w:t>It was not possible to test all participants across all areas in the time available for the interviews. Multivariate modelling</w:t>
      </w:r>
      <w:r w:rsidR="00A8661D">
        <w:t>, drawing on the background variables and the cognitive responses,</w:t>
      </w:r>
      <w:r w:rsidR="00B241A7">
        <w:t xml:space="preserve"> was used to impute the scores for the areas that individual respondents were not tested in </w:t>
      </w:r>
      <w:r w:rsidR="009708E0">
        <w:fldChar w:fldCharType="begin" w:fldLock="1"/>
      </w:r>
      <w:r w:rsidR="008879E2">
        <w:instrText>ADDIN CSL_CITATION { "citationItems" : [ { "id" : "ITEM-1", "itemData" : { "abstract" : "Literacy for Life, is the second report from the Adult Literacy and Life Skills Survey. It presents additional results on the nature and magnitude of the literacy gaps faced by OECD countries and how these gaps have evolved over the medium term. It offers new insights into the factors that influence the formation of adult skills in various settings - at home and at work - for the eleven countries participating in the first and last round of data collection between 2003 and 2008. The study offers comparative evidence on the impact of various factors on the supply of skill. The study offers a special focus on numeracy skills and problem solving skills. It explores the relationships between numeracy and key socio-demographic factors as well as labour market outcomes and earnings. It highlights the importance of problem solving skills by defining this foundational skill and by exploring its determinants as well as its relative role in influencing important labour market outcomes. The report offers also an analysis of performance across multiple skill domains. It investigates the skill profiles of various population groups defined in terms of the demographic and socioeconomic characteristics of those who score at levels deemed to be low in one or more skill domains and explores the resulting consequences. The report concludes by investigating the issue of skill mismatch in the labour market and its relationship to adult learning. The extent and distribution of mismatch between the day to day literacy related requirements of workers and the literacy skills they have obtained is an important issue that is being explored in this study.", "author" : [ { "dropping-particle" : "", "family" : "Statistics Canada", "given" : "", "non-dropping-particle" : "", "parse-names" : false, "suffix" : "" }, { "dropping-particle" : "", "family" : "Organisation for Economic Cooperation and Development", "given" : "", "non-dropping-particle" : "", "parse-names" : false, "suffix" : "" } ], "id" : "ITEM-1", "issued" : { "date-parts" : [ [ "2011", "12" ] ] }, "publisher" : "Statistics Canada and OECD", "publisher-place" : "Ottawa and Paris", "title" : "Literacy for Life: Further Results from the Adult Literacy and Life Skills Survey", "type" : "book" }, "uris" : [ "http://www.mendeley.com/documents/?uuid=64794988-68a9-499c-bc85-bbbb3dcc448f" ] }, { "id" : "ITEM-2", "itemData" : { "author" : [ { "dropping-particle" : "", "family" : "Yamamoto", "given" : "Kentaro", "non-dropping-particle" : "", "parse-names" : false, "suffix" : "" } ], "container-title" : "PIAAC International Research Conference: The Importance of Skills and How to Assess Them", "id" : "ITEM-2", "issued" : { "date-parts" : [ [ "2013" ] ] }, "publisher" : "OECD and ETS", "publisher-place" : "Washington DC", "title" : "Small Area Proficiency Estimation: extension of the PIAAC population modeling for proficiency estimation without direct asssessment", "type" : "paper-conference" }, "uris" : [ "http://www.mendeley.com/documents/?uuid=628dc600-bb78-42d5-aed7-f092bc2c72fc" ] } ], "mendeley" : { "previouslyFormattedCitation" : "(Statistics Canada &amp; Organisation for Economic Cooperation and Development, 2011; Yamamoto, 2013)" }, "properties" : { "noteIndex" : 0 }, "schema" : "https://github.com/citation-style-language/schema/raw/master/csl-citation.json" }</w:instrText>
      </w:r>
      <w:r w:rsidR="009708E0">
        <w:fldChar w:fldCharType="separate"/>
      </w:r>
      <w:r w:rsidR="003C3F96" w:rsidRPr="003C3F96">
        <w:rPr>
          <w:noProof/>
        </w:rPr>
        <w:t>(Statistics Canada &amp; Organisation for Economic Cooperation and Development, 2011; Yamamoto, 2013)</w:t>
      </w:r>
      <w:r w:rsidR="009708E0">
        <w:fldChar w:fldCharType="end"/>
      </w:r>
      <w:r w:rsidR="00B241A7">
        <w:t>.</w:t>
      </w:r>
    </w:p>
    <w:p w:rsidR="00FC7CE9" w:rsidRDefault="00FC7CE9" w:rsidP="00FC7CE9">
      <w:pPr>
        <w:pStyle w:val="Heading3"/>
      </w:pPr>
      <w:r>
        <w:t>The Literacy and Numeracy for Adults Assessment Tool</w:t>
      </w:r>
    </w:p>
    <w:p w:rsidR="00FC7CE9" w:rsidRDefault="00A21023" w:rsidP="00FC7CE9">
      <w:pPr>
        <w:pStyle w:val="BodyText"/>
      </w:pPr>
      <w:r>
        <w:t xml:space="preserve">The purpose of the Assessment Tool was to develop </w:t>
      </w:r>
      <w:r w:rsidR="0075132E">
        <w:t xml:space="preserve">a </w:t>
      </w:r>
      <w:r>
        <w:t xml:space="preserve">measure that would inform what individuals may need to learn in order to improve their literacy and numeracy skills and knowledge. </w:t>
      </w:r>
      <w:r w:rsidR="00FC7CE9">
        <w:t xml:space="preserve">The Assessment Tool is based on the Learning Progressions for Adult Literacy and Numeracy. </w:t>
      </w:r>
      <w:r w:rsidR="000F0350">
        <w:t xml:space="preserve">These progressions “describe the main elements or strands of learning adults require in order to listen with understanding, speak to communicate, read with understanding, write to communicate, make sense of number to solve problems, reason statistically and measure </w:t>
      </w:r>
      <w:r w:rsidR="00594D44">
        <w:t>and</w:t>
      </w:r>
      <w:r w:rsidR="00CD5D96">
        <w:t xml:space="preserve"> interpret shape and space</w:t>
      </w:r>
      <w:r w:rsidR="000F0350">
        <w:t>”</w:t>
      </w:r>
      <w:r w:rsidR="00CD5D96" w:rsidRPr="00CD5D96">
        <w:t xml:space="preserve"> </w:t>
      </w:r>
      <w:r w:rsidR="009708E0">
        <w:fldChar w:fldCharType="begin" w:fldLock="1"/>
      </w:r>
      <w:r w:rsidR="008879E2">
        <w:instrText>ADDIN CSL_CITATION { "citationItems" : [ { "id" : "ITEM-1", "itemData" : { "abstract" : "The learning progressions describe the main elements or strands of learning that adults require in order to: \u2022 Listen with understanding \u2022 Speak to Communicate \u2022 Read with Understanding \u2022 Write to Communicate \u2022 Make Sense of Number to Solve Problems \u2022 Reason Statistically, and \u2022 Measure and Interpret Shape and Space.", "author" : [ { "dropping-particle" : "", "family" : "Tertiary Education Commission", "given" : "", "non-dropping-particle" : "", "parse-names" : false, "suffix" : "" } ], "id" : "ITEM-1", "issued" : { "date-parts" : [ [ "2008" ] ] }, "publisher-place" : "Wellington", "title" : "Learning progressions for adult literacy and numeracy: background information", "type" : "report" }, "uris" : [ "http://www.mendeley.com/documents/?uuid=20394b71-5d92-4fef-a971-4594cd5d6e4b" ] } ], "mendeley" : { "previouslyFormattedCitation" : "(Tertiary Education Commission, 2008a)" }, "properties" : { "noteIndex" : 0 }, "schema" : "https://github.com/citation-style-language/schema/raw/master/csl-citation.json" }</w:instrText>
      </w:r>
      <w:r w:rsidR="009708E0">
        <w:fldChar w:fldCharType="separate"/>
      </w:r>
      <w:r w:rsidR="003C3F96" w:rsidRPr="003C3F96">
        <w:rPr>
          <w:noProof/>
        </w:rPr>
        <w:t>(Tertiary Education Commission, 2008a)</w:t>
      </w:r>
      <w:r w:rsidR="009708E0">
        <w:fldChar w:fldCharType="end"/>
      </w:r>
      <w:r w:rsidR="00CD5D96">
        <w:t>.</w:t>
      </w:r>
      <w:r w:rsidR="00BC5781">
        <w:t xml:space="preserve"> The strands describe a continuum of learning development and reflect the cumulative nature of learning.   Each strand is divided into</w:t>
      </w:r>
      <w:r w:rsidR="002F5C0D">
        <w:t xml:space="preserve"> six</w:t>
      </w:r>
      <w:r w:rsidR="00BC5781">
        <w:t xml:space="preserve"> steps, which denote significant stages of learning. The steps are not always evenly spaced, as learning doesn’</w:t>
      </w:r>
      <w:r w:rsidR="002F5C0D">
        <w:t>t always occur at the same rate</w:t>
      </w:r>
      <w:r w:rsidR="00CD5D96">
        <w:t>.</w:t>
      </w:r>
      <w:r w:rsidR="00BC5781">
        <w:t xml:space="preserve"> </w:t>
      </w:r>
    </w:p>
    <w:p w:rsidR="00592E62" w:rsidRDefault="00BC5781" w:rsidP="00FC7CE9">
      <w:pPr>
        <w:pStyle w:val="BodyText"/>
      </w:pPr>
      <w:r>
        <w:t>The Assessment Tool provide</w:t>
      </w:r>
      <w:r w:rsidR="00B241A7">
        <w:t>s</w:t>
      </w:r>
      <w:r>
        <w:t xml:space="preserve"> assessments against three main strands: reading with understanding; making sense of number to solve problems (general numeracy) and writing to communicate. The reading and numeracy assessments </w:t>
      </w:r>
      <w:r w:rsidR="00CF68C8">
        <w:t xml:space="preserve">have been used most extensively and have counterparts in the ALL survey.  </w:t>
      </w:r>
    </w:p>
    <w:p w:rsidR="00BC5781" w:rsidRDefault="00CF68C8" w:rsidP="00FC7CE9">
      <w:pPr>
        <w:pStyle w:val="BodyText"/>
      </w:pPr>
      <w:r>
        <w:t>The reading with understanding strand addresses the “text-based demands of being a worker, learner and a family and community member … to read a range of every</w:t>
      </w:r>
      <w:r w:rsidR="00CD5D96">
        <w:t>day material with understanding</w:t>
      </w:r>
      <w:r>
        <w:t>”</w:t>
      </w:r>
      <w:r w:rsidR="00CD5D96" w:rsidRPr="00CD5D96">
        <w:t xml:space="preserve"> </w:t>
      </w:r>
      <w:r w:rsidR="009708E0">
        <w:fldChar w:fldCharType="begin" w:fldLock="1"/>
      </w:r>
      <w:r w:rsidR="008879E2">
        <w:instrText>ADDIN CSL_CITATION { "citationItems" : [ { "id" : "ITEM-1", "itemData" : { "abstract" : "The learning progressions describe the main elements or strands of learning that adults require in order to: \u2022 Listen with understanding \u2022 Speak to Communicate \u2022 Read with Understanding \u2022 Write to Communicate \u2022 Make Sense of Number to Solve Problems \u2022 Reason Statistically, and \u2022 Measure and Interpret Shape and Space.", "author" : [ { "dropping-particle" : "", "family" : "Tertiary Education Commission", "given" : "", "non-dropping-particle" : "", "parse-names" : false, "suffix" : "" } ], "id" : "ITEM-1", "issued" : { "date-parts" : [ [ "2008" ] ] }, "publisher-place" : "Wellington", "title" : "Learning progressions for adult literacy and numeracy: background information", "type" : "report" }, "uris" : [ "http://www.mendeley.com/documents/?uuid=20394b71-5d92-4fef-a971-4594cd5d6e4b" ] } ], "mendeley" : { "previouslyFormattedCitation" : "(Tertiary Education Commission, 2008a)" }, "properties" : { "noteIndex" : 0 }, "schema" : "https://github.com/citation-style-language/schema/raw/master/csl-citation.json" }</w:instrText>
      </w:r>
      <w:r w:rsidR="009708E0">
        <w:fldChar w:fldCharType="separate"/>
      </w:r>
      <w:r w:rsidR="003C3F96" w:rsidRPr="003C3F96">
        <w:rPr>
          <w:noProof/>
        </w:rPr>
        <w:t>(Tertiary Education Commission, 2008a)</w:t>
      </w:r>
      <w:r w:rsidR="009708E0">
        <w:fldChar w:fldCharType="end"/>
      </w:r>
      <w:r w:rsidR="00CD5D96">
        <w:t>.</w:t>
      </w:r>
      <w:r>
        <w:t xml:space="preserve">  The progression starts with decoding and moves through language and text features, reading with comprehension and reading critically</w:t>
      </w:r>
      <w:r w:rsidR="002F5C0D">
        <w:t xml:space="preserve">. At step 4, readers are </w:t>
      </w:r>
      <w:r w:rsidR="00B804FA">
        <w:t>introduced to</w:t>
      </w:r>
      <w:r w:rsidR="002F5C0D">
        <w:t xml:space="preserve"> a w</w:t>
      </w:r>
      <w:r w:rsidR="00B804FA">
        <w:t>ider range of materials and taking</w:t>
      </w:r>
      <w:r w:rsidR="002F5C0D">
        <w:t xml:space="preserve"> a more critical approach to things they read</w:t>
      </w:r>
      <w:r w:rsidR="00CD5D96">
        <w:t>.</w:t>
      </w:r>
      <w:r w:rsidR="002F5C0D">
        <w:t xml:space="preserve"> </w:t>
      </w:r>
    </w:p>
    <w:p w:rsidR="00592E62" w:rsidRDefault="00592E62" w:rsidP="00FC7CE9">
      <w:pPr>
        <w:pStyle w:val="BodyText"/>
      </w:pPr>
      <w:r>
        <w:t>The numeracy strands are “based on the belief that in order to meet the demands of being a work</w:t>
      </w:r>
      <w:r w:rsidR="00594D44">
        <w:t>er</w:t>
      </w:r>
      <w:r>
        <w:t>, a learner and a family and community member, adults need to use mathematics to solve prob</w:t>
      </w:r>
      <w:r w:rsidR="00CD5D96">
        <w:t>lems</w:t>
      </w:r>
      <w:r>
        <w:t>”</w:t>
      </w:r>
      <w:r w:rsidR="00CD5D96">
        <w:t xml:space="preserve"> </w:t>
      </w:r>
      <w:r w:rsidR="009708E0">
        <w:fldChar w:fldCharType="begin" w:fldLock="1"/>
      </w:r>
      <w:r w:rsidR="008879E2">
        <w:instrText>ADDIN CSL_CITATION { "citationItems" : [ { "id" : "ITEM-1", "itemData" : { "abstract" : "The learning progressions describe the main elements or strands of learning that adults require in order to: \u2022 Listen with understanding \u2022 Speak to Communicate \u2022 Read with Understanding \u2022 Write to Communicate \u2022 Make Sense of Number to Solve Problems \u2022 Reason Statistically, and \u2022 Measure and Interpret Shape and Space.", "author" : [ { "dropping-particle" : "", "family" : "Tertiary Education Commission", "given" : "", "non-dropping-particle" : "", "parse-names" : false, "suffix" : "" } ], "id" : "ITEM-1", "issued" : { "date-parts" : [ [ "2008" ] ] }, "publisher-place" : "Wellington", "title" : "Learning progressions for adult literacy and numeracy: background information", "type" : "report" }, "uris" : [ "http://www.mendeley.com/documents/?uuid=20394b71-5d92-4fef-a971-4594cd5d6e4b" ] } ], "mendeley" : { "previouslyFormattedCitation" : "(Tertiary Education Commission, 2008a)" }, "properties" : { "noteIndex" : 0 }, "schema" : "https://github.com/citation-style-language/schema/raw/master/csl-citation.json" }</w:instrText>
      </w:r>
      <w:r w:rsidR="009708E0">
        <w:fldChar w:fldCharType="separate"/>
      </w:r>
      <w:r w:rsidR="003C3F96" w:rsidRPr="003C3F96">
        <w:rPr>
          <w:noProof/>
        </w:rPr>
        <w:t>(Tertiary Education Commission, 2008a)</w:t>
      </w:r>
      <w:r w:rsidR="009708E0">
        <w:fldChar w:fldCharType="end"/>
      </w:r>
      <w:r w:rsidR="00CD5D96">
        <w:t>.</w:t>
      </w:r>
      <w:r>
        <w:t xml:space="preserve"> The making sense of number strand is largely based around number strategies. These are the mental processes that learners use to solve operational problems. These strategies cover addition, multiplication, proportional reasoning, sequence, place value and number fact</w:t>
      </w:r>
      <w:r w:rsidR="00594D44">
        <w:t>s</w:t>
      </w:r>
      <w:r>
        <w:t>. The progressions start with simple single step problems and build to multi-step problems, which include justifying the reasonableness of the answers.</w:t>
      </w:r>
      <w:r w:rsidR="00315B67">
        <w:t xml:space="preserve"> At step 5, learners are </w:t>
      </w:r>
      <w:r w:rsidR="00B804FA">
        <w:t xml:space="preserve">introduced to more </w:t>
      </w:r>
      <w:r w:rsidR="00315B67">
        <w:t>sophisticated strategies and looking at how they got to their answers</w:t>
      </w:r>
      <w:r w:rsidR="00CD5D96">
        <w:t xml:space="preserve"> </w:t>
      </w:r>
      <w:r w:rsidR="009708E0">
        <w:fldChar w:fldCharType="begin" w:fldLock="1"/>
      </w:r>
      <w:r w:rsidR="008879E2">
        <w:instrText>ADDIN CSL_CITATION { "citationItems" : [ { "id" : "ITEM-1", "itemData" : { "author" : [ { "dropping-particle" : "", "family" : "Tertiary Education Commission", "given" : "", "non-dropping-particle" : "", "parse-names" : false, "suffix" : "" } ], "id" : "ITEM-1", "issued" : { "date-parts" : [ [ "2008" ] ] }, "publisher-place" : "Wellington", "title" : "Learning progressions for adult numeracy", "type" : "report" }, "uris" : [ "http://www.mendeley.com/documents/?uuid=ab0fdbc8-55b6-45a7-a266-b3e3400b07ef" ] } ], "mendeley" : { "previouslyFormattedCitation" : "(Tertiary Education Commission, 2008b)" }, "properties" : { "noteIndex" : 0 }, "schema" : "https://github.com/citation-style-language/schema/raw/master/csl-citation.json" }</w:instrText>
      </w:r>
      <w:r w:rsidR="009708E0">
        <w:fldChar w:fldCharType="separate"/>
      </w:r>
      <w:r w:rsidR="003C3F96" w:rsidRPr="003C3F96">
        <w:rPr>
          <w:noProof/>
        </w:rPr>
        <w:t>(Tertiary Education Commission, 2008b)</w:t>
      </w:r>
      <w:r w:rsidR="009708E0">
        <w:fldChar w:fldCharType="end"/>
      </w:r>
      <w:r w:rsidR="00315B67">
        <w:t>.</w:t>
      </w:r>
    </w:p>
    <w:p w:rsidR="00315B67" w:rsidRDefault="00315B67" w:rsidP="00315B67">
      <w:pPr>
        <w:pStyle w:val="BodyText"/>
      </w:pPr>
      <w:r>
        <w:t xml:space="preserve">The Assessment Tool provides a continuous scale score from 0 to 1000 for each assessment. </w:t>
      </w:r>
      <w:r w:rsidR="001927BB">
        <w:t xml:space="preserve">Scores are reported with a standard error. These tend to be greater at the </w:t>
      </w:r>
      <w:r w:rsidR="000F72CB">
        <w:t>top of the</w:t>
      </w:r>
      <w:r w:rsidR="001927BB">
        <w:t xml:space="preserve"> scale. </w:t>
      </w:r>
      <w:r>
        <w:t>These scores are then divided into sections that represent the steps on the progressions.  The cut points for the steps are different for reading and general numeracy, reflecting the different</w:t>
      </w:r>
      <w:r w:rsidR="001927BB">
        <w:t xml:space="preserve"> makeup of the two progressions</w:t>
      </w:r>
      <w:r w:rsidR="000F72CB">
        <w:t>.</w:t>
      </w:r>
      <w:r w:rsidR="001927BB">
        <w:t xml:space="preserve"> </w:t>
      </w:r>
      <w:r w:rsidR="000F72CB">
        <w:t>The scale score ranges for each step are set out in the Appendix</w:t>
      </w:r>
      <w:r w:rsidR="00B32F64">
        <w:t>.</w:t>
      </w:r>
      <w:r w:rsidR="000F72CB">
        <w:t xml:space="preserve"> </w:t>
      </w:r>
    </w:p>
    <w:p w:rsidR="00A451B3" w:rsidRDefault="00A451B3" w:rsidP="00FC7CE9">
      <w:pPr>
        <w:pStyle w:val="BodyText"/>
      </w:pPr>
      <w:r>
        <w:t>The development team for the Assessment Tool drew on knowledge and experience from the ALL survey.  For example, the context categories for items</w:t>
      </w:r>
      <w:r w:rsidR="00B241A7">
        <w:t xml:space="preserve"> were adopted directly from the survey</w:t>
      </w:r>
      <w:r w:rsidR="00315B67">
        <w:t>.</w:t>
      </w:r>
      <w:r w:rsidR="00B241A7">
        <w:t xml:space="preserve"> The</w:t>
      </w:r>
      <w:r w:rsidR="0099475E">
        <w:t xml:space="preserve"> T</w:t>
      </w:r>
      <w:r w:rsidR="00B804FA">
        <w:t>ool was trialled with over 10,</w:t>
      </w:r>
      <w:r w:rsidR="00B241A7">
        <w:t>000 learners.  These learners were drawn from programmes that we</w:t>
      </w:r>
      <w:r w:rsidR="0075132E">
        <w:t>re likely to use the T</w:t>
      </w:r>
      <w:r w:rsidR="00B241A7">
        <w:t xml:space="preserve">ool and were not representative of the whole population </w:t>
      </w:r>
      <w:r w:rsidR="009708E0">
        <w:fldChar w:fldCharType="begin" w:fldLock="1"/>
      </w:r>
      <w:r w:rsidR="008879E2">
        <w:instrText>ADDIN CSL_CITATION { "citationItems" : [ { "id" : "ITEM-1", "itemData" : { "ISBN" : "978-1-877293-82-5", "author" : [ { "dropping-particle" : "", "family" : "Mendelovits", "given" : "Juliette", "non-dropping-particle" : "", "parse-names" : false, "suffix" : "" } ], "chapter-number" : "4", "container-title" : "Assessing Adult Learning: literacy and numeracy competencies", "id" : "ITEM-1", "issued" : { "date-parts" : [ [ "2010" ] ] }, "page" : "32-40", "publisher" : "NZCER Press", "publisher-place" : "Wellington", "title" : "Inside the assessment tool: Part 1", "type" : "chapter" }, "uris" : [ "http://www.mendeley.com/documents/?uuid=ef22caa2-afa3-4d58-99a0-ff00fb1fe0b6" ] } ], "mendeley" : { "previouslyFormattedCitation" : "(Mendelovits, 2010)" }, "properties" : { "noteIndex" : 0 }, "schema" : "https://github.com/citation-style-language/schema/raw/master/csl-citation.json" }</w:instrText>
      </w:r>
      <w:r w:rsidR="009708E0">
        <w:fldChar w:fldCharType="separate"/>
      </w:r>
      <w:r w:rsidR="003C3F96" w:rsidRPr="003C3F96">
        <w:rPr>
          <w:noProof/>
        </w:rPr>
        <w:t>(Mendelovits, 2010)</w:t>
      </w:r>
      <w:r w:rsidR="009708E0">
        <w:fldChar w:fldCharType="end"/>
      </w:r>
      <w:r w:rsidR="00B241A7">
        <w:t xml:space="preserve">.  </w:t>
      </w:r>
    </w:p>
    <w:p w:rsidR="00A451B3" w:rsidRPr="00FC7CE9" w:rsidRDefault="001324FC" w:rsidP="00FC7CE9">
      <w:pPr>
        <w:pStyle w:val="BodyText"/>
      </w:pPr>
      <w:r>
        <w:t xml:space="preserve">Whereas the ALL survey was administered in a </w:t>
      </w:r>
      <w:r w:rsidR="00763520">
        <w:t>standardised</w:t>
      </w:r>
      <w:r>
        <w:t xml:space="preserve"> manner, t</w:t>
      </w:r>
      <w:r w:rsidR="00A451B3">
        <w:t>he Assessment Tool is administered in a variety of educ</w:t>
      </w:r>
      <w:r w:rsidR="00594D44">
        <w:t>ational contexts, which include</w:t>
      </w:r>
      <w:r w:rsidR="00A451B3">
        <w:t xml:space="preserve"> classrooms, computer labs, </w:t>
      </w:r>
      <w:r w:rsidR="00A451B3">
        <w:lastRenderedPageBreak/>
        <w:t>community locations and prisons.</w:t>
      </w:r>
      <w:r w:rsidR="00B804FA">
        <w:t xml:space="preserve"> There are varying degrees of supervision and explanation given to learners about the assessments.</w:t>
      </w:r>
      <w:r w:rsidR="00A451B3">
        <w:t xml:space="preserve">  It can be administered either on-line or using a paper version. There is a full version of the assessment, as well as a shorter snapshot</w:t>
      </w:r>
      <w:r w:rsidR="000F72CB">
        <w:t>. All of the items require a multiple choice response</w:t>
      </w:r>
      <w:r w:rsidR="00A451B3">
        <w:t xml:space="preserve"> </w:t>
      </w:r>
      <w:r w:rsidR="009708E0">
        <w:fldChar w:fldCharType="begin" w:fldLock="1"/>
      </w:r>
      <w:r w:rsidR="008879E2">
        <w:instrText>ADDIN CSL_CITATION { "citationItems" : [ { "id" : "ITEM-1", "itemData" : { "ISBN" : "9780478406061", "author" : [ { "dropping-particle" : "", "family" : "Haggland", "given" : "Jacqui", "non-dropping-particle" : "", "parse-names" : false, "suffix" : "" }, { "dropping-particle" : "", "family" : "Earle", "given" : "David", "non-dropping-particle" : "", "parse-names" : false, "suffix" : "" } ], "id" : "ITEM-1", "issued" : { "date-parts" : [ [ "2012" ] ] }, "publisher" : "Ministry of Education", "publisher-place" : "Wellington", "title" : "Engagement is key: the Literacy and Numeracy for Adults Assessment Tool - experiences of implementation", "type" : "book" }, "uris" : [ "http://www.mendeley.com/documents/?uuid=157270a8-9d61-4ac3-b3c5-15523cdc68b9" ] } ], "mendeley" : { "previouslyFormattedCitation" : "(Haggland &amp; Earle, 2012)" }, "properties" : { "noteIndex" : 0 }, "schema" : "https://github.com/citation-style-language/schema/raw/master/csl-citation.json" }</w:instrText>
      </w:r>
      <w:r w:rsidR="009708E0">
        <w:fldChar w:fldCharType="separate"/>
      </w:r>
      <w:r w:rsidR="003C3F96" w:rsidRPr="003C3F96">
        <w:rPr>
          <w:noProof/>
        </w:rPr>
        <w:t>(Haggland &amp; Earle, 2012)</w:t>
      </w:r>
      <w:r w:rsidR="009708E0">
        <w:fldChar w:fldCharType="end"/>
      </w:r>
      <w:r w:rsidR="00A451B3">
        <w:t>.</w:t>
      </w:r>
    </w:p>
    <w:p w:rsidR="00E4658B" w:rsidRDefault="00E4658B" w:rsidP="00E4658B">
      <w:pPr>
        <w:pStyle w:val="Heading2"/>
      </w:pPr>
      <w:r>
        <w:t>Comparing the results</w:t>
      </w:r>
    </w:p>
    <w:p w:rsidR="00561201" w:rsidRDefault="00763520" w:rsidP="00E4658B">
      <w:pPr>
        <w:pStyle w:val="BodyText"/>
      </w:pPr>
      <w:r>
        <w:t>The purpose of the</w:t>
      </w:r>
      <w:r w:rsidR="00561201">
        <w:t xml:space="preserve"> analysis</w:t>
      </w:r>
      <w:r>
        <w:t xml:space="preserve"> in this report </w:t>
      </w:r>
      <w:r w:rsidR="00561201">
        <w:t>is to examine the relationship between the scale scores produced by the ALL</w:t>
      </w:r>
      <w:r w:rsidR="00B804FA">
        <w:t xml:space="preserve"> survey and the Assessment Tool, </w:t>
      </w:r>
      <w:r w:rsidR="00561201">
        <w:t>the extent to which these are correlated</w:t>
      </w:r>
      <w:r w:rsidR="00315B67">
        <w:t xml:space="preserve"> and</w:t>
      </w:r>
      <w:r w:rsidR="00561201">
        <w:t xml:space="preserve"> </w:t>
      </w:r>
      <w:r w:rsidR="00315B67">
        <w:t>to</w:t>
      </w:r>
      <w:r w:rsidR="00561201">
        <w:t xml:space="preserve"> see whether any correspondence can be mapped between the literacy and numeracy levels in the ALL survey and the steps in the Assessment Tool and Learning Progressions. </w:t>
      </w:r>
      <w:r w:rsidR="006173A8">
        <w:t xml:space="preserve">If </w:t>
      </w:r>
      <w:r w:rsidR="00B804FA">
        <w:t>such a mapping</w:t>
      </w:r>
      <w:r w:rsidR="006173A8">
        <w:t xml:space="preserve"> is possible, it would provide a way of relating Assessment Tool results to wider population data</w:t>
      </w:r>
      <w:r w:rsidR="000F72CB">
        <w:t xml:space="preserve"> and international results</w:t>
      </w:r>
      <w:r w:rsidR="006173A8">
        <w:t>.</w:t>
      </w:r>
    </w:p>
    <w:p w:rsidR="00A95A25" w:rsidRDefault="00E4658B" w:rsidP="00E4658B">
      <w:pPr>
        <w:pStyle w:val="BodyText"/>
      </w:pPr>
      <w:r>
        <w:t xml:space="preserve">The ideal way to compare the two </w:t>
      </w:r>
      <w:r w:rsidR="006173A8">
        <w:t>measures</w:t>
      </w:r>
      <w:r>
        <w:t xml:space="preserve"> is to have a group of the same individuals who have been assessed </w:t>
      </w:r>
      <w:r w:rsidR="006173A8">
        <w:t xml:space="preserve">using both </w:t>
      </w:r>
      <w:r w:rsidR="00D7439B">
        <w:t>instruments</w:t>
      </w:r>
      <w:r>
        <w:t xml:space="preserve"> within a short period of time.  </w:t>
      </w:r>
    </w:p>
    <w:p w:rsidR="00E4658B" w:rsidRDefault="00E4658B" w:rsidP="00E4658B">
      <w:pPr>
        <w:pStyle w:val="BodyText"/>
      </w:pPr>
      <w:r>
        <w:t>We almost have this. In 2006, when the ALL survey was conducted, respondents</w:t>
      </w:r>
      <w:r w:rsidR="006173A8">
        <w:t xml:space="preserve"> were asked</w:t>
      </w:r>
      <w:r>
        <w:t xml:space="preserve"> for permission to match their details to the National Student Index</w:t>
      </w:r>
      <w:r w:rsidR="006173A8">
        <w:t>. From this their</w:t>
      </w:r>
      <w:r w:rsidR="00315B67">
        <w:t xml:space="preserve"> ALL survey</w:t>
      </w:r>
      <w:r w:rsidR="006173A8">
        <w:t xml:space="preserve"> r</w:t>
      </w:r>
      <w:r>
        <w:t>esult</w:t>
      </w:r>
      <w:r w:rsidR="00315B67">
        <w:t>s</w:t>
      </w:r>
      <w:r w:rsidR="006173A8">
        <w:t xml:space="preserve"> can be related</w:t>
      </w:r>
      <w:r>
        <w:t xml:space="preserve"> to their National Student Number (NSN).  All </w:t>
      </w:r>
      <w:r w:rsidR="00B804FA">
        <w:t xml:space="preserve">assessment using the </w:t>
      </w:r>
      <w:r>
        <w:t>Assessment Tool must have a NSN.  Of</w:t>
      </w:r>
      <w:r w:rsidR="00A852DD">
        <w:t xml:space="preserve"> the</w:t>
      </w:r>
      <w:r>
        <w:t xml:space="preserve"> </w:t>
      </w:r>
      <w:r w:rsidR="00A852DD">
        <w:t>7,131 people in the</w:t>
      </w:r>
      <w:r>
        <w:t xml:space="preserve"> ALL </w:t>
      </w:r>
      <w:r w:rsidR="00A852DD">
        <w:t>survey</w:t>
      </w:r>
      <w:r>
        <w:t xml:space="preserve">, </w:t>
      </w:r>
      <w:r w:rsidR="00A852DD">
        <w:t xml:space="preserve">we could identify </w:t>
      </w:r>
      <w:r w:rsidR="005F3E1D">
        <w:t>254</w:t>
      </w:r>
      <w:r w:rsidR="00A95A25">
        <w:t xml:space="preserve"> </w:t>
      </w:r>
      <w:r w:rsidR="00A852DD">
        <w:t xml:space="preserve">who </w:t>
      </w:r>
      <w:r w:rsidR="0099475E">
        <w:t>had</w:t>
      </w:r>
      <w:r w:rsidR="00A95A25">
        <w:t xml:space="preserve"> undertaken reading and numeracy assessments on the </w:t>
      </w:r>
      <w:r w:rsidR="005F3E1D">
        <w:t>Assessment Tool by December 2013</w:t>
      </w:r>
      <w:r w:rsidR="00A95A25">
        <w:t xml:space="preserve">. Of these </w:t>
      </w:r>
      <w:r w:rsidR="00D3429D">
        <w:t>222</w:t>
      </w:r>
      <w:r w:rsidR="00A95A25">
        <w:t xml:space="preserve"> undertook reading assessment</w:t>
      </w:r>
      <w:r w:rsidR="00594D44">
        <w:t>s</w:t>
      </w:r>
      <w:r w:rsidR="00A95A25">
        <w:t xml:space="preserve"> and </w:t>
      </w:r>
      <w:r w:rsidR="00D3429D">
        <w:t xml:space="preserve">141 </w:t>
      </w:r>
      <w:r w:rsidR="00A95A25">
        <w:t>undertook general numeracy assessments.</w:t>
      </w:r>
    </w:p>
    <w:p w:rsidR="00196B67" w:rsidRDefault="00A95A25" w:rsidP="00E4658B">
      <w:pPr>
        <w:pStyle w:val="BodyText"/>
      </w:pPr>
      <w:r>
        <w:t>This provides a reasonab</w:t>
      </w:r>
      <w:r w:rsidR="0099475E">
        <w:t>ly</w:t>
      </w:r>
      <w:r>
        <w:t xml:space="preserve"> size</w:t>
      </w:r>
      <w:r w:rsidR="0099475E">
        <w:t>d</w:t>
      </w:r>
      <w:r>
        <w:t xml:space="preserve"> comparison group. </w:t>
      </w:r>
      <w:r w:rsidR="006173A8">
        <w:t>The comparison is made with the first assessment</w:t>
      </w:r>
      <w:r>
        <w:t xml:space="preserve"> </w:t>
      </w:r>
      <w:r w:rsidR="006173A8">
        <w:t>for</w:t>
      </w:r>
      <w:r>
        <w:t xml:space="preserve"> each individual on the Assessment Tool. This reduces </w:t>
      </w:r>
      <w:r w:rsidR="00B804FA">
        <w:t>the likelihood of any confounding</w:t>
      </w:r>
      <w:r>
        <w:t xml:space="preserve"> effects </w:t>
      </w:r>
      <w:r w:rsidR="00B804FA">
        <w:t>that could come from</w:t>
      </w:r>
      <w:r>
        <w:t xml:space="preserve"> their engagement with learning programmes. However, the comparison </w:t>
      </w:r>
      <w:r w:rsidR="00572022">
        <w:t>may be</w:t>
      </w:r>
      <w:r>
        <w:t xml:space="preserve"> weakened by the elapsed time between the survey and the assessments.</w:t>
      </w:r>
      <w:r w:rsidR="00080C6D">
        <w:t xml:space="preserve"> The assessments were spread betw</w:t>
      </w:r>
      <w:r w:rsidR="005F3E1D">
        <w:t>een April 2010 and December 2013</w:t>
      </w:r>
      <w:r w:rsidR="00080C6D">
        <w:t xml:space="preserve">. This means there </w:t>
      </w:r>
      <w:proofErr w:type="gramStart"/>
      <w:r w:rsidR="00080C6D">
        <w:t>was</w:t>
      </w:r>
      <w:proofErr w:type="gramEnd"/>
      <w:r w:rsidR="00080C6D">
        <w:t xml:space="preserve"> </w:t>
      </w:r>
      <w:r w:rsidR="00572022">
        <w:t>a four to</w:t>
      </w:r>
      <w:r w:rsidR="00080C6D">
        <w:t xml:space="preserve"> </w:t>
      </w:r>
      <w:r w:rsidR="005F3E1D">
        <w:t>seven</w:t>
      </w:r>
      <w:r w:rsidR="00080C6D">
        <w:t xml:space="preserve"> year gap between the</w:t>
      </w:r>
      <w:r w:rsidR="006173A8">
        <w:t xml:space="preserve"> </w:t>
      </w:r>
      <w:r w:rsidR="001324FC">
        <w:t xml:space="preserve">2006 </w:t>
      </w:r>
      <w:r w:rsidR="006173A8">
        <w:t>ALL survey and</w:t>
      </w:r>
      <w:r w:rsidR="00080C6D">
        <w:t xml:space="preserve"> </w:t>
      </w:r>
      <w:r w:rsidR="006173A8">
        <w:t>Assessment Tool result</w:t>
      </w:r>
      <w:r w:rsidR="00594D44">
        <w:t>s</w:t>
      </w:r>
      <w:r w:rsidR="00080C6D">
        <w:t>.</w:t>
      </w:r>
      <w:r w:rsidR="00572022">
        <w:rPr>
          <w:rStyle w:val="FootnoteReference"/>
        </w:rPr>
        <w:footnoteReference w:id="2"/>
      </w:r>
      <w:r w:rsidR="00BF176A">
        <w:t xml:space="preserve"> </w:t>
      </w:r>
    </w:p>
    <w:p w:rsidR="00A95A25" w:rsidRDefault="00BF176A" w:rsidP="00E4658B">
      <w:pPr>
        <w:pStyle w:val="BodyText"/>
      </w:pPr>
      <w:r>
        <w:t xml:space="preserve">The group </w:t>
      </w:r>
      <w:r w:rsidR="0099475E">
        <w:t>that</w:t>
      </w:r>
      <w:r w:rsidR="004E696B">
        <w:t xml:space="preserve"> is</w:t>
      </w:r>
      <w:r w:rsidR="0099475E">
        <w:t xml:space="preserve"> most</w:t>
      </w:r>
      <w:r w:rsidR="00196B67">
        <w:t xml:space="preserve"> likely have the greatest difference in score</w:t>
      </w:r>
      <w:r w:rsidR="004E696B">
        <w:t>s</w:t>
      </w:r>
      <w:r w:rsidR="00572022">
        <w:t xml:space="preserve"> between the survey and assessment</w:t>
      </w:r>
      <w:r w:rsidR="00196B67">
        <w:t xml:space="preserve"> are those</w:t>
      </w:r>
      <w:r>
        <w:t xml:space="preserve"> aged </w:t>
      </w:r>
      <w:proofErr w:type="gramStart"/>
      <w:r>
        <w:t>under</w:t>
      </w:r>
      <w:proofErr w:type="gramEnd"/>
      <w:r>
        <w:t xml:space="preserve"> 25 at the time of the ALL survey. They would still have been undertaking school </w:t>
      </w:r>
      <w:r w:rsidR="00B32F64">
        <w:t>or</w:t>
      </w:r>
      <w:r>
        <w:t xml:space="preserve"> tertiary education and developing their work experience. Both of these factors are likely to have increased their numeracy and literacy skills. </w:t>
      </w:r>
      <w:r w:rsidR="00196B67">
        <w:t>In international longitudinal research, this age group has b</w:t>
      </w:r>
      <w:r w:rsidR="001324FC">
        <w:t>een observed to have the greatest</w:t>
      </w:r>
      <w:r w:rsidR="00196B67">
        <w:t xml:space="preserve"> increase in proficiency over time </w:t>
      </w:r>
      <w:r w:rsidR="009708E0">
        <w:fldChar w:fldCharType="begin" w:fldLock="1"/>
      </w:r>
      <w:r w:rsidR="008879E2">
        <w:instrText>ADDIN CSL_CITATION { "citationItems" : [ { "id" : "ITEM-1", "itemData" : { "ISBN" : "0-415-95858-X", "author" : [ { "dropping-particle" : "", "family" : "Reder", "given" : "Stephen", "non-dropping-particle" : "", "parse-names" : false, "suffix" : "" } ], "chapter-number" : "2", "container-title" : "Tracking Adult Literacy and Numeracy Skills: findings from longitudinal research", "editor" : [ { "dropping-particle" : "", "family" : "Reder", "given" : "S", "non-dropping-particle" : "", "parse-names" : false, "suffix" : "" }, { "dropping-particle" : "", "family" : "Bynner", "given" : "J", "non-dropping-particle" : "", "parse-names" : false, "suffix" : "" } ], "id" : "ITEM-1", "issued" : { "date-parts" : [ [ "2009" ] ] }, "note" : "        From Duplicate 1 (                           The development of literacy and numeracy in adult life                         - Reder, S )\n                \nAdded to JabRef: 2011.12.16\n        \nOwner: david\n        \n        \n        \n        From Duplicate 2 (                           The development of literacy and numeracy in adult life                         - Reder, S )\n                \nAdded to JabRef: 2011.12.16 ---=note-separator=--- Owner: david\n        \n      ", "page" : "59-84", "publisher" : "Routledge", "publisher-place" : "New York and London,", "title" : "The development of literacy and numeracy in adult life", "type" : "chapter" }, "uris" : [ "http://www.mendeley.com/documents/?uuid=1ab96ed3-b673-4a7b-a70e-f062c403ef77" ] } ], "mendeley" : { "previouslyFormattedCitation" : "(Reder, 2009)" }, "properties" : { "noteIndex" : 0 }, "schema" : "https://github.com/citation-style-language/schema/raw/master/csl-citation.json" }</w:instrText>
      </w:r>
      <w:r w:rsidR="009708E0">
        <w:fldChar w:fldCharType="separate"/>
      </w:r>
      <w:r w:rsidR="003C3F96" w:rsidRPr="003C3F96">
        <w:rPr>
          <w:noProof/>
        </w:rPr>
        <w:t>(Reder, 2009)</w:t>
      </w:r>
      <w:r w:rsidR="009708E0">
        <w:fldChar w:fldCharType="end"/>
      </w:r>
      <w:r w:rsidR="00196B67">
        <w:t>. One strategy to reduce the age</w:t>
      </w:r>
      <w:r>
        <w:t xml:space="preserve"> effect is to just focus on people who were aged 25 and over at the time of the ALL survey.</w:t>
      </w:r>
    </w:p>
    <w:p w:rsidR="00196B67" w:rsidRDefault="00196B67" w:rsidP="00E4658B">
      <w:pPr>
        <w:pStyle w:val="BodyText"/>
      </w:pPr>
      <w:r>
        <w:t xml:space="preserve">The following analysis is just based on comparing actual scores on the Assessment Tool and the ALL survey.  In each case, these scores have a margin of error and these margins of error can be substantial at the individual level. It was decided not to incorporate the margins of errors into the analysis as this adds a level of complexity to the techniques required to analyse the data. </w:t>
      </w:r>
      <w:r w:rsidR="001324FC">
        <w:t xml:space="preserve">This does not invalidate the results, but does mean they </w:t>
      </w:r>
      <w:r>
        <w:t>do need to be interpreted with caution.</w:t>
      </w:r>
    </w:p>
    <w:p w:rsidR="00B94DB1" w:rsidRDefault="00B94DB1" w:rsidP="00B94DB1">
      <w:pPr>
        <w:pStyle w:val="Heading2"/>
      </w:pPr>
      <w:r>
        <w:t>The comparison group</w:t>
      </w:r>
    </w:p>
    <w:p w:rsidR="003B71FB" w:rsidRDefault="003B71FB" w:rsidP="00E4658B">
      <w:pPr>
        <w:pStyle w:val="BodyText"/>
      </w:pPr>
      <w:r>
        <w:t xml:space="preserve">The group who were assessed on the Assessment Tool were younger than the overall sample for the ALL survey. </w:t>
      </w:r>
      <w:r w:rsidR="005F3E1D">
        <w:t>Eighty</w:t>
      </w:r>
      <w:r>
        <w:t xml:space="preserve">-nine of the </w:t>
      </w:r>
      <w:r w:rsidR="005F3E1D">
        <w:t>254</w:t>
      </w:r>
      <w:r>
        <w:t xml:space="preserve"> were aged </w:t>
      </w:r>
      <w:proofErr w:type="gramStart"/>
      <w:r w:rsidR="001E1572">
        <w:t>under</w:t>
      </w:r>
      <w:proofErr w:type="gramEnd"/>
      <w:r w:rsidR="001E1572">
        <w:t xml:space="preserve"> 25</w:t>
      </w:r>
      <w:r w:rsidR="00F43461">
        <w:t xml:space="preserve"> at the time of the ALL survey</w:t>
      </w:r>
      <w:r w:rsidR="001E1572">
        <w:t xml:space="preserve">. </w:t>
      </w:r>
      <w:r w:rsidR="009708E0">
        <w:fldChar w:fldCharType="begin"/>
      </w:r>
      <w:r w:rsidR="001E1572">
        <w:instrText xml:space="preserve"> REF _Ref375638967 \h </w:instrText>
      </w:r>
      <w:r w:rsidR="009708E0">
        <w:fldChar w:fldCharType="separate"/>
      </w:r>
      <w:r w:rsidR="00E333BF">
        <w:t xml:space="preserve">Figure </w:t>
      </w:r>
      <w:r w:rsidR="00E333BF">
        <w:rPr>
          <w:noProof/>
        </w:rPr>
        <w:t>1</w:t>
      </w:r>
      <w:r w:rsidR="009708E0">
        <w:fldChar w:fldCharType="end"/>
      </w:r>
      <w:r w:rsidR="001E1572">
        <w:t xml:space="preserve"> shows the age distribution</w:t>
      </w:r>
      <w:r w:rsidR="00B32F64">
        <w:t xml:space="preserve"> </w:t>
      </w:r>
      <w:proofErr w:type="gramStart"/>
      <w:r w:rsidR="00B32F64">
        <w:t xml:space="preserve">of </w:t>
      </w:r>
      <w:r w:rsidR="001E1572">
        <w:t xml:space="preserve"> the</w:t>
      </w:r>
      <w:proofErr w:type="gramEnd"/>
      <w:r w:rsidR="001E1572">
        <w:t xml:space="preserve"> people who were assessed</w:t>
      </w:r>
      <w:r w:rsidR="0099475E">
        <w:t xml:space="preserve"> on both</w:t>
      </w:r>
      <w:r w:rsidR="001E1572">
        <w:t xml:space="preserve"> the Assessment </w:t>
      </w:r>
      <w:r w:rsidR="001E1572">
        <w:lastRenderedPageBreak/>
        <w:t xml:space="preserve">Tool and ALL, and compares this with their expected age distribution if they were representative of </w:t>
      </w:r>
      <w:r w:rsidR="0099475E">
        <w:t xml:space="preserve">the </w:t>
      </w:r>
      <w:r w:rsidR="001E1572">
        <w:t>age distribution of the ALL survey sample.</w:t>
      </w:r>
    </w:p>
    <w:p w:rsidR="00F43461" w:rsidRDefault="001E1572" w:rsidP="00E4658B">
      <w:pPr>
        <w:pStyle w:val="BodyText"/>
      </w:pPr>
      <w:r>
        <w:t xml:space="preserve">There are two major reasons for the younger age distribution. Younger people are more likely to have an NSN than older people, as they will have participated </w:t>
      </w:r>
      <w:r w:rsidR="00763520">
        <w:t xml:space="preserve">recently </w:t>
      </w:r>
      <w:r>
        <w:t xml:space="preserve">in school qualifications and tertiary education. A high proportion of assessments using the Assessment Tool have been undertaken with </w:t>
      </w:r>
      <w:r w:rsidR="00F43461">
        <w:t xml:space="preserve">younger people. In 2011, 31 per cent of assessed learners were aged 16 to 19 and 51 per cent were aged under 25 </w:t>
      </w:r>
      <w:r w:rsidR="009708E0">
        <w:fldChar w:fldCharType="begin" w:fldLock="1"/>
      </w:r>
      <w:r w:rsidR="008879E2">
        <w:instrText>ADDIN CSL_CITATION { "citationItems" : [ { "id" : "ITEM-1", "itemData" : { "ISBN" : "9780478406054", "author" : [ { "dropping-particle" : "", "family" : "Lane", "given" : "Chris", "non-dropping-particle" : "", "parse-names" : false, "suffix" : "" } ], "id" : "ITEM-1", "issued" : { "date-parts" : [ [ "2012" ] ] }, "publisher" : "Ministry of Education", "publisher-place" : "Wellington", "title" : "Assessing skills of adult learners in 2011: profiling skills and learning using the Literacy and Numeracy for Adults Assessment Tool", "type" : "book" }, "uris" : [ "http://www.mendeley.com/documents/?uuid=52a826a8-3e64-4389-81c1-b5d1fdf65ba2" ] } ], "mendeley" : { "previouslyFormattedCitation" : "(Lane, 2012)" }, "properties" : { "noteIndex" : 0 }, "schema" : "https://github.com/citation-style-language/schema/raw/master/csl-citation.json" }</w:instrText>
      </w:r>
      <w:r w:rsidR="009708E0">
        <w:fldChar w:fldCharType="separate"/>
      </w:r>
      <w:r w:rsidR="003C3F96" w:rsidRPr="003C3F96">
        <w:rPr>
          <w:noProof/>
        </w:rPr>
        <w:t>(Lane, 2012)</w:t>
      </w:r>
      <w:r w:rsidR="009708E0">
        <w:fldChar w:fldCharType="end"/>
      </w:r>
      <w:r w:rsidR="00F43461">
        <w:t>.</w:t>
      </w:r>
    </w:p>
    <w:p w:rsidR="001E1572" w:rsidRDefault="001E1572" w:rsidP="001E1572">
      <w:pPr>
        <w:pStyle w:val="Caption"/>
        <w:jc w:val="both"/>
      </w:pPr>
      <w:bookmarkStart w:id="1" w:name="_Ref375638967"/>
      <w:r>
        <w:t xml:space="preserve">Figure </w:t>
      </w:r>
      <w:fldSimple w:instr=" SEQ Figure \* ARABIC ">
        <w:r w:rsidR="00E333BF">
          <w:rPr>
            <w:noProof/>
          </w:rPr>
          <w:t>1</w:t>
        </w:r>
      </w:fldSimple>
      <w:bookmarkEnd w:id="1"/>
    </w:p>
    <w:p w:rsidR="00196B67" w:rsidRPr="00196B67" w:rsidRDefault="00763520" w:rsidP="00196B67">
      <w:pPr>
        <w:pStyle w:val="Figurelabel"/>
      </w:pPr>
      <w:r>
        <w:t>Actual and expected a</w:t>
      </w:r>
      <w:r w:rsidR="00196B67">
        <w:t xml:space="preserve">ge distribution of people assessed in </w:t>
      </w:r>
      <w:r>
        <w:t xml:space="preserve">both </w:t>
      </w:r>
      <w:r w:rsidR="00196B67">
        <w:t>ALL and the Assessment Tool</w:t>
      </w:r>
    </w:p>
    <w:p w:rsidR="001E1572" w:rsidRDefault="00572022" w:rsidP="00E4658B">
      <w:pPr>
        <w:pStyle w:val="BodyText"/>
      </w:pPr>
      <w:r w:rsidRPr="00572022">
        <w:rPr>
          <w:noProof/>
          <w:lang w:eastAsia="en-NZ"/>
        </w:rPr>
        <w:drawing>
          <wp:inline distT="0" distB="0" distL="0" distR="0">
            <wp:extent cx="3848100" cy="2314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848100" cy="2314575"/>
                    </a:xfrm>
                    <a:prstGeom prst="rect">
                      <a:avLst/>
                    </a:prstGeom>
                    <a:noFill/>
                    <a:ln w="9525">
                      <a:noFill/>
                      <a:miter lim="800000"/>
                      <a:headEnd/>
                      <a:tailEnd/>
                    </a:ln>
                  </pic:spPr>
                </pic:pic>
              </a:graphicData>
            </a:graphic>
          </wp:inline>
        </w:drawing>
      </w:r>
    </w:p>
    <w:p w:rsidR="00080C6D" w:rsidRDefault="00080C6D" w:rsidP="00E4658B">
      <w:pPr>
        <w:pStyle w:val="BodyText"/>
      </w:pPr>
      <w:r>
        <w:t>The group who wer</w:t>
      </w:r>
      <w:r w:rsidR="00BF176A">
        <w:t>e assessed on the A</w:t>
      </w:r>
      <w:r>
        <w:t xml:space="preserve">ssessment </w:t>
      </w:r>
      <w:r w:rsidR="00BF176A">
        <w:t>T</w:t>
      </w:r>
      <w:r w:rsidR="00C17338">
        <w:t xml:space="preserve">ool had lower results on the ALL survey than </w:t>
      </w:r>
      <w:r w:rsidR="00315B67">
        <w:t xml:space="preserve">for the </w:t>
      </w:r>
      <w:r w:rsidR="00C17338">
        <w:t>general population</w:t>
      </w:r>
      <w:r w:rsidR="00315B67">
        <w:t xml:space="preserve"> in 2006</w:t>
      </w:r>
      <w:r w:rsidR="00C17338">
        <w:t xml:space="preserve">. </w:t>
      </w:r>
      <w:r w:rsidR="009708E0">
        <w:fldChar w:fldCharType="begin"/>
      </w:r>
      <w:r w:rsidR="00C17338">
        <w:instrText xml:space="preserve"> REF _Ref363034621 \h </w:instrText>
      </w:r>
      <w:r w:rsidR="009708E0">
        <w:fldChar w:fldCharType="separate"/>
      </w:r>
      <w:r w:rsidR="00E333BF">
        <w:t xml:space="preserve">Table </w:t>
      </w:r>
      <w:r w:rsidR="00E333BF">
        <w:rPr>
          <w:noProof/>
        </w:rPr>
        <w:t>1</w:t>
      </w:r>
      <w:r w:rsidR="009708E0">
        <w:fldChar w:fldCharType="end"/>
      </w:r>
      <w:r w:rsidR="00B32F64">
        <w:t xml:space="preserve"> compares the mean</w:t>
      </w:r>
      <w:r w:rsidR="00C17338">
        <w:t xml:space="preserve"> scale scores </w:t>
      </w:r>
      <w:r w:rsidR="00016FD1">
        <w:t xml:space="preserve">for </w:t>
      </w:r>
      <w:proofErr w:type="gramStart"/>
      <w:r w:rsidR="00016FD1">
        <w:t>under</w:t>
      </w:r>
      <w:proofErr w:type="gramEnd"/>
      <w:r w:rsidR="00016FD1">
        <w:t xml:space="preserve"> 25 year olds and </w:t>
      </w:r>
      <w:r w:rsidR="00B32F64">
        <w:t>people aged 25 years and over</w:t>
      </w:r>
      <w:r w:rsidR="00D75C91">
        <w:t xml:space="preserve"> by whether people did or did not have an Assessment Tool result</w:t>
      </w:r>
      <w:r w:rsidR="00C17338">
        <w:t xml:space="preserve">. In each case </w:t>
      </w:r>
      <w:r w:rsidR="00016FD1">
        <w:t>the differences</w:t>
      </w:r>
      <w:r w:rsidR="00D75C91">
        <w:t xml:space="preserve"> for those who had an Assessment Tool result</w:t>
      </w:r>
      <w:r w:rsidR="00016FD1">
        <w:t xml:space="preserve"> </w:t>
      </w:r>
      <w:r w:rsidR="00D75C91">
        <w:t>were</w:t>
      </w:r>
      <w:r w:rsidR="00016FD1">
        <w:t xml:space="preserve"> statistically significant</w:t>
      </w:r>
      <w:r w:rsidR="006173A8">
        <w:t>.</w:t>
      </w:r>
      <w:r w:rsidR="00085C3C">
        <w:rPr>
          <w:rStyle w:val="FootnoteReference"/>
        </w:rPr>
        <w:footnoteReference w:id="3"/>
      </w:r>
    </w:p>
    <w:p w:rsidR="00C17338" w:rsidRDefault="00C17338" w:rsidP="00C17338">
      <w:pPr>
        <w:pStyle w:val="Caption"/>
      </w:pPr>
      <w:bookmarkStart w:id="2" w:name="_Ref363034621"/>
      <w:r>
        <w:t xml:space="preserve">Table </w:t>
      </w:r>
      <w:fldSimple w:instr=" SEQ Table \* ARABIC ">
        <w:r w:rsidR="00E333BF">
          <w:rPr>
            <w:noProof/>
          </w:rPr>
          <w:t>1</w:t>
        </w:r>
      </w:fldSimple>
      <w:bookmarkEnd w:id="2"/>
    </w:p>
    <w:p w:rsidR="00196B67" w:rsidRPr="00196B67" w:rsidRDefault="00242F16" w:rsidP="00196B67">
      <w:pPr>
        <w:pStyle w:val="Tablelabel"/>
      </w:pPr>
      <w:r>
        <w:t xml:space="preserve">ALL survey </w:t>
      </w:r>
      <w:r w:rsidR="00AC1A32">
        <w:t xml:space="preserve">mean </w:t>
      </w:r>
      <w:r>
        <w:t xml:space="preserve">scale scores </w:t>
      </w:r>
      <w:r w:rsidR="00763520">
        <w:t xml:space="preserve">for </w:t>
      </w:r>
      <w:r>
        <w:t>those with and without Assessment Tool results</w:t>
      </w:r>
    </w:p>
    <w:tbl>
      <w:tblPr>
        <w:tblStyle w:val="TableMOE4"/>
        <w:tblW w:w="0" w:type="auto"/>
        <w:tblLook w:val="04A0"/>
      </w:tblPr>
      <w:tblGrid>
        <w:gridCol w:w="1830"/>
        <w:gridCol w:w="1847"/>
        <w:gridCol w:w="1907"/>
        <w:gridCol w:w="1474"/>
        <w:gridCol w:w="1474"/>
      </w:tblGrid>
      <w:tr w:rsidR="00016FD1" w:rsidTr="00702279">
        <w:trPr>
          <w:cnfStyle w:val="100000000000"/>
        </w:trPr>
        <w:tc>
          <w:tcPr>
            <w:cnfStyle w:val="001000000000"/>
            <w:tcW w:w="1830" w:type="dxa"/>
          </w:tcPr>
          <w:p w:rsidR="00016FD1" w:rsidRDefault="00016FD1" w:rsidP="00C17338">
            <w:pPr>
              <w:pStyle w:val="Tableheading"/>
              <w:jc w:val="left"/>
            </w:pPr>
          </w:p>
        </w:tc>
        <w:tc>
          <w:tcPr>
            <w:tcW w:w="3754" w:type="dxa"/>
            <w:gridSpan w:val="2"/>
          </w:tcPr>
          <w:p w:rsidR="00016FD1" w:rsidRDefault="00016FD1" w:rsidP="00C17338">
            <w:pPr>
              <w:pStyle w:val="Tableheading"/>
              <w:cnfStyle w:val="100000000000"/>
            </w:pPr>
            <w:r>
              <w:t>Under 25 years</w:t>
            </w:r>
          </w:p>
        </w:tc>
        <w:tc>
          <w:tcPr>
            <w:tcW w:w="2948" w:type="dxa"/>
            <w:gridSpan w:val="2"/>
          </w:tcPr>
          <w:p w:rsidR="00016FD1" w:rsidRDefault="00016FD1" w:rsidP="00C17338">
            <w:pPr>
              <w:pStyle w:val="Tableheading"/>
              <w:cnfStyle w:val="100000000000"/>
            </w:pPr>
            <w:r>
              <w:t>25 years and over</w:t>
            </w:r>
          </w:p>
        </w:tc>
      </w:tr>
      <w:tr w:rsidR="00016FD1" w:rsidTr="00016FD1">
        <w:tc>
          <w:tcPr>
            <w:cnfStyle w:val="001000000000"/>
            <w:tcW w:w="1830" w:type="dxa"/>
          </w:tcPr>
          <w:p w:rsidR="00016FD1" w:rsidRDefault="00016FD1" w:rsidP="00C17338">
            <w:pPr>
              <w:pStyle w:val="Tableheading"/>
              <w:jc w:val="left"/>
            </w:pPr>
          </w:p>
        </w:tc>
        <w:tc>
          <w:tcPr>
            <w:tcW w:w="1847" w:type="dxa"/>
          </w:tcPr>
          <w:p w:rsidR="00016FD1" w:rsidRDefault="00016FD1" w:rsidP="00C17338">
            <w:pPr>
              <w:pStyle w:val="Tableheading"/>
              <w:cnfStyle w:val="000000000000"/>
            </w:pPr>
            <w:r>
              <w:t>No Assessment Tool results</w:t>
            </w:r>
          </w:p>
        </w:tc>
        <w:tc>
          <w:tcPr>
            <w:tcW w:w="1907" w:type="dxa"/>
          </w:tcPr>
          <w:p w:rsidR="00016FD1" w:rsidRDefault="00016FD1" w:rsidP="00C17338">
            <w:pPr>
              <w:pStyle w:val="Tableheading"/>
              <w:cnfStyle w:val="000000000000"/>
            </w:pPr>
            <w:r>
              <w:t>With Assessment Tool results</w:t>
            </w:r>
          </w:p>
        </w:tc>
        <w:tc>
          <w:tcPr>
            <w:tcW w:w="1474" w:type="dxa"/>
          </w:tcPr>
          <w:p w:rsidR="00016FD1" w:rsidRDefault="00016FD1" w:rsidP="00702279">
            <w:pPr>
              <w:pStyle w:val="Tableheading"/>
              <w:cnfStyle w:val="000000000000"/>
            </w:pPr>
            <w:r>
              <w:t>No Assessment Tool results</w:t>
            </w:r>
          </w:p>
        </w:tc>
        <w:tc>
          <w:tcPr>
            <w:tcW w:w="1474" w:type="dxa"/>
          </w:tcPr>
          <w:p w:rsidR="00016FD1" w:rsidRDefault="00016FD1" w:rsidP="00702279">
            <w:pPr>
              <w:pStyle w:val="Tableheading"/>
              <w:cnfStyle w:val="000000000000"/>
            </w:pPr>
            <w:r>
              <w:t>With Assessment Tool results</w:t>
            </w:r>
          </w:p>
        </w:tc>
      </w:tr>
      <w:tr w:rsidR="00016FD1" w:rsidTr="00016FD1">
        <w:tc>
          <w:tcPr>
            <w:cnfStyle w:val="001000000000"/>
            <w:tcW w:w="1830" w:type="dxa"/>
          </w:tcPr>
          <w:p w:rsidR="00016FD1" w:rsidRDefault="00016FD1" w:rsidP="00C17338">
            <w:pPr>
              <w:pStyle w:val="Tableheading"/>
              <w:jc w:val="left"/>
            </w:pPr>
            <w:r>
              <w:t>Prose literacy</w:t>
            </w:r>
          </w:p>
        </w:tc>
        <w:tc>
          <w:tcPr>
            <w:tcW w:w="1847" w:type="dxa"/>
          </w:tcPr>
          <w:p w:rsidR="00016FD1" w:rsidRDefault="00016FD1" w:rsidP="00C17338">
            <w:pPr>
              <w:pStyle w:val="Tableheading"/>
              <w:cnfStyle w:val="000000000000"/>
            </w:pPr>
            <w:r>
              <w:t>27</w:t>
            </w:r>
            <w:r w:rsidR="0047273A">
              <w:t>2</w:t>
            </w:r>
          </w:p>
        </w:tc>
        <w:tc>
          <w:tcPr>
            <w:tcW w:w="1907" w:type="dxa"/>
          </w:tcPr>
          <w:p w:rsidR="00016FD1" w:rsidRDefault="00016FD1" w:rsidP="00C17338">
            <w:pPr>
              <w:pStyle w:val="Tableheading"/>
              <w:cnfStyle w:val="000000000000"/>
            </w:pPr>
            <w:r>
              <w:t>26</w:t>
            </w:r>
            <w:r w:rsidR="0047273A">
              <w:t>1</w:t>
            </w:r>
          </w:p>
        </w:tc>
        <w:tc>
          <w:tcPr>
            <w:tcW w:w="1474" w:type="dxa"/>
          </w:tcPr>
          <w:p w:rsidR="00016FD1" w:rsidRDefault="00016FD1" w:rsidP="00C17338">
            <w:pPr>
              <w:pStyle w:val="Tableheading"/>
              <w:cnfStyle w:val="000000000000"/>
            </w:pPr>
            <w:r>
              <w:t>279</w:t>
            </w:r>
          </w:p>
        </w:tc>
        <w:tc>
          <w:tcPr>
            <w:tcW w:w="1474" w:type="dxa"/>
          </w:tcPr>
          <w:p w:rsidR="00016FD1" w:rsidRDefault="00016FD1" w:rsidP="00C17338">
            <w:pPr>
              <w:pStyle w:val="Tableheading"/>
              <w:cnfStyle w:val="000000000000"/>
            </w:pPr>
            <w:r>
              <w:t>268</w:t>
            </w:r>
          </w:p>
        </w:tc>
      </w:tr>
      <w:tr w:rsidR="00016FD1" w:rsidTr="00016FD1">
        <w:tc>
          <w:tcPr>
            <w:cnfStyle w:val="001000000000"/>
            <w:tcW w:w="1830" w:type="dxa"/>
          </w:tcPr>
          <w:p w:rsidR="00016FD1" w:rsidRDefault="00016FD1" w:rsidP="00C17338">
            <w:pPr>
              <w:pStyle w:val="Tableheading"/>
              <w:jc w:val="left"/>
            </w:pPr>
            <w:r>
              <w:t>Document literacy</w:t>
            </w:r>
          </w:p>
        </w:tc>
        <w:tc>
          <w:tcPr>
            <w:tcW w:w="1847" w:type="dxa"/>
          </w:tcPr>
          <w:p w:rsidR="00016FD1" w:rsidRDefault="00016FD1" w:rsidP="00C17338">
            <w:pPr>
              <w:pStyle w:val="Tableheading"/>
              <w:cnfStyle w:val="000000000000"/>
            </w:pPr>
            <w:r>
              <w:t>275</w:t>
            </w:r>
          </w:p>
        </w:tc>
        <w:tc>
          <w:tcPr>
            <w:tcW w:w="1907" w:type="dxa"/>
          </w:tcPr>
          <w:p w:rsidR="00016FD1" w:rsidRDefault="00016FD1" w:rsidP="00C17338">
            <w:pPr>
              <w:pStyle w:val="Tableheading"/>
              <w:cnfStyle w:val="000000000000"/>
            </w:pPr>
            <w:r>
              <w:t>26</w:t>
            </w:r>
            <w:r w:rsidR="0047273A">
              <w:t>3</w:t>
            </w:r>
          </w:p>
        </w:tc>
        <w:tc>
          <w:tcPr>
            <w:tcW w:w="1474" w:type="dxa"/>
          </w:tcPr>
          <w:p w:rsidR="00016FD1" w:rsidRDefault="00016FD1" w:rsidP="00C17338">
            <w:pPr>
              <w:pStyle w:val="Tableheading"/>
              <w:cnfStyle w:val="000000000000"/>
            </w:pPr>
            <w:r>
              <w:t>280</w:t>
            </w:r>
          </w:p>
        </w:tc>
        <w:tc>
          <w:tcPr>
            <w:tcW w:w="1474" w:type="dxa"/>
          </w:tcPr>
          <w:p w:rsidR="00016FD1" w:rsidRDefault="00016FD1" w:rsidP="00C17338">
            <w:pPr>
              <w:pStyle w:val="Tableheading"/>
              <w:cnfStyle w:val="000000000000"/>
            </w:pPr>
            <w:r>
              <w:t>26</w:t>
            </w:r>
            <w:r w:rsidR="0047273A">
              <w:t>8</w:t>
            </w:r>
          </w:p>
        </w:tc>
      </w:tr>
      <w:tr w:rsidR="00016FD1" w:rsidTr="00016FD1">
        <w:tc>
          <w:tcPr>
            <w:cnfStyle w:val="001000000000"/>
            <w:tcW w:w="1830" w:type="dxa"/>
          </w:tcPr>
          <w:p w:rsidR="00016FD1" w:rsidRDefault="00016FD1" w:rsidP="00C17338">
            <w:pPr>
              <w:pStyle w:val="Tableheading"/>
              <w:jc w:val="left"/>
            </w:pPr>
            <w:r>
              <w:t>Numeracy</w:t>
            </w:r>
          </w:p>
        </w:tc>
        <w:tc>
          <w:tcPr>
            <w:tcW w:w="1847" w:type="dxa"/>
          </w:tcPr>
          <w:p w:rsidR="00016FD1" w:rsidRDefault="00016FD1" w:rsidP="00C17338">
            <w:pPr>
              <w:pStyle w:val="Tableheading"/>
              <w:cnfStyle w:val="000000000000"/>
            </w:pPr>
            <w:r>
              <w:t>26</w:t>
            </w:r>
            <w:r w:rsidR="0047273A">
              <w:t>6</w:t>
            </w:r>
          </w:p>
        </w:tc>
        <w:tc>
          <w:tcPr>
            <w:tcW w:w="1907" w:type="dxa"/>
          </w:tcPr>
          <w:p w:rsidR="00016FD1" w:rsidRDefault="00016FD1" w:rsidP="00C17338">
            <w:pPr>
              <w:pStyle w:val="Tableheading"/>
              <w:cnfStyle w:val="000000000000"/>
            </w:pPr>
            <w:r>
              <w:t>24</w:t>
            </w:r>
            <w:r w:rsidR="0047273A">
              <w:t>6</w:t>
            </w:r>
          </w:p>
        </w:tc>
        <w:tc>
          <w:tcPr>
            <w:tcW w:w="1474" w:type="dxa"/>
          </w:tcPr>
          <w:p w:rsidR="00016FD1" w:rsidRDefault="00016FD1" w:rsidP="00C17338">
            <w:pPr>
              <w:pStyle w:val="Tableheading"/>
              <w:cnfStyle w:val="000000000000"/>
            </w:pPr>
            <w:r>
              <w:t>273</w:t>
            </w:r>
          </w:p>
        </w:tc>
        <w:tc>
          <w:tcPr>
            <w:tcW w:w="1474" w:type="dxa"/>
          </w:tcPr>
          <w:p w:rsidR="00016FD1" w:rsidRDefault="00016FD1" w:rsidP="00C17338">
            <w:pPr>
              <w:pStyle w:val="Tableheading"/>
              <w:cnfStyle w:val="000000000000"/>
            </w:pPr>
            <w:r>
              <w:t>25</w:t>
            </w:r>
            <w:r w:rsidR="0047273A">
              <w:t>3</w:t>
            </w:r>
          </w:p>
        </w:tc>
      </w:tr>
    </w:tbl>
    <w:p w:rsidR="00C17338" w:rsidRDefault="00C17338" w:rsidP="00E4658B">
      <w:pPr>
        <w:pStyle w:val="BodyText"/>
      </w:pPr>
    </w:p>
    <w:p w:rsidR="00D75C91" w:rsidRDefault="009708E0" w:rsidP="00E4658B">
      <w:pPr>
        <w:pStyle w:val="BodyText"/>
      </w:pPr>
      <w:r>
        <w:fldChar w:fldCharType="begin"/>
      </w:r>
      <w:r w:rsidR="00315B67">
        <w:instrText xml:space="preserve"> REF _Ref370286366 \h </w:instrText>
      </w:r>
      <w:r>
        <w:fldChar w:fldCharType="separate"/>
      </w:r>
      <w:r w:rsidR="00E333BF">
        <w:t xml:space="preserve">Figure </w:t>
      </w:r>
      <w:r w:rsidR="00E333BF">
        <w:rPr>
          <w:noProof/>
        </w:rPr>
        <w:t>2</w:t>
      </w:r>
      <w:r>
        <w:fldChar w:fldCharType="end"/>
      </w:r>
      <w:r w:rsidR="00315B67">
        <w:t xml:space="preserve"> </w:t>
      </w:r>
      <w:r w:rsidR="00FA6C00">
        <w:t>show</w:t>
      </w:r>
      <w:r w:rsidR="00315B67">
        <w:t>s</w:t>
      </w:r>
      <w:r w:rsidR="00FA6C00">
        <w:t xml:space="preserve"> the distributi</w:t>
      </w:r>
      <w:r w:rsidR="00BF176A">
        <w:t xml:space="preserve">on of </w:t>
      </w:r>
      <w:r w:rsidR="00D75C91">
        <w:t xml:space="preserve">ALL document literacy and numeracy levels for </w:t>
      </w:r>
      <w:proofErr w:type="gramStart"/>
      <w:r w:rsidR="00D75C91">
        <w:t>under</w:t>
      </w:r>
      <w:proofErr w:type="gramEnd"/>
      <w:r w:rsidR="00D75C91">
        <w:t xml:space="preserve"> 25</w:t>
      </w:r>
      <w:r w:rsidR="004E1B5E">
        <w:t xml:space="preserve"> year olds and those 25 and over by whether or not they had an Assessment Tool result.</w:t>
      </w:r>
      <w:r w:rsidR="00D75C91">
        <w:t xml:space="preserve"> </w:t>
      </w:r>
      <w:r w:rsidR="004E1B5E">
        <w:t xml:space="preserve">For the under 25 year olds, those with Assessment Tool results were more likely to </w:t>
      </w:r>
      <w:r w:rsidR="00242F16">
        <w:t xml:space="preserve">be </w:t>
      </w:r>
      <w:r w:rsidR="004E1B5E">
        <w:t>at level 2 on ALL and less likely to be at level 3 and above.  For those 25 and over, those with an Assessment Tool result were more likely to be on level 1 on ALL and less likely to be at level 4 and above.</w:t>
      </w:r>
    </w:p>
    <w:p w:rsidR="00242F16" w:rsidRDefault="00242F16" w:rsidP="00242F16">
      <w:pPr>
        <w:pStyle w:val="BodyText"/>
      </w:pPr>
      <w:r>
        <w:t xml:space="preserve">These results are consistent </w:t>
      </w:r>
      <w:r w:rsidR="001324FC">
        <w:t>with the use of the Assessment T</w:t>
      </w:r>
      <w:r>
        <w:t xml:space="preserve">ool in lower-level tertiary education and adult education contexts. It would be expected that these learners would have literacy and numeracy skills that are on average lower than those of the general population. </w:t>
      </w:r>
    </w:p>
    <w:p w:rsidR="00242F16" w:rsidRDefault="00242F16" w:rsidP="00242F16">
      <w:pPr>
        <w:pStyle w:val="BodyText"/>
      </w:pPr>
      <w:r>
        <w:lastRenderedPageBreak/>
        <w:t>The Assessment Tool was specifically designed to measure and differentiate literacy and numeracy skills in the lower range. This analysis shows that the comparison group is well distributed across the range of skill levels of interest for understanding the Assessment Tool.</w:t>
      </w:r>
      <w:r>
        <w:rPr>
          <w:rStyle w:val="FootnoteReference"/>
        </w:rPr>
        <w:footnoteReference w:id="4"/>
      </w:r>
      <w:r w:rsidRPr="004E1B5E">
        <w:t xml:space="preserve"> </w:t>
      </w:r>
      <w:r>
        <w:t xml:space="preserve">The results also suggest that people aged 25 and over who have an Assessment Tool result may represent a broader range of skill levels than those aged </w:t>
      </w:r>
      <w:proofErr w:type="gramStart"/>
      <w:r>
        <w:t>under</w:t>
      </w:r>
      <w:proofErr w:type="gramEnd"/>
      <w:r>
        <w:t xml:space="preserve"> 25.</w:t>
      </w:r>
    </w:p>
    <w:p w:rsidR="00FA6C00" w:rsidRDefault="00FA6C00" w:rsidP="00FA6C00">
      <w:pPr>
        <w:pStyle w:val="Caption"/>
      </w:pPr>
      <w:bookmarkStart w:id="3" w:name="_Ref370286366"/>
      <w:r>
        <w:t xml:space="preserve">Figure </w:t>
      </w:r>
      <w:fldSimple w:instr=" SEQ Figure \* ARABIC ">
        <w:r w:rsidR="00E333BF">
          <w:rPr>
            <w:noProof/>
          </w:rPr>
          <w:t>2</w:t>
        </w:r>
      </w:fldSimple>
      <w:bookmarkEnd w:id="3"/>
    </w:p>
    <w:p w:rsidR="00242F16" w:rsidRPr="00242F16" w:rsidRDefault="00242F16" w:rsidP="00242F16">
      <w:pPr>
        <w:pStyle w:val="Figurelabel"/>
      </w:pPr>
      <w:r>
        <w:t>Distribution of ALL survey levels for those with and without Assessment Tool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6"/>
        <w:gridCol w:w="4364"/>
      </w:tblGrid>
      <w:tr w:rsidR="00706CC5" w:rsidTr="00706CC5">
        <w:tc>
          <w:tcPr>
            <w:tcW w:w="8720" w:type="dxa"/>
            <w:gridSpan w:val="2"/>
          </w:tcPr>
          <w:p w:rsidR="00706CC5" w:rsidRDefault="00706CC5" w:rsidP="00706CC5">
            <w:pPr>
              <w:pStyle w:val="Tableheading"/>
              <w:rPr>
                <w:noProof/>
                <w:lang w:eastAsia="en-NZ"/>
              </w:rPr>
            </w:pPr>
            <w:r>
              <w:rPr>
                <w:noProof/>
                <w:lang w:eastAsia="en-NZ"/>
              </w:rPr>
              <w:t>Document literacy</w:t>
            </w:r>
          </w:p>
        </w:tc>
      </w:tr>
      <w:tr w:rsidR="00FA6C00" w:rsidTr="00706CC5">
        <w:tc>
          <w:tcPr>
            <w:tcW w:w="4302" w:type="dxa"/>
          </w:tcPr>
          <w:p w:rsidR="00706CC5" w:rsidRDefault="00706CC5" w:rsidP="00706CC5">
            <w:pPr>
              <w:pStyle w:val="Tabletext"/>
              <w:rPr>
                <w:noProof/>
                <w:lang w:eastAsia="en-NZ"/>
              </w:rPr>
            </w:pPr>
            <w:r>
              <w:rPr>
                <w:noProof/>
                <w:lang w:eastAsia="en-NZ"/>
              </w:rPr>
              <w:t>Under 25</w:t>
            </w:r>
          </w:p>
          <w:p w:rsidR="00FA6C00" w:rsidRDefault="0047273A" w:rsidP="00706CC5">
            <w:pPr>
              <w:pStyle w:val="Tabletext"/>
            </w:pPr>
            <w:r>
              <w:rPr>
                <w:noProof/>
                <w:lang w:eastAsia="en-NZ"/>
              </w:rPr>
              <w:drawing>
                <wp:inline distT="0" distB="0" distL="0" distR="0">
                  <wp:extent cx="2609850" cy="1506399"/>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609848" cy="1506398"/>
                          </a:xfrm>
                          <a:prstGeom prst="rect">
                            <a:avLst/>
                          </a:prstGeom>
                          <a:noFill/>
                          <a:ln w="9525">
                            <a:noFill/>
                            <a:miter lim="800000"/>
                            <a:headEnd/>
                            <a:tailEnd/>
                          </a:ln>
                        </pic:spPr>
                      </pic:pic>
                    </a:graphicData>
                  </a:graphic>
                </wp:inline>
              </w:drawing>
            </w:r>
          </w:p>
        </w:tc>
        <w:tc>
          <w:tcPr>
            <w:tcW w:w="4418" w:type="dxa"/>
          </w:tcPr>
          <w:p w:rsidR="00706CC5" w:rsidRDefault="00706CC5" w:rsidP="00706CC5">
            <w:pPr>
              <w:pStyle w:val="Tabletext"/>
              <w:rPr>
                <w:noProof/>
                <w:lang w:eastAsia="en-NZ"/>
              </w:rPr>
            </w:pPr>
            <w:r>
              <w:rPr>
                <w:noProof/>
                <w:lang w:eastAsia="en-NZ"/>
              </w:rPr>
              <w:t>25 and over</w:t>
            </w:r>
          </w:p>
          <w:p w:rsidR="00FA6C00" w:rsidRDefault="00062477" w:rsidP="00706CC5">
            <w:pPr>
              <w:pStyle w:val="Tabletext"/>
            </w:pPr>
            <w:r>
              <w:rPr>
                <w:noProof/>
                <w:lang w:eastAsia="en-NZ"/>
              </w:rPr>
              <w:drawing>
                <wp:inline distT="0" distB="0" distL="0" distR="0">
                  <wp:extent cx="2552426" cy="1535246"/>
                  <wp:effectExtent l="19050" t="0" r="274"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552688" cy="1535403"/>
                          </a:xfrm>
                          <a:prstGeom prst="rect">
                            <a:avLst/>
                          </a:prstGeom>
                          <a:noFill/>
                          <a:ln w="9525">
                            <a:noFill/>
                            <a:miter lim="800000"/>
                            <a:headEnd/>
                            <a:tailEnd/>
                          </a:ln>
                        </pic:spPr>
                      </pic:pic>
                    </a:graphicData>
                  </a:graphic>
                </wp:inline>
              </w:drawing>
            </w:r>
          </w:p>
        </w:tc>
      </w:tr>
      <w:tr w:rsidR="00706CC5" w:rsidTr="00706CC5">
        <w:tc>
          <w:tcPr>
            <w:tcW w:w="8720" w:type="dxa"/>
            <w:gridSpan w:val="2"/>
          </w:tcPr>
          <w:p w:rsidR="00706CC5" w:rsidRDefault="00706CC5" w:rsidP="00706CC5">
            <w:pPr>
              <w:pStyle w:val="Tableheading"/>
              <w:rPr>
                <w:noProof/>
                <w:lang w:eastAsia="en-NZ"/>
              </w:rPr>
            </w:pPr>
            <w:r>
              <w:rPr>
                <w:noProof/>
                <w:lang w:eastAsia="en-NZ"/>
              </w:rPr>
              <w:t>Numeracy</w:t>
            </w:r>
          </w:p>
        </w:tc>
      </w:tr>
      <w:tr w:rsidR="00702279" w:rsidTr="00706CC5">
        <w:tc>
          <w:tcPr>
            <w:tcW w:w="4302" w:type="dxa"/>
          </w:tcPr>
          <w:p w:rsidR="00706CC5" w:rsidRDefault="00706CC5" w:rsidP="00706CC5">
            <w:pPr>
              <w:pStyle w:val="Tabletext"/>
              <w:rPr>
                <w:noProof/>
                <w:lang w:eastAsia="en-NZ"/>
              </w:rPr>
            </w:pPr>
            <w:r>
              <w:rPr>
                <w:noProof/>
                <w:lang w:eastAsia="en-NZ"/>
              </w:rPr>
              <w:t>Under 25</w:t>
            </w:r>
          </w:p>
          <w:p w:rsidR="00702279" w:rsidRDefault="00062477" w:rsidP="00706CC5">
            <w:pPr>
              <w:pStyle w:val="Tabletext"/>
              <w:rPr>
                <w:noProof/>
                <w:lang w:eastAsia="en-NZ"/>
              </w:rPr>
            </w:pPr>
            <w:r>
              <w:rPr>
                <w:noProof/>
                <w:lang w:eastAsia="en-NZ"/>
              </w:rPr>
              <w:drawing>
                <wp:inline distT="0" distB="0" distL="0" distR="0">
                  <wp:extent cx="2541332" cy="1466850"/>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2544351" cy="1468592"/>
                          </a:xfrm>
                          <a:prstGeom prst="rect">
                            <a:avLst/>
                          </a:prstGeom>
                          <a:noFill/>
                          <a:ln w="9525">
                            <a:noFill/>
                            <a:miter lim="800000"/>
                            <a:headEnd/>
                            <a:tailEnd/>
                          </a:ln>
                        </pic:spPr>
                      </pic:pic>
                    </a:graphicData>
                  </a:graphic>
                </wp:inline>
              </w:drawing>
            </w:r>
          </w:p>
        </w:tc>
        <w:tc>
          <w:tcPr>
            <w:tcW w:w="4418" w:type="dxa"/>
          </w:tcPr>
          <w:p w:rsidR="00706CC5" w:rsidRDefault="00706CC5" w:rsidP="00706CC5">
            <w:pPr>
              <w:pStyle w:val="Tabletext"/>
              <w:rPr>
                <w:noProof/>
                <w:lang w:eastAsia="en-NZ"/>
              </w:rPr>
            </w:pPr>
            <w:r>
              <w:rPr>
                <w:noProof/>
                <w:lang w:eastAsia="en-NZ"/>
              </w:rPr>
              <w:t>25 and over</w:t>
            </w:r>
          </w:p>
          <w:p w:rsidR="00702279" w:rsidRDefault="00062477" w:rsidP="00706CC5">
            <w:pPr>
              <w:pStyle w:val="Tabletext"/>
              <w:rPr>
                <w:noProof/>
                <w:lang w:eastAsia="en-NZ"/>
              </w:rPr>
            </w:pPr>
            <w:r>
              <w:rPr>
                <w:noProof/>
                <w:lang w:eastAsia="en-NZ"/>
              </w:rPr>
              <w:drawing>
                <wp:inline distT="0" distB="0" distL="0" distR="0">
                  <wp:extent cx="2470151" cy="1485759"/>
                  <wp:effectExtent l="19050" t="0" r="6349"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2476265" cy="1489436"/>
                          </a:xfrm>
                          <a:prstGeom prst="rect">
                            <a:avLst/>
                          </a:prstGeom>
                          <a:noFill/>
                          <a:ln w="9525">
                            <a:noFill/>
                            <a:miter lim="800000"/>
                            <a:headEnd/>
                            <a:tailEnd/>
                          </a:ln>
                        </pic:spPr>
                      </pic:pic>
                    </a:graphicData>
                  </a:graphic>
                </wp:inline>
              </w:drawing>
            </w:r>
          </w:p>
        </w:tc>
      </w:tr>
    </w:tbl>
    <w:p w:rsidR="00FA6C00" w:rsidRDefault="00FA6C00" w:rsidP="00E4658B">
      <w:pPr>
        <w:pStyle w:val="BodyText"/>
      </w:pPr>
    </w:p>
    <w:p w:rsidR="00B94DB1" w:rsidRDefault="00B94DB1" w:rsidP="00A0628E">
      <w:pPr>
        <w:pStyle w:val="Heading2"/>
      </w:pPr>
      <w:r>
        <w:t>Correlation of scale scores</w:t>
      </w:r>
    </w:p>
    <w:p w:rsidR="006173A8" w:rsidRDefault="00B94DB1" w:rsidP="00B94DB1">
      <w:pPr>
        <w:pStyle w:val="BodyText"/>
      </w:pPr>
      <w:r>
        <w:t>The first step in the analysis was to compare the sc</w:t>
      </w:r>
      <w:r w:rsidR="00BF176A">
        <w:t>ale scores between ALL and the Assessment T</w:t>
      </w:r>
      <w:r>
        <w:t xml:space="preserve">ool results. </w:t>
      </w:r>
      <w:r w:rsidR="006173A8">
        <w:t xml:space="preserve">This tests the extent to which the two are correlated.  A high correlation would suggest that they are measuring a similar </w:t>
      </w:r>
      <w:proofErr w:type="gramStart"/>
      <w:r w:rsidR="006173A8">
        <w:t>concept,</w:t>
      </w:r>
      <w:proofErr w:type="gramEnd"/>
      <w:r w:rsidR="006173A8">
        <w:t xml:space="preserve"> a low correlation would suggest that they are measuring different concepts.</w:t>
      </w:r>
      <w:r w:rsidR="00336BCD">
        <w:t xml:space="preserve"> The correlation analysis was undertaken</w:t>
      </w:r>
      <w:r w:rsidR="00065197">
        <w:t xml:space="preserve"> </w:t>
      </w:r>
      <w:r w:rsidR="00062477">
        <w:t>separately</w:t>
      </w:r>
      <w:r w:rsidR="00336BCD">
        <w:t xml:space="preserve"> for people aged under and over 25.</w:t>
      </w:r>
    </w:p>
    <w:p w:rsidR="00336BCD" w:rsidRDefault="00336BCD" w:rsidP="00336BCD">
      <w:pPr>
        <w:pStyle w:val="Caption"/>
      </w:pPr>
      <w:bookmarkStart w:id="4" w:name="_Ref379539896"/>
      <w:r>
        <w:t xml:space="preserve">Table </w:t>
      </w:r>
      <w:fldSimple w:instr=" SEQ Table \* ARABIC ">
        <w:r w:rsidR="00E333BF">
          <w:rPr>
            <w:noProof/>
          </w:rPr>
          <w:t>2</w:t>
        </w:r>
      </w:fldSimple>
      <w:bookmarkEnd w:id="4"/>
    </w:p>
    <w:p w:rsidR="00065197" w:rsidRPr="00065197" w:rsidRDefault="00065197" w:rsidP="00065197">
      <w:pPr>
        <w:pStyle w:val="Tablelabel"/>
      </w:pPr>
      <w:r>
        <w:t>Correlation of ALL survey scores with Assessment Tool scores</w:t>
      </w:r>
    </w:p>
    <w:tbl>
      <w:tblPr>
        <w:tblStyle w:val="TableMOE4"/>
        <w:tblW w:w="0" w:type="auto"/>
        <w:tblLook w:val="04A0"/>
      </w:tblPr>
      <w:tblGrid>
        <w:gridCol w:w="1707"/>
        <w:gridCol w:w="1707"/>
        <w:gridCol w:w="1706"/>
        <w:gridCol w:w="1706"/>
        <w:gridCol w:w="1706"/>
      </w:tblGrid>
      <w:tr w:rsidR="00336BCD" w:rsidTr="00336BCD">
        <w:trPr>
          <w:cnfStyle w:val="100000000000"/>
        </w:trPr>
        <w:tc>
          <w:tcPr>
            <w:cnfStyle w:val="001000000000"/>
            <w:tcW w:w="1707" w:type="dxa"/>
          </w:tcPr>
          <w:p w:rsidR="00336BCD" w:rsidRDefault="00336BCD" w:rsidP="00336BCD">
            <w:pPr>
              <w:pStyle w:val="Tableheading"/>
            </w:pPr>
          </w:p>
        </w:tc>
        <w:tc>
          <w:tcPr>
            <w:tcW w:w="3413" w:type="dxa"/>
            <w:gridSpan w:val="2"/>
          </w:tcPr>
          <w:p w:rsidR="00336BCD" w:rsidRDefault="00336BCD" w:rsidP="00336BCD">
            <w:pPr>
              <w:pStyle w:val="Tableheading"/>
              <w:cnfStyle w:val="100000000000"/>
            </w:pPr>
            <w:r>
              <w:t>Under 25 years</w:t>
            </w:r>
          </w:p>
        </w:tc>
        <w:tc>
          <w:tcPr>
            <w:tcW w:w="3412" w:type="dxa"/>
            <w:gridSpan w:val="2"/>
          </w:tcPr>
          <w:p w:rsidR="00336BCD" w:rsidRDefault="00336BCD" w:rsidP="00336BCD">
            <w:pPr>
              <w:pStyle w:val="Tableheading"/>
              <w:cnfStyle w:val="100000000000"/>
            </w:pPr>
            <w:r>
              <w:t>25 years and older</w:t>
            </w:r>
          </w:p>
        </w:tc>
      </w:tr>
      <w:tr w:rsidR="00336BCD" w:rsidTr="00336BCD">
        <w:tc>
          <w:tcPr>
            <w:cnfStyle w:val="001000000000"/>
            <w:tcW w:w="1707" w:type="dxa"/>
          </w:tcPr>
          <w:p w:rsidR="00336BCD" w:rsidRDefault="00336BCD" w:rsidP="00336BCD">
            <w:pPr>
              <w:pStyle w:val="Tableheading"/>
            </w:pPr>
          </w:p>
        </w:tc>
        <w:tc>
          <w:tcPr>
            <w:tcW w:w="1707" w:type="dxa"/>
          </w:tcPr>
          <w:p w:rsidR="00336BCD" w:rsidRDefault="00336BCD" w:rsidP="00336BCD">
            <w:pPr>
              <w:pStyle w:val="Tableheading"/>
              <w:cnfStyle w:val="000000000000"/>
            </w:pPr>
            <w:r>
              <w:t>Pearson coefficient</w:t>
            </w:r>
          </w:p>
        </w:tc>
        <w:tc>
          <w:tcPr>
            <w:tcW w:w="1706" w:type="dxa"/>
          </w:tcPr>
          <w:p w:rsidR="00336BCD" w:rsidRDefault="00336BCD" w:rsidP="00336BCD">
            <w:pPr>
              <w:pStyle w:val="Tableheading"/>
              <w:cnfStyle w:val="000000000000"/>
            </w:pPr>
            <w:proofErr w:type="spellStart"/>
            <w:r>
              <w:t>Cronbach</w:t>
            </w:r>
            <w:r w:rsidR="003D6BD1">
              <w:t>’s</w:t>
            </w:r>
            <w:proofErr w:type="spellEnd"/>
            <w:r>
              <w:t xml:space="preserve"> Alpha</w:t>
            </w:r>
          </w:p>
        </w:tc>
        <w:tc>
          <w:tcPr>
            <w:tcW w:w="1706" w:type="dxa"/>
          </w:tcPr>
          <w:p w:rsidR="00336BCD" w:rsidRDefault="00336BCD" w:rsidP="00336BCD">
            <w:pPr>
              <w:pStyle w:val="Tableheading"/>
              <w:cnfStyle w:val="000000000000"/>
            </w:pPr>
            <w:r>
              <w:t>Pearson coefficient</w:t>
            </w:r>
          </w:p>
        </w:tc>
        <w:tc>
          <w:tcPr>
            <w:tcW w:w="1706" w:type="dxa"/>
          </w:tcPr>
          <w:p w:rsidR="00336BCD" w:rsidRDefault="00336BCD" w:rsidP="00336BCD">
            <w:pPr>
              <w:pStyle w:val="Tableheading"/>
              <w:cnfStyle w:val="000000000000"/>
            </w:pPr>
            <w:proofErr w:type="spellStart"/>
            <w:r>
              <w:t>Cronbach</w:t>
            </w:r>
            <w:r w:rsidR="003D6BD1">
              <w:t>’s</w:t>
            </w:r>
            <w:proofErr w:type="spellEnd"/>
            <w:r>
              <w:t xml:space="preserve"> Alpha</w:t>
            </w:r>
          </w:p>
        </w:tc>
      </w:tr>
      <w:tr w:rsidR="00336BCD" w:rsidTr="00336BCD">
        <w:tc>
          <w:tcPr>
            <w:cnfStyle w:val="001000000000"/>
            <w:tcW w:w="1707" w:type="dxa"/>
          </w:tcPr>
          <w:p w:rsidR="00336BCD" w:rsidRDefault="00336BCD" w:rsidP="00336BCD">
            <w:pPr>
              <w:pStyle w:val="Tabletext"/>
            </w:pPr>
            <w:r>
              <w:t>Prose</w:t>
            </w:r>
          </w:p>
        </w:tc>
        <w:tc>
          <w:tcPr>
            <w:tcW w:w="1707" w:type="dxa"/>
          </w:tcPr>
          <w:p w:rsidR="00336BCD" w:rsidRDefault="00336BCD" w:rsidP="00336BCD">
            <w:pPr>
              <w:pStyle w:val="Tabletext"/>
              <w:cnfStyle w:val="000000000000"/>
            </w:pPr>
            <w:r>
              <w:t>0.</w:t>
            </w:r>
            <w:r w:rsidR="004928FC">
              <w:t>59</w:t>
            </w:r>
          </w:p>
        </w:tc>
        <w:tc>
          <w:tcPr>
            <w:tcW w:w="1706" w:type="dxa"/>
          </w:tcPr>
          <w:p w:rsidR="00336BCD" w:rsidRDefault="004928FC" w:rsidP="00336BCD">
            <w:pPr>
              <w:pStyle w:val="Tabletext"/>
              <w:cnfStyle w:val="000000000000"/>
            </w:pPr>
            <w:r>
              <w:t>0.74</w:t>
            </w:r>
          </w:p>
        </w:tc>
        <w:tc>
          <w:tcPr>
            <w:tcW w:w="1706" w:type="dxa"/>
          </w:tcPr>
          <w:p w:rsidR="00336BCD" w:rsidRDefault="004928FC" w:rsidP="00336BCD">
            <w:pPr>
              <w:pStyle w:val="Tabletext"/>
              <w:cnfStyle w:val="000000000000"/>
            </w:pPr>
            <w:r>
              <w:t>0.77</w:t>
            </w:r>
          </w:p>
        </w:tc>
        <w:tc>
          <w:tcPr>
            <w:tcW w:w="1706" w:type="dxa"/>
          </w:tcPr>
          <w:p w:rsidR="00336BCD" w:rsidRDefault="004928FC" w:rsidP="00336BCD">
            <w:pPr>
              <w:pStyle w:val="Tabletext"/>
              <w:cnfStyle w:val="000000000000"/>
            </w:pPr>
            <w:r>
              <w:t>0.86</w:t>
            </w:r>
          </w:p>
        </w:tc>
      </w:tr>
      <w:tr w:rsidR="00336BCD" w:rsidTr="00336BCD">
        <w:tc>
          <w:tcPr>
            <w:cnfStyle w:val="001000000000"/>
            <w:tcW w:w="1707" w:type="dxa"/>
          </w:tcPr>
          <w:p w:rsidR="00336BCD" w:rsidRDefault="00336BCD" w:rsidP="00336BCD">
            <w:pPr>
              <w:pStyle w:val="Tabletext"/>
            </w:pPr>
            <w:r>
              <w:t>Document</w:t>
            </w:r>
          </w:p>
        </w:tc>
        <w:tc>
          <w:tcPr>
            <w:tcW w:w="1707" w:type="dxa"/>
          </w:tcPr>
          <w:p w:rsidR="00336BCD" w:rsidRDefault="00336BCD" w:rsidP="004928FC">
            <w:pPr>
              <w:pStyle w:val="Tabletext"/>
              <w:cnfStyle w:val="000000000000"/>
            </w:pPr>
            <w:r>
              <w:t>0.6</w:t>
            </w:r>
            <w:r w:rsidR="004928FC">
              <w:t>0</w:t>
            </w:r>
          </w:p>
        </w:tc>
        <w:tc>
          <w:tcPr>
            <w:tcW w:w="1706" w:type="dxa"/>
          </w:tcPr>
          <w:p w:rsidR="00336BCD" w:rsidRDefault="00336BCD" w:rsidP="004928FC">
            <w:pPr>
              <w:pStyle w:val="Tabletext"/>
              <w:cnfStyle w:val="000000000000"/>
            </w:pPr>
            <w:r>
              <w:t>0.7</w:t>
            </w:r>
            <w:r w:rsidR="004928FC">
              <w:t>5</w:t>
            </w:r>
          </w:p>
        </w:tc>
        <w:tc>
          <w:tcPr>
            <w:tcW w:w="1706" w:type="dxa"/>
          </w:tcPr>
          <w:p w:rsidR="00336BCD" w:rsidRDefault="00336BCD" w:rsidP="004928FC">
            <w:pPr>
              <w:pStyle w:val="Tabletext"/>
              <w:cnfStyle w:val="000000000000"/>
            </w:pPr>
            <w:r>
              <w:t>0.</w:t>
            </w:r>
            <w:r w:rsidR="004928FC">
              <w:t>78</w:t>
            </w:r>
          </w:p>
        </w:tc>
        <w:tc>
          <w:tcPr>
            <w:tcW w:w="1706" w:type="dxa"/>
          </w:tcPr>
          <w:p w:rsidR="00336BCD" w:rsidRDefault="00336BCD" w:rsidP="004928FC">
            <w:pPr>
              <w:pStyle w:val="Tabletext"/>
              <w:cnfStyle w:val="000000000000"/>
            </w:pPr>
            <w:r>
              <w:t>0.</w:t>
            </w:r>
            <w:r w:rsidR="004928FC">
              <w:t>88</w:t>
            </w:r>
          </w:p>
        </w:tc>
      </w:tr>
      <w:tr w:rsidR="00336BCD" w:rsidTr="00336BCD">
        <w:tc>
          <w:tcPr>
            <w:cnfStyle w:val="001000000000"/>
            <w:tcW w:w="1707" w:type="dxa"/>
          </w:tcPr>
          <w:p w:rsidR="00336BCD" w:rsidRDefault="00336BCD" w:rsidP="00336BCD">
            <w:pPr>
              <w:pStyle w:val="Tabletext"/>
            </w:pPr>
            <w:r>
              <w:t>Numeracy</w:t>
            </w:r>
          </w:p>
        </w:tc>
        <w:tc>
          <w:tcPr>
            <w:tcW w:w="1707" w:type="dxa"/>
          </w:tcPr>
          <w:p w:rsidR="00336BCD" w:rsidRDefault="00336BCD" w:rsidP="004928FC">
            <w:pPr>
              <w:pStyle w:val="Tabletext"/>
              <w:cnfStyle w:val="000000000000"/>
            </w:pPr>
            <w:r>
              <w:t>0.7</w:t>
            </w:r>
            <w:r w:rsidR="004928FC">
              <w:t>8</w:t>
            </w:r>
          </w:p>
        </w:tc>
        <w:tc>
          <w:tcPr>
            <w:tcW w:w="1706" w:type="dxa"/>
          </w:tcPr>
          <w:p w:rsidR="00336BCD" w:rsidRDefault="00336BCD" w:rsidP="004928FC">
            <w:pPr>
              <w:pStyle w:val="Tabletext"/>
              <w:cnfStyle w:val="000000000000"/>
            </w:pPr>
            <w:r>
              <w:t>0.8</w:t>
            </w:r>
            <w:r w:rsidR="004928FC">
              <w:t>8</w:t>
            </w:r>
          </w:p>
        </w:tc>
        <w:tc>
          <w:tcPr>
            <w:tcW w:w="1706" w:type="dxa"/>
          </w:tcPr>
          <w:p w:rsidR="00336BCD" w:rsidRDefault="00336BCD" w:rsidP="004928FC">
            <w:pPr>
              <w:pStyle w:val="Tabletext"/>
              <w:cnfStyle w:val="000000000000"/>
            </w:pPr>
            <w:r>
              <w:t>0.7</w:t>
            </w:r>
            <w:r w:rsidR="004928FC">
              <w:t>2</w:t>
            </w:r>
          </w:p>
        </w:tc>
        <w:tc>
          <w:tcPr>
            <w:tcW w:w="1706" w:type="dxa"/>
          </w:tcPr>
          <w:p w:rsidR="00336BCD" w:rsidRDefault="00336BCD" w:rsidP="004928FC">
            <w:pPr>
              <w:pStyle w:val="Tabletext"/>
              <w:cnfStyle w:val="000000000000"/>
            </w:pPr>
            <w:r>
              <w:t>0.8</w:t>
            </w:r>
            <w:r w:rsidR="004928FC">
              <w:t>4</w:t>
            </w:r>
          </w:p>
        </w:tc>
      </w:tr>
    </w:tbl>
    <w:p w:rsidR="00336BCD" w:rsidRDefault="00336BCD" w:rsidP="00B94DB1">
      <w:pPr>
        <w:pStyle w:val="BodyText"/>
      </w:pPr>
    </w:p>
    <w:p w:rsidR="00336BCD" w:rsidRDefault="009708E0" w:rsidP="00B94DB1">
      <w:pPr>
        <w:pStyle w:val="BodyText"/>
      </w:pPr>
      <w:r>
        <w:lastRenderedPageBreak/>
        <w:fldChar w:fldCharType="begin"/>
      </w:r>
      <w:r w:rsidR="00336BCD">
        <w:instrText xml:space="preserve"> REF _Ref379539896 \h </w:instrText>
      </w:r>
      <w:r>
        <w:fldChar w:fldCharType="separate"/>
      </w:r>
      <w:r w:rsidR="00E333BF">
        <w:t xml:space="preserve">Table </w:t>
      </w:r>
      <w:r w:rsidR="00E333BF">
        <w:rPr>
          <w:noProof/>
        </w:rPr>
        <w:t>2</w:t>
      </w:r>
      <w:r>
        <w:fldChar w:fldCharType="end"/>
      </w:r>
      <w:r w:rsidR="00336BCD">
        <w:t xml:space="preserve"> shows the correlations </w:t>
      </w:r>
      <w:r w:rsidR="00B842B5">
        <w:t>of</w:t>
      </w:r>
      <w:r w:rsidR="00336BCD">
        <w:t xml:space="preserve"> the ALL prose and document scores with the Assessment Tool reading scale score, and the ALL numeracy score with the Assessment Tool numeracy score. The Pearson coefficient measures</w:t>
      </w:r>
      <w:r w:rsidR="003D6BD1">
        <w:t xml:space="preserve"> the extent of linear relationship between the two scales. That is, given a result on one scale, how well could you predict a result on the other? </w:t>
      </w:r>
      <w:proofErr w:type="spellStart"/>
      <w:r w:rsidR="0099475E">
        <w:t>Cronbach</w:t>
      </w:r>
      <w:r w:rsidR="003D6BD1">
        <w:t>’s</w:t>
      </w:r>
      <w:proofErr w:type="spellEnd"/>
      <w:r w:rsidR="0099475E">
        <w:t xml:space="preserve"> A</w:t>
      </w:r>
      <w:r w:rsidR="00336BCD">
        <w:t xml:space="preserve">lpha </w:t>
      </w:r>
      <w:r w:rsidR="003D6BD1">
        <w:t>looks at the</w:t>
      </w:r>
      <w:r w:rsidR="00336BCD">
        <w:t xml:space="preserve"> internal consistency of the measures</w:t>
      </w:r>
      <w:r w:rsidR="003D6BD1">
        <w:t xml:space="preserve"> and provides an estimate of whether they are likely to be measuring a similar concept</w:t>
      </w:r>
      <w:r w:rsidR="004E696B">
        <w:t xml:space="preserve"> for those learners who were administered both assessments</w:t>
      </w:r>
      <w:r w:rsidR="00336BCD">
        <w:t>.</w:t>
      </w:r>
      <w:r w:rsidR="003D6BD1">
        <w:t xml:space="preserve"> </w:t>
      </w:r>
      <w:r w:rsidR="00336BCD">
        <w:t>High scores on both measures would suggest that the scales are</w:t>
      </w:r>
      <w:r w:rsidR="003D6BD1">
        <w:t xml:space="preserve"> related and</w:t>
      </w:r>
      <w:r w:rsidR="00336BCD">
        <w:t xml:space="preserve"> measuring similar concepts.</w:t>
      </w:r>
    </w:p>
    <w:p w:rsidR="00C11132" w:rsidRDefault="00C11132" w:rsidP="00B94DB1">
      <w:pPr>
        <w:pStyle w:val="BodyText"/>
      </w:pPr>
      <w:r>
        <w:t xml:space="preserve">Overall, the results show that there is high degree of correlation between ALL and the </w:t>
      </w:r>
      <w:r w:rsidR="003D6BD1">
        <w:t>A</w:t>
      </w:r>
      <w:r>
        <w:t xml:space="preserve">ssessment </w:t>
      </w:r>
      <w:r w:rsidR="003D6BD1">
        <w:t>T</w:t>
      </w:r>
      <w:r>
        <w:t>ool. It is likely that they are both measuring similar concepts.</w:t>
      </w:r>
    </w:p>
    <w:p w:rsidR="00FA7F15" w:rsidRDefault="00FA7F15" w:rsidP="00B94DB1">
      <w:pPr>
        <w:pStyle w:val="BodyText"/>
      </w:pPr>
      <w:r>
        <w:t>The distribution of the results</w:t>
      </w:r>
      <w:r w:rsidR="00E0646B">
        <w:t xml:space="preserve"> </w:t>
      </w:r>
      <w:r w:rsidR="00EF4DBF">
        <w:t>is</w:t>
      </w:r>
      <w:r>
        <w:t xml:space="preserve"> plotted in the graphs below.</w:t>
      </w:r>
      <w:r w:rsidR="00231759">
        <w:t xml:space="preserve"> The horizontal line</w:t>
      </w:r>
      <w:r w:rsidR="00B804FA">
        <w:t>s</w:t>
      </w:r>
      <w:r w:rsidR="00231759">
        <w:t xml:space="preserve"> show the cut-points between the five ALL levels. The vertical lines show the cut-points between the six </w:t>
      </w:r>
      <w:r w:rsidR="003D6BD1">
        <w:t>Assessment T</w:t>
      </w:r>
      <w:r w:rsidR="00231759">
        <w:t>ool steps.</w:t>
      </w:r>
      <w:r w:rsidR="00324EEC">
        <w:t xml:space="preserve"> The line of best fit is also shown in each case. This has been calculated using a linear regression. The dotted lines show the 95 per cent confidence intervals for the mean.</w:t>
      </w:r>
    </w:p>
    <w:p w:rsidR="00EF4DBF" w:rsidRDefault="00EF4DBF" w:rsidP="00B94DB1">
      <w:pPr>
        <w:pStyle w:val="BodyText"/>
      </w:pPr>
      <w:r>
        <w:t>For document and prose literacy, the difference between the two age groups is</w:t>
      </w:r>
      <w:r w:rsidR="00413C65">
        <w:t xml:space="preserve"> that</w:t>
      </w:r>
      <w:r>
        <w:t xml:space="preserve"> there is a wider dispersion of observations in the </w:t>
      </w:r>
      <w:proofErr w:type="gramStart"/>
      <w:r>
        <w:t>under</w:t>
      </w:r>
      <w:proofErr w:type="gramEnd"/>
      <w:r>
        <w:t xml:space="preserve"> 25 age group than in the 25 and over age group.  Most of the dispersion</w:t>
      </w:r>
      <w:r w:rsidR="00413C65">
        <w:t xml:space="preserve"> for </w:t>
      </w:r>
      <w:proofErr w:type="gramStart"/>
      <w:r w:rsidR="00413C65">
        <w:t>under</w:t>
      </w:r>
      <w:proofErr w:type="gramEnd"/>
      <w:r w:rsidR="00413C65">
        <w:t xml:space="preserve"> 25 year olds</w:t>
      </w:r>
      <w:r>
        <w:t xml:space="preserve"> is among those who had higher ALL results</w:t>
      </w:r>
      <w:r w:rsidR="00C3484E">
        <w:t xml:space="preserve"> (level 3)</w:t>
      </w:r>
      <w:r>
        <w:t xml:space="preserve"> and higher Assessment Tool results</w:t>
      </w:r>
      <w:r w:rsidR="00C3484E">
        <w:t xml:space="preserve"> (step 4 or 5)</w:t>
      </w:r>
      <w:r>
        <w:t xml:space="preserve">.  </w:t>
      </w:r>
      <w:r w:rsidR="00C3484E">
        <w:t>This may reflect the Tool being less accurate for these individuals or they were less engaged in the assessment process.</w:t>
      </w:r>
      <w:r w:rsidR="00413C65">
        <w:t xml:space="preserve"> Another explanation would be that ALL had over estimated their skills. This is less likely, as there has been considerable research using the ALL data that has confirmed it is generally robust and well correlated with a range of social and economic indicators.</w:t>
      </w:r>
    </w:p>
    <w:p w:rsidR="00EF4DBF" w:rsidRDefault="00413C65" w:rsidP="00B94DB1">
      <w:pPr>
        <w:pStyle w:val="BodyText"/>
      </w:pPr>
      <w:r>
        <w:t>In the 25 years and over age group,</w:t>
      </w:r>
      <w:r w:rsidR="00EF4DBF">
        <w:t xml:space="preserve"> there is a suggestion of a small group who have improved their results. These show up as a band of </w:t>
      </w:r>
      <w:r>
        <w:t>observations</w:t>
      </w:r>
      <w:r w:rsidR="00EF4DBF">
        <w:t xml:space="preserve"> below the regression line, </w:t>
      </w:r>
      <w:r w:rsidR="00B842B5">
        <w:t xml:space="preserve">representing learners </w:t>
      </w:r>
      <w:r w:rsidR="00EF4DBF">
        <w:t xml:space="preserve">who have higher Assessment Tool results than would be predicted by their ALL results. </w:t>
      </w:r>
      <w:r w:rsidR="00B842B5">
        <w:t xml:space="preserve">Some educators have expressed concern that there could be a group of lower to medium skilled learners who are measured well below their ability on the Tool due to poor engagement. </w:t>
      </w:r>
      <w:r w:rsidR="00EF4DBF">
        <w:t xml:space="preserve">However, there are very few observations </w:t>
      </w:r>
      <w:r w:rsidR="00B842B5">
        <w:t>where</w:t>
      </w:r>
      <w:r w:rsidR="00EF4DBF">
        <w:t xml:space="preserve"> people who have Assessment Tool results that are a lot lower than their ALL results would predict, particularly at the</w:t>
      </w:r>
      <w:r w:rsidR="00B842B5">
        <w:t xml:space="preserve"> middle to</w:t>
      </w:r>
      <w:r w:rsidR="00EF4DBF">
        <w:t xml:space="preserve"> lower end.  </w:t>
      </w:r>
    </w:p>
    <w:p w:rsidR="00CA1DA9" w:rsidRDefault="00231759" w:rsidP="00231759">
      <w:pPr>
        <w:pStyle w:val="Caption"/>
      </w:pPr>
      <w:r>
        <w:t xml:space="preserve">Figure </w:t>
      </w:r>
      <w:fldSimple w:instr=" SEQ Figure \* ARABIC ">
        <w:r w:rsidR="00E333BF">
          <w:rPr>
            <w:noProof/>
          </w:rPr>
          <w:t>3</w:t>
        </w:r>
      </w:fldSimple>
      <w:r w:rsidR="00065197">
        <w:t xml:space="preserve"> </w:t>
      </w:r>
    </w:p>
    <w:p w:rsidR="00231759" w:rsidRDefault="00065197" w:rsidP="00CA1DA9">
      <w:pPr>
        <w:pStyle w:val="Figurelabel"/>
      </w:pPr>
      <w:r>
        <w:t>Comparison of ALL Survey and Assessment Tool scale scores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45"/>
        <w:gridCol w:w="4375"/>
      </w:tblGrid>
      <w:tr w:rsidR="00D3344A" w:rsidTr="00EF4DBF">
        <w:trPr>
          <w:tblHeader/>
        </w:trPr>
        <w:tc>
          <w:tcPr>
            <w:tcW w:w="4345" w:type="dxa"/>
          </w:tcPr>
          <w:p w:rsidR="00D3344A" w:rsidRDefault="00D3344A" w:rsidP="00D3344A">
            <w:pPr>
              <w:pStyle w:val="Tableheading"/>
              <w:rPr>
                <w:noProof/>
                <w:lang w:eastAsia="en-NZ"/>
              </w:rPr>
            </w:pPr>
            <w:r>
              <w:rPr>
                <w:noProof/>
                <w:lang w:eastAsia="en-NZ"/>
              </w:rPr>
              <w:t>Under 25 years of age</w:t>
            </w:r>
          </w:p>
        </w:tc>
        <w:tc>
          <w:tcPr>
            <w:tcW w:w="4375" w:type="dxa"/>
          </w:tcPr>
          <w:p w:rsidR="00D3344A" w:rsidRDefault="00D3344A" w:rsidP="00D3344A">
            <w:pPr>
              <w:pStyle w:val="Tableheading"/>
              <w:rPr>
                <w:noProof/>
                <w:lang w:eastAsia="en-NZ"/>
              </w:rPr>
            </w:pPr>
            <w:r>
              <w:rPr>
                <w:noProof/>
                <w:lang w:eastAsia="en-NZ"/>
              </w:rPr>
              <w:t>25 years and over</w:t>
            </w:r>
          </w:p>
        </w:tc>
      </w:tr>
      <w:tr w:rsidR="00D3344A" w:rsidTr="00D3344A">
        <w:tc>
          <w:tcPr>
            <w:tcW w:w="8720" w:type="dxa"/>
            <w:gridSpan w:val="2"/>
          </w:tcPr>
          <w:p w:rsidR="00D3344A" w:rsidRDefault="00D3344A" w:rsidP="00D3344A">
            <w:pPr>
              <w:pStyle w:val="Tableheading"/>
              <w:rPr>
                <w:noProof/>
                <w:lang w:eastAsia="en-NZ"/>
              </w:rPr>
            </w:pPr>
            <w:r>
              <w:rPr>
                <w:noProof/>
                <w:lang w:eastAsia="en-NZ"/>
              </w:rPr>
              <w:t>Prose literacy and reading</w:t>
            </w:r>
          </w:p>
        </w:tc>
      </w:tr>
      <w:tr w:rsidR="00FA7F15" w:rsidTr="00D3344A">
        <w:tc>
          <w:tcPr>
            <w:tcW w:w="4345" w:type="dxa"/>
          </w:tcPr>
          <w:p w:rsidR="00FA7F15" w:rsidRDefault="00C3484E" w:rsidP="001D5C88">
            <w:pPr>
              <w:pStyle w:val="Tabletext"/>
            </w:pPr>
            <w:r>
              <w:rPr>
                <w:noProof/>
                <w:lang w:eastAsia="en-NZ"/>
              </w:rPr>
              <w:drawing>
                <wp:inline distT="0" distB="0" distL="0" distR="0">
                  <wp:extent cx="2641600" cy="1981200"/>
                  <wp:effectExtent l="19050" t="0" r="6350" b="0"/>
                  <wp:docPr id="30" name="Picture 29" descr="gplot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ot25.png"/>
                          <pic:cNvPicPr/>
                        </pic:nvPicPr>
                        <pic:blipFill>
                          <a:blip r:embed="rId23" cstate="print"/>
                          <a:stretch>
                            <a:fillRect/>
                          </a:stretch>
                        </pic:blipFill>
                        <pic:spPr>
                          <a:xfrm>
                            <a:off x="0" y="0"/>
                            <a:ext cx="2642843" cy="1982132"/>
                          </a:xfrm>
                          <a:prstGeom prst="rect">
                            <a:avLst/>
                          </a:prstGeom>
                        </pic:spPr>
                      </pic:pic>
                    </a:graphicData>
                  </a:graphic>
                </wp:inline>
              </w:drawing>
            </w:r>
          </w:p>
        </w:tc>
        <w:tc>
          <w:tcPr>
            <w:tcW w:w="4375" w:type="dxa"/>
          </w:tcPr>
          <w:p w:rsidR="00FA7F15" w:rsidRDefault="00D3344A" w:rsidP="001D5C88">
            <w:pPr>
              <w:pStyle w:val="Tabletext"/>
              <w:jc w:val="both"/>
            </w:pPr>
            <w:r>
              <w:rPr>
                <w:noProof/>
                <w:lang w:eastAsia="en-NZ"/>
              </w:rPr>
              <w:drawing>
                <wp:inline distT="0" distB="0" distL="0" distR="0">
                  <wp:extent cx="2641600" cy="1981200"/>
                  <wp:effectExtent l="19050" t="0" r="6350" b="0"/>
                  <wp:docPr id="13" name="Picture 12" descr="gplot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ot13.png"/>
                          <pic:cNvPicPr/>
                        </pic:nvPicPr>
                        <pic:blipFill>
                          <a:blip r:embed="rId24" cstate="print"/>
                          <a:stretch>
                            <a:fillRect/>
                          </a:stretch>
                        </pic:blipFill>
                        <pic:spPr>
                          <a:xfrm>
                            <a:off x="0" y="0"/>
                            <a:ext cx="2642843" cy="1982132"/>
                          </a:xfrm>
                          <a:prstGeom prst="rect">
                            <a:avLst/>
                          </a:prstGeom>
                        </pic:spPr>
                      </pic:pic>
                    </a:graphicData>
                  </a:graphic>
                </wp:inline>
              </w:drawing>
            </w:r>
          </w:p>
        </w:tc>
      </w:tr>
      <w:tr w:rsidR="00D3344A" w:rsidTr="00D3344A">
        <w:tc>
          <w:tcPr>
            <w:tcW w:w="8720" w:type="dxa"/>
            <w:gridSpan w:val="2"/>
          </w:tcPr>
          <w:p w:rsidR="00D3344A" w:rsidRDefault="00D3344A" w:rsidP="00D3344A">
            <w:pPr>
              <w:pStyle w:val="Tableheading"/>
              <w:rPr>
                <w:noProof/>
                <w:lang w:eastAsia="en-NZ"/>
              </w:rPr>
            </w:pPr>
            <w:r>
              <w:rPr>
                <w:noProof/>
                <w:lang w:eastAsia="en-NZ"/>
              </w:rPr>
              <w:lastRenderedPageBreak/>
              <w:t>Document literacy and reading</w:t>
            </w:r>
          </w:p>
        </w:tc>
      </w:tr>
      <w:tr w:rsidR="00FA7F15" w:rsidTr="00D3344A">
        <w:tc>
          <w:tcPr>
            <w:tcW w:w="4345" w:type="dxa"/>
          </w:tcPr>
          <w:p w:rsidR="00FA7F15" w:rsidRDefault="00C3484E" w:rsidP="001D5C88">
            <w:pPr>
              <w:pStyle w:val="Tabletext"/>
            </w:pPr>
            <w:r>
              <w:rPr>
                <w:noProof/>
                <w:lang w:eastAsia="en-NZ"/>
              </w:rPr>
              <w:drawing>
                <wp:inline distT="0" distB="0" distL="0" distR="0">
                  <wp:extent cx="2641600" cy="1981200"/>
                  <wp:effectExtent l="19050" t="0" r="6350" b="0"/>
                  <wp:docPr id="29" name="Picture 28" descr="gplot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ot27.png"/>
                          <pic:cNvPicPr/>
                        </pic:nvPicPr>
                        <pic:blipFill>
                          <a:blip r:embed="rId25" cstate="print"/>
                          <a:stretch>
                            <a:fillRect/>
                          </a:stretch>
                        </pic:blipFill>
                        <pic:spPr>
                          <a:xfrm>
                            <a:off x="0" y="0"/>
                            <a:ext cx="2642843" cy="1982132"/>
                          </a:xfrm>
                          <a:prstGeom prst="rect">
                            <a:avLst/>
                          </a:prstGeom>
                        </pic:spPr>
                      </pic:pic>
                    </a:graphicData>
                  </a:graphic>
                </wp:inline>
              </w:drawing>
            </w:r>
          </w:p>
        </w:tc>
        <w:tc>
          <w:tcPr>
            <w:tcW w:w="4375" w:type="dxa"/>
          </w:tcPr>
          <w:p w:rsidR="00FA7F15" w:rsidRDefault="00D3344A" w:rsidP="001D5C88">
            <w:pPr>
              <w:pStyle w:val="Tabletext"/>
            </w:pPr>
            <w:r>
              <w:rPr>
                <w:noProof/>
                <w:lang w:eastAsia="en-NZ"/>
              </w:rPr>
              <w:drawing>
                <wp:inline distT="0" distB="0" distL="0" distR="0">
                  <wp:extent cx="2660649" cy="1995487"/>
                  <wp:effectExtent l="19050" t="0" r="6351" b="0"/>
                  <wp:docPr id="14" name="Picture 13" descr="gplot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ot15.png"/>
                          <pic:cNvPicPr/>
                        </pic:nvPicPr>
                        <pic:blipFill>
                          <a:blip r:embed="rId26" cstate="print"/>
                          <a:stretch>
                            <a:fillRect/>
                          </a:stretch>
                        </pic:blipFill>
                        <pic:spPr>
                          <a:xfrm>
                            <a:off x="0" y="0"/>
                            <a:ext cx="2661901" cy="1996426"/>
                          </a:xfrm>
                          <a:prstGeom prst="rect">
                            <a:avLst/>
                          </a:prstGeom>
                        </pic:spPr>
                      </pic:pic>
                    </a:graphicData>
                  </a:graphic>
                </wp:inline>
              </w:drawing>
            </w:r>
          </w:p>
        </w:tc>
      </w:tr>
      <w:tr w:rsidR="00EF4DBF" w:rsidTr="00EF4DBF">
        <w:tc>
          <w:tcPr>
            <w:tcW w:w="8720" w:type="dxa"/>
            <w:gridSpan w:val="2"/>
          </w:tcPr>
          <w:p w:rsidR="00EF4DBF" w:rsidRDefault="00EF4DBF" w:rsidP="00EF4DBF">
            <w:pPr>
              <w:pStyle w:val="Tableheading"/>
              <w:rPr>
                <w:noProof/>
                <w:lang w:eastAsia="en-NZ"/>
              </w:rPr>
            </w:pPr>
            <w:r>
              <w:rPr>
                <w:noProof/>
                <w:lang w:eastAsia="en-NZ"/>
              </w:rPr>
              <w:t>Numeracy and general numeracy</w:t>
            </w:r>
          </w:p>
        </w:tc>
      </w:tr>
      <w:tr w:rsidR="00D3344A" w:rsidTr="00D3344A">
        <w:tc>
          <w:tcPr>
            <w:tcW w:w="4345" w:type="dxa"/>
          </w:tcPr>
          <w:p w:rsidR="00D3344A" w:rsidRDefault="00C3484E" w:rsidP="001D5C88">
            <w:pPr>
              <w:pStyle w:val="Tabletext"/>
              <w:rPr>
                <w:noProof/>
                <w:lang w:eastAsia="en-NZ"/>
              </w:rPr>
            </w:pPr>
            <w:r>
              <w:rPr>
                <w:noProof/>
                <w:lang w:eastAsia="en-NZ"/>
              </w:rPr>
              <w:drawing>
                <wp:inline distT="0" distB="0" distL="0" distR="0">
                  <wp:extent cx="2641600" cy="1981200"/>
                  <wp:effectExtent l="19050" t="0" r="6350" b="0"/>
                  <wp:docPr id="28" name="Picture 27" descr="gplot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ot29.png"/>
                          <pic:cNvPicPr/>
                        </pic:nvPicPr>
                        <pic:blipFill>
                          <a:blip r:embed="rId27" cstate="print"/>
                          <a:stretch>
                            <a:fillRect/>
                          </a:stretch>
                        </pic:blipFill>
                        <pic:spPr>
                          <a:xfrm>
                            <a:off x="0" y="0"/>
                            <a:ext cx="2642843" cy="1982132"/>
                          </a:xfrm>
                          <a:prstGeom prst="rect">
                            <a:avLst/>
                          </a:prstGeom>
                        </pic:spPr>
                      </pic:pic>
                    </a:graphicData>
                  </a:graphic>
                </wp:inline>
              </w:drawing>
            </w:r>
          </w:p>
        </w:tc>
        <w:tc>
          <w:tcPr>
            <w:tcW w:w="4375" w:type="dxa"/>
          </w:tcPr>
          <w:p w:rsidR="00D3344A" w:rsidRDefault="00C3484E" w:rsidP="001D5C88">
            <w:pPr>
              <w:pStyle w:val="Tabletext"/>
            </w:pPr>
            <w:r>
              <w:rPr>
                <w:noProof/>
                <w:lang w:eastAsia="en-NZ"/>
              </w:rPr>
              <w:drawing>
                <wp:inline distT="0" distB="0" distL="0" distR="0">
                  <wp:extent cx="2641598" cy="1981200"/>
                  <wp:effectExtent l="19050" t="0" r="6352" b="0"/>
                  <wp:docPr id="27" name="Picture 26" descr="gplot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ot23.png"/>
                          <pic:cNvPicPr/>
                        </pic:nvPicPr>
                        <pic:blipFill>
                          <a:blip r:embed="rId28" cstate="print"/>
                          <a:stretch>
                            <a:fillRect/>
                          </a:stretch>
                        </pic:blipFill>
                        <pic:spPr>
                          <a:xfrm>
                            <a:off x="0" y="0"/>
                            <a:ext cx="2642841" cy="1982132"/>
                          </a:xfrm>
                          <a:prstGeom prst="rect">
                            <a:avLst/>
                          </a:prstGeom>
                        </pic:spPr>
                      </pic:pic>
                    </a:graphicData>
                  </a:graphic>
                </wp:inline>
              </w:drawing>
            </w:r>
          </w:p>
        </w:tc>
      </w:tr>
    </w:tbl>
    <w:p w:rsidR="00FA7F15" w:rsidRDefault="00FA7F15" w:rsidP="00B94DB1">
      <w:pPr>
        <w:pStyle w:val="BodyText"/>
      </w:pPr>
    </w:p>
    <w:p w:rsidR="00413C65" w:rsidRDefault="00413C65" w:rsidP="00B94DB1">
      <w:pPr>
        <w:pStyle w:val="BodyText"/>
      </w:pPr>
      <w:r>
        <w:t xml:space="preserve">For numeracy the relationship appears to be somewhat tighter for people aged </w:t>
      </w:r>
      <w:proofErr w:type="gramStart"/>
      <w:r>
        <w:t>under</w:t>
      </w:r>
      <w:proofErr w:type="gramEnd"/>
      <w:r>
        <w:t xml:space="preserve"> 25 than for those aged 25 and over. This is consistent with the correlation statistics reported in </w:t>
      </w:r>
      <w:r w:rsidR="009708E0">
        <w:fldChar w:fldCharType="begin"/>
      </w:r>
      <w:r>
        <w:instrText xml:space="preserve"> REF _Ref379539896 \h </w:instrText>
      </w:r>
      <w:r w:rsidR="009708E0">
        <w:fldChar w:fldCharType="separate"/>
      </w:r>
      <w:r w:rsidR="00E333BF">
        <w:t xml:space="preserve">Table </w:t>
      </w:r>
      <w:r w:rsidR="00E333BF">
        <w:rPr>
          <w:noProof/>
        </w:rPr>
        <w:t>2</w:t>
      </w:r>
      <w:r w:rsidR="009708E0">
        <w:fldChar w:fldCharType="end"/>
      </w:r>
      <w:r>
        <w:t>. The dispersion of results suggests there are some learners who have improved their skills since the ALL study (below the line in the 25 years and over plot) and a some who had numeracy at level 3 and above on ALL who were not as well measured on the Assessment Tool.</w:t>
      </w:r>
    </w:p>
    <w:p w:rsidR="00413C65" w:rsidRDefault="00413C65" w:rsidP="00B94DB1">
      <w:pPr>
        <w:pStyle w:val="BodyText"/>
      </w:pPr>
      <w:r>
        <w:t xml:space="preserve">The results of this analysis confirm that it would be best to focus on people aged 25 and over for the analysis of the relationship between reading and literacy. </w:t>
      </w:r>
      <w:r w:rsidR="007F5783">
        <w:t>However, this may not be for the reason initially proposed of changes in literacy proficiency over time. For numeracy, there is no evidence to suggest a need to restrict the population by age group.</w:t>
      </w:r>
    </w:p>
    <w:p w:rsidR="00085C3C" w:rsidRDefault="00085C3C" w:rsidP="00085C3C">
      <w:pPr>
        <w:pStyle w:val="Heading2"/>
      </w:pPr>
      <w:r>
        <w:t>Matching of steps to levels</w:t>
      </w:r>
    </w:p>
    <w:p w:rsidR="0099726B" w:rsidRDefault="00883409" w:rsidP="00085C3C">
      <w:pPr>
        <w:pStyle w:val="BodyText"/>
      </w:pPr>
      <w:r>
        <w:t xml:space="preserve">The next question of interest is whether steps on the Assessment Tool can be mapped to specific levels in the ALL survey.  </w:t>
      </w:r>
      <w:r w:rsidR="0099726B">
        <w:t>Further investigation of the data showed that the match between steps and levels was clearest if the sample was restricted to people who reported they spoke</w:t>
      </w:r>
      <w:r w:rsidR="00216141">
        <w:t xml:space="preserve"> English</w:t>
      </w:r>
      <w:r w:rsidR="0099726B">
        <w:t xml:space="preserve"> as their main home language in the ALL survey.  It is likely that the literacy and numeracy levels of those who spoke other languages at home increased during time between the survey and the assessments, reducing the value of the comparison.</w:t>
      </w:r>
    </w:p>
    <w:p w:rsidR="009E5DA3" w:rsidRDefault="009E5DA3" w:rsidP="009E5DA3">
      <w:pPr>
        <w:pStyle w:val="Heading3"/>
      </w:pPr>
      <w:r>
        <w:t>Reading and document literacy</w:t>
      </w:r>
    </w:p>
    <w:p w:rsidR="00085C3C" w:rsidRDefault="009708E0" w:rsidP="00085C3C">
      <w:pPr>
        <w:pStyle w:val="BodyText"/>
      </w:pPr>
      <w:r>
        <w:fldChar w:fldCharType="begin"/>
      </w:r>
      <w:r w:rsidR="00F46452">
        <w:instrText xml:space="preserve"> REF _Ref370134643 \h </w:instrText>
      </w:r>
      <w:r>
        <w:fldChar w:fldCharType="separate"/>
      </w:r>
      <w:r w:rsidR="00E333BF">
        <w:t xml:space="preserve">Figure </w:t>
      </w:r>
      <w:r w:rsidR="00E333BF">
        <w:rPr>
          <w:noProof/>
        </w:rPr>
        <w:t>4</w:t>
      </w:r>
      <w:r>
        <w:fldChar w:fldCharType="end"/>
      </w:r>
      <w:r w:rsidR="00F46452">
        <w:t xml:space="preserve"> shows the match between the Assessment Tool steps for reading and ALL document literacy</w:t>
      </w:r>
      <w:r w:rsidR="00883409">
        <w:t xml:space="preserve"> levels</w:t>
      </w:r>
      <w:r w:rsidR="001F2BC0">
        <w:t xml:space="preserve"> for people aged 25 and over</w:t>
      </w:r>
      <w:r w:rsidR="00216141">
        <w:t>, who spoke English at home</w:t>
      </w:r>
      <w:r w:rsidR="001F2BC0">
        <w:t xml:space="preserve"> at the time of the ALL survey.  </w:t>
      </w:r>
      <w:r>
        <w:fldChar w:fldCharType="begin"/>
      </w:r>
      <w:r w:rsidR="00CA1DA9">
        <w:instrText xml:space="preserve"> REF _Ref380494457 \h </w:instrText>
      </w:r>
      <w:r>
        <w:fldChar w:fldCharType="separate"/>
      </w:r>
      <w:r w:rsidR="00E333BF">
        <w:t xml:space="preserve">Figure </w:t>
      </w:r>
      <w:r w:rsidR="00E333BF">
        <w:rPr>
          <w:noProof/>
        </w:rPr>
        <w:t>5</w:t>
      </w:r>
      <w:r>
        <w:fldChar w:fldCharType="end"/>
      </w:r>
      <w:r w:rsidR="00CA1DA9">
        <w:t xml:space="preserve"> shows the match from ALL document literacy levels to Assessment Tool steps.</w:t>
      </w:r>
    </w:p>
    <w:p w:rsidR="00085C3C" w:rsidRDefault="00085C3C" w:rsidP="00085C3C">
      <w:pPr>
        <w:pStyle w:val="Caption"/>
        <w:jc w:val="both"/>
      </w:pPr>
      <w:bookmarkStart w:id="5" w:name="_Ref370134643"/>
      <w:r>
        <w:lastRenderedPageBreak/>
        <w:t xml:space="preserve">Figure </w:t>
      </w:r>
      <w:fldSimple w:instr=" SEQ Figure \* ARABIC ">
        <w:r w:rsidR="00E333BF">
          <w:rPr>
            <w:noProof/>
          </w:rPr>
          <w:t>4</w:t>
        </w:r>
      </w:fldSimple>
      <w:bookmarkEnd w:id="5"/>
    </w:p>
    <w:p w:rsidR="00085C3C" w:rsidRPr="00085C3C" w:rsidRDefault="00085C3C" w:rsidP="00085C3C">
      <w:pPr>
        <w:pStyle w:val="Figurelabel"/>
      </w:pPr>
      <w:r>
        <w:t>Match of Reading Assessment Steps to ALL Document Literacy Levels</w:t>
      </w:r>
      <w:r w:rsidR="00103A0A">
        <w:t xml:space="preserve"> (25 and over, home language English, n=</w:t>
      </w:r>
      <w:r w:rsidR="006710AE">
        <w:t>125</w:t>
      </w:r>
      <w:r w:rsidR="00103A0A">
        <w:t>)</w:t>
      </w:r>
    </w:p>
    <w:p w:rsidR="00085C3C" w:rsidRDefault="006710AE" w:rsidP="00085C3C">
      <w:pPr>
        <w:pStyle w:val="BodyText"/>
      </w:pPr>
      <w:r w:rsidRPr="006710AE">
        <w:rPr>
          <w:noProof/>
          <w:lang w:eastAsia="en-NZ"/>
        </w:rPr>
        <w:drawing>
          <wp:inline distT="0" distB="0" distL="0" distR="0">
            <wp:extent cx="3848100" cy="2314575"/>
            <wp:effectExtent l="1905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3848100" cy="2314575"/>
                    </a:xfrm>
                    <a:prstGeom prst="rect">
                      <a:avLst/>
                    </a:prstGeom>
                    <a:noFill/>
                    <a:ln w="9525">
                      <a:noFill/>
                      <a:miter lim="800000"/>
                      <a:headEnd/>
                      <a:tailEnd/>
                    </a:ln>
                  </pic:spPr>
                </pic:pic>
              </a:graphicData>
            </a:graphic>
          </wp:inline>
        </w:drawing>
      </w:r>
    </w:p>
    <w:p w:rsidR="001A3723" w:rsidRDefault="001A3723" w:rsidP="001A3723">
      <w:pPr>
        <w:pStyle w:val="Caption"/>
        <w:jc w:val="both"/>
      </w:pPr>
      <w:bookmarkStart w:id="6" w:name="_Ref380494457"/>
      <w:r>
        <w:t xml:space="preserve">Figure </w:t>
      </w:r>
      <w:fldSimple w:instr=" SEQ Figure \* ARABIC ">
        <w:r w:rsidR="00E333BF">
          <w:rPr>
            <w:noProof/>
          </w:rPr>
          <w:t>5</w:t>
        </w:r>
      </w:fldSimple>
      <w:bookmarkEnd w:id="6"/>
    </w:p>
    <w:p w:rsidR="001A3723" w:rsidRPr="00085C3C" w:rsidRDefault="001A3723" w:rsidP="001A3723">
      <w:pPr>
        <w:pStyle w:val="Figurelabel"/>
      </w:pPr>
      <w:r>
        <w:t xml:space="preserve">Match of ALL Document Literacy </w:t>
      </w:r>
      <w:r w:rsidR="00CA1DA9">
        <w:t xml:space="preserve">Levels to </w:t>
      </w:r>
      <w:r>
        <w:t>Reading Assessment Steps (25 and over, home language English, n=</w:t>
      </w:r>
      <w:r w:rsidR="006710AE">
        <w:t>125</w:t>
      </w:r>
      <w:r>
        <w:t>)</w:t>
      </w:r>
    </w:p>
    <w:p w:rsidR="001A3723" w:rsidRDefault="006710AE" w:rsidP="001324FC">
      <w:pPr>
        <w:pStyle w:val="BodyText"/>
      </w:pPr>
      <w:r w:rsidRPr="006710AE">
        <w:rPr>
          <w:noProof/>
          <w:lang w:eastAsia="en-NZ"/>
        </w:rPr>
        <w:drawing>
          <wp:inline distT="0" distB="0" distL="0" distR="0">
            <wp:extent cx="3848100" cy="2314575"/>
            <wp:effectExtent l="1905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3848100" cy="2314575"/>
                    </a:xfrm>
                    <a:prstGeom prst="rect">
                      <a:avLst/>
                    </a:prstGeom>
                    <a:noFill/>
                    <a:ln w="9525">
                      <a:noFill/>
                      <a:miter lim="800000"/>
                      <a:headEnd/>
                      <a:tailEnd/>
                    </a:ln>
                  </pic:spPr>
                </pic:pic>
              </a:graphicData>
            </a:graphic>
          </wp:inline>
        </w:drawing>
      </w:r>
    </w:p>
    <w:p w:rsidR="001A3723" w:rsidRDefault="001A3723" w:rsidP="001324FC">
      <w:pPr>
        <w:pStyle w:val="BodyText"/>
      </w:pPr>
    </w:p>
    <w:p w:rsidR="00E74798" w:rsidRDefault="00E74798" w:rsidP="00085C3C">
      <w:pPr>
        <w:pStyle w:val="BodyText"/>
      </w:pPr>
      <w:r>
        <w:t xml:space="preserve">The results show that people who were assessed at Steps 1 and 2 on the Assessment Tool were nearly all assessed at Level 1 on ALL.  Those who were assessed at Step 3 were spread between Levels 1 and 2, with </w:t>
      </w:r>
      <w:r w:rsidR="001D5C88">
        <w:t>most</w:t>
      </w:r>
      <w:r>
        <w:t xml:space="preserve"> of them in Level 2.  Similarly those assessed at Step 4 were spread between Levels 2 and 3, with more in Level 2. Most people assessed at Steps 5 and 6 were assessed at levels 3 and above on ALL.</w:t>
      </w:r>
    </w:p>
    <w:p w:rsidR="009E5DA3" w:rsidRPr="00085C3C" w:rsidRDefault="009708E0" w:rsidP="00085C3C">
      <w:pPr>
        <w:pStyle w:val="BodyText"/>
      </w:pPr>
      <w:r>
        <w:fldChar w:fldCharType="begin"/>
      </w:r>
      <w:r w:rsidR="0032417A">
        <w:instrText xml:space="preserve"> REF _Ref370202594 \h </w:instrText>
      </w:r>
      <w:r>
        <w:fldChar w:fldCharType="separate"/>
      </w:r>
      <w:r w:rsidR="00E333BF">
        <w:t xml:space="preserve">Table </w:t>
      </w:r>
      <w:r w:rsidR="00E333BF">
        <w:rPr>
          <w:noProof/>
        </w:rPr>
        <w:t>3</w:t>
      </w:r>
      <w:r>
        <w:fldChar w:fldCharType="end"/>
      </w:r>
      <w:r w:rsidR="0032417A">
        <w:t xml:space="preserve"> </w:t>
      </w:r>
      <w:r w:rsidR="00E74798">
        <w:t xml:space="preserve">shows a map </w:t>
      </w:r>
      <w:proofErr w:type="gramStart"/>
      <w:r w:rsidR="00E74798">
        <w:t xml:space="preserve">of </w:t>
      </w:r>
      <w:r w:rsidR="0032417A">
        <w:t xml:space="preserve"> the</w:t>
      </w:r>
      <w:proofErr w:type="gramEnd"/>
      <w:r w:rsidR="0032417A">
        <w:t xml:space="preserve"> relationship between reading assessment steps and ALL document literacy levels.  </w:t>
      </w:r>
      <w:r w:rsidR="001324FC">
        <w:t>The symbols for the Steps are taken from the Learning Progressions.</w:t>
      </w:r>
    </w:p>
    <w:p w:rsidR="009E5DA3" w:rsidRDefault="009E5DA3" w:rsidP="009E5DA3">
      <w:pPr>
        <w:pStyle w:val="Caption"/>
      </w:pPr>
      <w:bookmarkStart w:id="7" w:name="_Ref370202594"/>
      <w:r>
        <w:lastRenderedPageBreak/>
        <w:t xml:space="preserve">Table </w:t>
      </w:r>
      <w:fldSimple w:instr=" SEQ Table \* ARABIC ">
        <w:r w:rsidR="00E333BF">
          <w:rPr>
            <w:noProof/>
          </w:rPr>
          <w:t>3</w:t>
        </w:r>
      </w:fldSimple>
      <w:bookmarkEnd w:id="7"/>
    </w:p>
    <w:p w:rsidR="009E5DA3" w:rsidRPr="009E5DA3" w:rsidRDefault="002A1858" w:rsidP="009E5DA3">
      <w:pPr>
        <w:pStyle w:val="Tablelabel"/>
      </w:pPr>
      <w:r>
        <w:t>A m</w:t>
      </w:r>
      <w:r w:rsidR="009E5DA3">
        <w:t xml:space="preserve">apping of Reading Assessment </w:t>
      </w:r>
      <w:r>
        <w:t>Steps to ALL Document Literacy l</w:t>
      </w:r>
      <w:r w:rsidR="009E5DA3">
        <w:t>evels</w:t>
      </w:r>
    </w:p>
    <w:tbl>
      <w:tblPr>
        <w:tblStyle w:val="TableMOE4"/>
        <w:tblW w:w="0" w:type="auto"/>
        <w:tblLook w:val="04A0"/>
      </w:tblPr>
      <w:tblGrid>
        <w:gridCol w:w="482"/>
        <w:gridCol w:w="1121"/>
        <w:gridCol w:w="1099"/>
        <w:gridCol w:w="1100"/>
        <w:gridCol w:w="1100"/>
        <w:gridCol w:w="1100"/>
        <w:gridCol w:w="1100"/>
        <w:gridCol w:w="1100"/>
      </w:tblGrid>
      <w:tr w:rsidR="009E5DA3" w:rsidTr="00E74798">
        <w:trPr>
          <w:cnfStyle w:val="100000000000"/>
          <w:trHeight w:hRule="exact" w:val="851"/>
        </w:trPr>
        <w:tc>
          <w:tcPr>
            <w:cnfStyle w:val="001000000000"/>
            <w:tcW w:w="482" w:type="dxa"/>
            <w:vMerge w:val="restart"/>
            <w:textDirection w:val="btLr"/>
          </w:tcPr>
          <w:p w:rsidR="009E5DA3" w:rsidRPr="00965925" w:rsidRDefault="009E5DA3" w:rsidP="00FC0A1A">
            <w:pPr>
              <w:pStyle w:val="Tableheading"/>
            </w:pPr>
            <w:r>
              <w:t>Document literacy</w:t>
            </w:r>
          </w:p>
        </w:tc>
        <w:tc>
          <w:tcPr>
            <w:tcW w:w="1121" w:type="dxa"/>
            <w:tcBorders>
              <w:right w:val="single" w:sz="4" w:space="0" w:color="7F7F7F"/>
            </w:tcBorders>
          </w:tcPr>
          <w:p w:rsidR="009E5DA3" w:rsidRPr="00965925" w:rsidRDefault="009E5DA3" w:rsidP="00FC0A1A">
            <w:pPr>
              <w:pStyle w:val="Tabletext"/>
              <w:jc w:val="left"/>
              <w:cnfStyle w:val="100000000000"/>
            </w:pPr>
            <w:r w:rsidRPr="00965925">
              <w:t>Level 4/5</w:t>
            </w:r>
          </w:p>
        </w:tc>
        <w:tc>
          <w:tcPr>
            <w:tcW w:w="1099" w:type="dxa"/>
            <w:tcBorders>
              <w:left w:val="single" w:sz="4" w:space="0" w:color="7F7F7F"/>
              <w:right w:val="single" w:sz="4" w:space="0" w:color="BFBFBF" w:themeColor="background1" w:themeShade="BF"/>
            </w:tcBorders>
          </w:tcPr>
          <w:p w:rsidR="009E5DA3" w:rsidRDefault="009E5DA3" w:rsidP="00FC0A1A">
            <w:pPr>
              <w:pStyle w:val="Tabletext"/>
              <w:cnfStyle w:val="100000000000"/>
            </w:pPr>
          </w:p>
        </w:tc>
        <w:tc>
          <w:tcPr>
            <w:tcW w:w="1100" w:type="dxa"/>
            <w:tcBorders>
              <w:left w:val="single" w:sz="4" w:space="0" w:color="BFBFBF" w:themeColor="background1" w:themeShade="BF"/>
              <w:right w:val="single" w:sz="4" w:space="0" w:color="BFBFBF" w:themeColor="background1" w:themeShade="BF"/>
            </w:tcBorders>
          </w:tcPr>
          <w:p w:rsidR="009E5DA3" w:rsidRDefault="009E5DA3" w:rsidP="00FC0A1A">
            <w:pPr>
              <w:pStyle w:val="Tabletext"/>
              <w:cnfStyle w:val="100000000000"/>
            </w:pPr>
          </w:p>
        </w:tc>
        <w:tc>
          <w:tcPr>
            <w:tcW w:w="1100" w:type="dxa"/>
            <w:tcBorders>
              <w:left w:val="single" w:sz="4" w:space="0" w:color="BFBFBF" w:themeColor="background1" w:themeShade="BF"/>
              <w:right w:val="single" w:sz="4" w:space="0" w:color="BFBFBF" w:themeColor="background1" w:themeShade="BF"/>
            </w:tcBorders>
          </w:tcPr>
          <w:p w:rsidR="009E5DA3" w:rsidRDefault="009E5DA3" w:rsidP="00FC0A1A">
            <w:pPr>
              <w:pStyle w:val="Tabletext"/>
              <w:cnfStyle w:val="100000000000"/>
            </w:pPr>
          </w:p>
        </w:tc>
        <w:tc>
          <w:tcPr>
            <w:tcW w:w="1100" w:type="dxa"/>
            <w:tcBorders>
              <w:left w:val="single" w:sz="4" w:space="0" w:color="BFBFBF" w:themeColor="background1" w:themeShade="BF"/>
              <w:right w:val="single" w:sz="4" w:space="0" w:color="BFBFBF" w:themeColor="background1" w:themeShade="BF"/>
            </w:tcBorders>
          </w:tcPr>
          <w:p w:rsidR="009E5DA3" w:rsidRDefault="009E5DA3" w:rsidP="00FC0A1A">
            <w:pPr>
              <w:pStyle w:val="Tabletext"/>
              <w:cnfStyle w:val="100000000000"/>
            </w:pPr>
          </w:p>
        </w:tc>
        <w:tc>
          <w:tcPr>
            <w:tcW w:w="1100" w:type="dxa"/>
            <w:tcBorders>
              <w:left w:val="single" w:sz="4" w:space="0" w:color="BFBFBF" w:themeColor="background1" w:themeShade="BF"/>
              <w:right w:val="single" w:sz="4" w:space="0" w:color="BFBFBF" w:themeColor="background1" w:themeShade="BF"/>
            </w:tcBorders>
          </w:tcPr>
          <w:p w:rsidR="009E5DA3" w:rsidRDefault="009E5DA3" w:rsidP="00FC0A1A">
            <w:pPr>
              <w:pStyle w:val="Tabletext"/>
              <w:cnfStyle w:val="100000000000"/>
            </w:pPr>
          </w:p>
        </w:tc>
        <w:tc>
          <w:tcPr>
            <w:tcW w:w="1100" w:type="dxa"/>
            <w:tcBorders>
              <w:left w:val="single" w:sz="4" w:space="0" w:color="BFBFBF" w:themeColor="background1" w:themeShade="BF"/>
            </w:tcBorders>
          </w:tcPr>
          <w:p w:rsidR="009E5DA3" w:rsidRDefault="00852135" w:rsidP="00FC0A1A">
            <w:pPr>
              <w:pStyle w:val="Tabletext"/>
              <w:cnfStyle w:val="100000000000"/>
            </w:pPr>
            <w:r>
              <w:rPr>
                <w:noProof/>
                <w:lang w:eastAsia="en-NZ"/>
              </w:rPr>
              <w:drawing>
                <wp:anchor distT="0" distB="0" distL="114300" distR="114300" simplePos="0" relativeHeight="251702784" behindDoc="0" locked="0" layoutInCell="1" allowOverlap="1">
                  <wp:simplePos x="0" y="0"/>
                  <wp:positionH relativeFrom="column">
                    <wp:posOffset>2540</wp:posOffset>
                  </wp:positionH>
                  <wp:positionV relativeFrom="paragraph">
                    <wp:posOffset>256541</wp:posOffset>
                  </wp:positionV>
                  <wp:extent cx="523875" cy="781050"/>
                  <wp:effectExtent l="19050" t="0" r="952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cstate="print"/>
                          <a:srcRect/>
                          <a:stretch>
                            <a:fillRect/>
                          </a:stretch>
                        </pic:blipFill>
                        <pic:spPr bwMode="auto">
                          <a:xfrm>
                            <a:off x="0" y="0"/>
                            <a:ext cx="523875" cy="781050"/>
                          </a:xfrm>
                          <a:prstGeom prst="rect">
                            <a:avLst/>
                          </a:prstGeom>
                          <a:noFill/>
                          <a:ln w="9525">
                            <a:noFill/>
                            <a:miter lim="800000"/>
                            <a:headEnd/>
                            <a:tailEnd/>
                          </a:ln>
                        </pic:spPr>
                      </pic:pic>
                    </a:graphicData>
                  </a:graphic>
                </wp:anchor>
              </w:drawing>
            </w:r>
          </w:p>
        </w:tc>
      </w:tr>
      <w:tr w:rsidR="009E5DA3" w:rsidTr="00E74798">
        <w:trPr>
          <w:trHeight w:hRule="exact" w:val="851"/>
        </w:trPr>
        <w:tc>
          <w:tcPr>
            <w:cnfStyle w:val="001000000000"/>
            <w:tcW w:w="482" w:type="dxa"/>
            <w:vMerge/>
            <w:textDirection w:val="btLr"/>
          </w:tcPr>
          <w:p w:rsidR="009E5DA3" w:rsidRPr="00965925" w:rsidRDefault="009E5DA3" w:rsidP="00FC0A1A">
            <w:pPr>
              <w:pStyle w:val="Tabletext"/>
            </w:pPr>
          </w:p>
        </w:tc>
        <w:tc>
          <w:tcPr>
            <w:tcW w:w="1121" w:type="dxa"/>
            <w:tcBorders>
              <w:right w:val="single" w:sz="4" w:space="0" w:color="7F7F7F"/>
            </w:tcBorders>
          </w:tcPr>
          <w:p w:rsidR="009E5DA3" w:rsidRPr="00965925" w:rsidRDefault="009E5DA3" w:rsidP="00FC0A1A">
            <w:pPr>
              <w:pStyle w:val="Tabletext"/>
              <w:jc w:val="left"/>
              <w:cnfStyle w:val="000000000000"/>
            </w:pPr>
            <w:r w:rsidRPr="00965925">
              <w:t>Level 3</w:t>
            </w:r>
          </w:p>
        </w:tc>
        <w:tc>
          <w:tcPr>
            <w:tcW w:w="1099" w:type="dxa"/>
            <w:tcBorders>
              <w:left w:val="single" w:sz="4" w:space="0" w:color="7F7F7F"/>
              <w:right w:val="single" w:sz="4" w:space="0" w:color="BFBFBF" w:themeColor="background1" w:themeShade="BF"/>
            </w:tcBorders>
          </w:tcPr>
          <w:p w:rsidR="009E5DA3" w:rsidRDefault="009E5DA3" w:rsidP="00FC0A1A">
            <w:pPr>
              <w:pStyle w:val="Tabletext"/>
              <w:cnfStyle w:val="000000000000"/>
            </w:pPr>
          </w:p>
        </w:tc>
        <w:tc>
          <w:tcPr>
            <w:tcW w:w="1100" w:type="dxa"/>
            <w:tcBorders>
              <w:left w:val="single" w:sz="4" w:space="0" w:color="BFBFBF" w:themeColor="background1" w:themeShade="BF"/>
              <w:right w:val="single" w:sz="4" w:space="0" w:color="BFBFBF" w:themeColor="background1" w:themeShade="BF"/>
            </w:tcBorders>
          </w:tcPr>
          <w:p w:rsidR="009E5DA3" w:rsidRDefault="009E5DA3" w:rsidP="00FC0A1A">
            <w:pPr>
              <w:pStyle w:val="Tabletext"/>
              <w:cnfStyle w:val="000000000000"/>
            </w:pPr>
          </w:p>
        </w:tc>
        <w:tc>
          <w:tcPr>
            <w:tcW w:w="1100" w:type="dxa"/>
            <w:tcBorders>
              <w:left w:val="single" w:sz="4" w:space="0" w:color="BFBFBF" w:themeColor="background1" w:themeShade="BF"/>
              <w:right w:val="single" w:sz="4" w:space="0" w:color="BFBFBF" w:themeColor="background1" w:themeShade="BF"/>
            </w:tcBorders>
          </w:tcPr>
          <w:p w:rsidR="009E5DA3" w:rsidRDefault="00852135" w:rsidP="00FC0A1A">
            <w:pPr>
              <w:pStyle w:val="Tabletext"/>
              <w:cnfStyle w:val="000000000000"/>
            </w:pPr>
            <w:r>
              <w:rPr>
                <w:noProof/>
                <w:lang w:eastAsia="en-NZ"/>
              </w:rPr>
              <w:drawing>
                <wp:anchor distT="0" distB="0" distL="114300" distR="114300" simplePos="0" relativeHeight="251696640" behindDoc="0" locked="0" layoutInCell="1" allowOverlap="1">
                  <wp:simplePos x="0" y="0"/>
                  <wp:positionH relativeFrom="column">
                    <wp:posOffset>107315</wp:posOffset>
                  </wp:positionH>
                  <wp:positionV relativeFrom="paragraph">
                    <wp:posOffset>527050</wp:posOffset>
                  </wp:positionV>
                  <wp:extent cx="428625" cy="714375"/>
                  <wp:effectExtent l="1905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srcRect/>
                          <a:stretch>
                            <a:fillRect/>
                          </a:stretch>
                        </pic:blipFill>
                        <pic:spPr bwMode="auto">
                          <a:xfrm>
                            <a:off x="0" y="0"/>
                            <a:ext cx="428625" cy="714375"/>
                          </a:xfrm>
                          <a:prstGeom prst="rect">
                            <a:avLst/>
                          </a:prstGeom>
                          <a:noFill/>
                          <a:ln w="9525">
                            <a:noFill/>
                            <a:miter lim="800000"/>
                            <a:headEnd/>
                            <a:tailEnd/>
                          </a:ln>
                        </pic:spPr>
                      </pic:pic>
                    </a:graphicData>
                  </a:graphic>
                </wp:anchor>
              </w:drawing>
            </w:r>
          </w:p>
        </w:tc>
        <w:tc>
          <w:tcPr>
            <w:tcW w:w="1100" w:type="dxa"/>
            <w:tcBorders>
              <w:left w:val="single" w:sz="4" w:space="0" w:color="BFBFBF" w:themeColor="background1" w:themeShade="BF"/>
              <w:right w:val="single" w:sz="4" w:space="0" w:color="BFBFBF" w:themeColor="background1" w:themeShade="BF"/>
            </w:tcBorders>
          </w:tcPr>
          <w:p w:rsidR="009E5DA3" w:rsidRDefault="00E61EDE" w:rsidP="00FC0A1A">
            <w:pPr>
              <w:pStyle w:val="Tabletext"/>
              <w:cnfStyle w:val="000000000000"/>
            </w:pPr>
            <w:r>
              <w:rPr>
                <w:noProof/>
                <w:lang w:eastAsia="en-NZ"/>
              </w:rPr>
              <w:drawing>
                <wp:anchor distT="0" distB="0" distL="114300" distR="114300" simplePos="0" relativeHeight="251698688" behindDoc="0" locked="0" layoutInCell="1" allowOverlap="1">
                  <wp:simplePos x="0" y="0"/>
                  <wp:positionH relativeFrom="column">
                    <wp:posOffset>75565</wp:posOffset>
                  </wp:positionH>
                  <wp:positionV relativeFrom="paragraph">
                    <wp:posOffset>241300</wp:posOffset>
                  </wp:positionV>
                  <wp:extent cx="473075" cy="676275"/>
                  <wp:effectExtent l="19050" t="0" r="317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srcRect/>
                          <a:stretch>
                            <a:fillRect/>
                          </a:stretch>
                        </pic:blipFill>
                        <pic:spPr bwMode="auto">
                          <a:xfrm>
                            <a:off x="0" y="0"/>
                            <a:ext cx="473075" cy="676275"/>
                          </a:xfrm>
                          <a:prstGeom prst="rect">
                            <a:avLst/>
                          </a:prstGeom>
                          <a:noFill/>
                          <a:ln w="9525">
                            <a:noFill/>
                            <a:miter lim="800000"/>
                            <a:headEnd/>
                            <a:tailEnd/>
                          </a:ln>
                        </pic:spPr>
                      </pic:pic>
                    </a:graphicData>
                  </a:graphic>
                </wp:anchor>
              </w:drawing>
            </w:r>
          </w:p>
        </w:tc>
        <w:tc>
          <w:tcPr>
            <w:tcW w:w="1100" w:type="dxa"/>
            <w:tcBorders>
              <w:left w:val="single" w:sz="4" w:space="0" w:color="BFBFBF" w:themeColor="background1" w:themeShade="BF"/>
              <w:right w:val="single" w:sz="4" w:space="0" w:color="BFBFBF" w:themeColor="background1" w:themeShade="BF"/>
            </w:tcBorders>
          </w:tcPr>
          <w:p w:rsidR="009E5DA3" w:rsidRDefault="00E61EDE" w:rsidP="00FC0A1A">
            <w:pPr>
              <w:pStyle w:val="Tabletext"/>
              <w:cnfStyle w:val="000000000000"/>
            </w:pPr>
            <w:r>
              <w:rPr>
                <w:noProof/>
                <w:lang w:eastAsia="en-NZ"/>
              </w:rPr>
              <w:drawing>
                <wp:anchor distT="0" distB="0" distL="114300" distR="114300" simplePos="0" relativeHeight="251700736" behindDoc="0" locked="0" layoutInCell="1" allowOverlap="1">
                  <wp:simplePos x="0" y="0"/>
                  <wp:positionH relativeFrom="column">
                    <wp:posOffset>81915</wp:posOffset>
                  </wp:positionH>
                  <wp:positionV relativeFrom="paragraph">
                    <wp:posOffset>50800</wp:posOffset>
                  </wp:positionV>
                  <wp:extent cx="476250" cy="590550"/>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cstate="print"/>
                          <a:srcRect/>
                          <a:stretch>
                            <a:fillRect/>
                          </a:stretch>
                        </pic:blipFill>
                        <pic:spPr bwMode="auto">
                          <a:xfrm>
                            <a:off x="0" y="0"/>
                            <a:ext cx="476250" cy="590550"/>
                          </a:xfrm>
                          <a:prstGeom prst="rect">
                            <a:avLst/>
                          </a:prstGeom>
                          <a:noFill/>
                          <a:ln w="9525">
                            <a:noFill/>
                            <a:miter lim="800000"/>
                            <a:headEnd/>
                            <a:tailEnd/>
                          </a:ln>
                        </pic:spPr>
                      </pic:pic>
                    </a:graphicData>
                  </a:graphic>
                </wp:anchor>
              </w:drawing>
            </w:r>
          </w:p>
        </w:tc>
        <w:tc>
          <w:tcPr>
            <w:tcW w:w="1100" w:type="dxa"/>
            <w:tcBorders>
              <w:left w:val="single" w:sz="4" w:space="0" w:color="BFBFBF" w:themeColor="background1" w:themeShade="BF"/>
            </w:tcBorders>
          </w:tcPr>
          <w:p w:rsidR="009E5DA3" w:rsidRDefault="009E5DA3" w:rsidP="00FC0A1A">
            <w:pPr>
              <w:pStyle w:val="Tabletext"/>
              <w:cnfStyle w:val="000000000000"/>
            </w:pPr>
          </w:p>
        </w:tc>
      </w:tr>
      <w:tr w:rsidR="009E5DA3" w:rsidTr="00E74798">
        <w:trPr>
          <w:trHeight w:hRule="exact" w:val="851"/>
        </w:trPr>
        <w:tc>
          <w:tcPr>
            <w:cnfStyle w:val="001000000000"/>
            <w:tcW w:w="482" w:type="dxa"/>
            <w:vMerge/>
            <w:textDirection w:val="btLr"/>
          </w:tcPr>
          <w:p w:rsidR="009E5DA3" w:rsidRPr="00965925" w:rsidRDefault="009E5DA3" w:rsidP="00FC0A1A">
            <w:pPr>
              <w:pStyle w:val="Tabletext"/>
            </w:pPr>
          </w:p>
        </w:tc>
        <w:tc>
          <w:tcPr>
            <w:tcW w:w="1121" w:type="dxa"/>
            <w:tcBorders>
              <w:right w:val="single" w:sz="4" w:space="0" w:color="7F7F7F"/>
            </w:tcBorders>
          </w:tcPr>
          <w:p w:rsidR="009E5DA3" w:rsidRPr="00965925" w:rsidRDefault="009E5DA3" w:rsidP="00FC0A1A">
            <w:pPr>
              <w:pStyle w:val="Tabletext"/>
              <w:jc w:val="left"/>
              <w:cnfStyle w:val="000000000000"/>
            </w:pPr>
            <w:r w:rsidRPr="00965925">
              <w:t>Level 2</w:t>
            </w:r>
          </w:p>
        </w:tc>
        <w:tc>
          <w:tcPr>
            <w:tcW w:w="1099" w:type="dxa"/>
            <w:tcBorders>
              <w:left w:val="single" w:sz="4" w:space="0" w:color="7F7F7F"/>
              <w:right w:val="single" w:sz="4" w:space="0" w:color="BFBFBF" w:themeColor="background1" w:themeShade="BF"/>
            </w:tcBorders>
          </w:tcPr>
          <w:p w:rsidR="009E5DA3" w:rsidRDefault="009E5DA3" w:rsidP="00FC0A1A">
            <w:pPr>
              <w:pStyle w:val="Tabletext"/>
              <w:cnfStyle w:val="000000000000"/>
            </w:pPr>
          </w:p>
        </w:tc>
        <w:tc>
          <w:tcPr>
            <w:tcW w:w="1100" w:type="dxa"/>
            <w:tcBorders>
              <w:left w:val="single" w:sz="4" w:space="0" w:color="BFBFBF" w:themeColor="background1" w:themeShade="BF"/>
              <w:right w:val="single" w:sz="4" w:space="0" w:color="BFBFBF" w:themeColor="background1" w:themeShade="BF"/>
            </w:tcBorders>
          </w:tcPr>
          <w:p w:rsidR="009E5DA3" w:rsidRDefault="00852135" w:rsidP="00FC0A1A">
            <w:pPr>
              <w:pStyle w:val="Tabletext"/>
              <w:cnfStyle w:val="000000000000"/>
            </w:pPr>
            <w:r>
              <w:rPr>
                <w:noProof/>
                <w:lang w:eastAsia="en-NZ"/>
              </w:rPr>
              <w:drawing>
                <wp:anchor distT="0" distB="0" distL="114300" distR="114300" simplePos="0" relativeHeight="251694592" behindDoc="0" locked="0" layoutInCell="1" allowOverlap="1">
                  <wp:simplePos x="0" y="0"/>
                  <wp:positionH relativeFrom="column">
                    <wp:posOffset>72390</wp:posOffset>
                  </wp:positionH>
                  <wp:positionV relativeFrom="paragraph">
                    <wp:posOffset>435610</wp:posOffset>
                  </wp:positionV>
                  <wp:extent cx="428625" cy="514350"/>
                  <wp:effectExtent l="1905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srcRect/>
                          <a:stretch>
                            <a:fillRect/>
                          </a:stretch>
                        </pic:blipFill>
                        <pic:spPr bwMode="auto">
                          <a:xfrm>
                            <a:off x="0" y="0"/>
                            <a:ext cx="428625" cy="514350"/>
                          </a:xfrm>
                          <a:prstGeom prst="rect">
                            <a:avLst/>
                          </a:prstGeom>
                          <a:noFill/>
                          <a:ln w="9525">
                            <a:noFill/>
                            <a:miter lim="800000"/>
                            <a:headEnd/>
                            <a:tailEnd/>
                          </a:ln>
                        </pic:spPr>
                      </pic:pic>
                    </a:graphicData>
                  </a:graphic>
                </wp:anchor>
              </w:drawing>
            </w:r>
          </w:p>
        </w:tc>
        <w:tc>
          <w:tcPr>
            <w:tcW w:w="1100" w:type="dxa"/>
            <w:tcBorders>
              <w:left w:val="single" w:sz="4" w:space="0" w:color="BFBFBF" w:themeColor="background1" w:themeShade="BF"/>
              <w:right w:val="single" w:sz="4" w:space="0" w:color="BFBFBF" w:themeColor="background1" w:themeShade="BF"/>
            </w:tcBorders>
          </w:tcPr>
          <w:p w:rsidR="009E5DA3" w:rsidRDefault="009E5DA3" w:rsidP="00FC0A1A">
            <w:pPr>
              <w:pStyle w:val="Tabletext"/>
              <w:cnfStyle w:val="000000000000"/>
            </w:pPr>
          </w:p>
        </w:tc>
        <w:tc>
          <w:tcPr>
            <w:tcW w:w="1100" w:type="dxa"/>
            <w:tcBorders>
              <w:left w:val="single" w:sz="4" w:space="0" w:color="BFBFBF" w:themeColor="background1" w:themeShade="BF"/>
              <w:right w:val="single" w:sz="4" w:space="0" w:color="BFBFBF" w:themeColor="background1" w:themeShade="BF"/>
            </w:tcBorders>
          </w:tcPr>
          <w:p w:rsidR="009E5DA3" w:rsidRDefault="009E5DA3" w:rsidP="00FC0A1A">
            <w:pPr>
              <w:pStyle w:val="Tabletext"/>
              <w:cnfStyle w:val="000000000000"/>
            </w:pPr>
          </w:p>
        </w:tc>
        <w:tc>
          <w:tcPr>
            <w:tcW w:w="1100" w:type="dxa"/>
            <w:tcBorders>
              <w:left w:val="single" w:sz="4" w:space="0" w:color="BFBFBF" w:themeColor="background1" w:themeShade="BF"/>
              <w:right w:val="single" w:sz="4" w:space="0" w:color="BFBFBF" w:themeColor="background1" w:themeShade="BF"/>
            </w:tcBorders>
          </w:tcPr>
          <w:p w:rsidR="009E5DA3" w:rsidRDefault="009E5DA3" w:rsidP="00FC0A1A">
            <w:pPr>
              <w:pStyle w:val="Tabletext"/>
              <w:cnfStyle w:val="000000000000"/>
            </w:pPr>
          </w:p>
        </w:tc>
        <w:tc>
          <w:tcPr>
            <w:tcW w:w="1100" w:type="dxa"/>
            <w:tcBorders>
              <w:left w:val="single" w:sz="4" w:space="0" w:color="BFBFBF" w:themeColor="background1" w:themeShade="BF"/>
            </w:tcBorders>
          </w:tcPr>
          <w:p w:rsidR="009E5DA3" w:rsidRDefault="009E5DA3" w:rsidP="00FC0A1A">
            <w:pPr>
              <w:pStyle w:val="Tabletext"/>
              <w:cnfStyle w:val="000000000000"/>
            </w:pPr>
          </w:p>
        </w:tc>
      </w:tr>
      <w:tr w:rsidR="009E5DA3" w:rsidTr="00E74798">
        <w:trPr>
          <w:trHeight w:hRule="exact" w:val="851"/>
        </w:trPr>
        <w:tc>
          <w:tcPr>
            <w:cnfStyle w:val="001000000000"/>
            <w:tcW w:w="482" w:type="dxa"/>
            <w:vMerge/>
            <w:textDirection w:val="btLr"/>
          </w:tcPr>
          <w:p w:rsidR="009E5DA3" w:rsidRPr="00965925" w:rsidRDefault="009E5DA3" w:rsidP="00FC0A1A">
            <w:pPr>
              <w:pStyle w:val="Tabletext"/>
            </w:pPr>
          </w:p>
        </w:tc>
        <w:tc>
          <w:tcPr>
            <w:tcW w:w="1121" w:type="dxa"/>
            <w:tcBorders>
              <w:right w:val="single" w:sz="4" w:space="0" w:color="7F7F7F"/>
            </w:tcBorders>
          </w:tcPr>
          <w:p w:rsidR="009E5DA3" w:rsidRPr="00965925" w:rsidRDefault="009E5DA3" w:rsidP="00FC0A1A">
            <w:pPr>
              <w:pStyle w:val="Tabletext"/>
              <w:jc w:val="left"/>
              <w:cnfStyle w:val="000000000000"/>
            </w:pPr>
            <w:r w:rsidRPr="00965925">
              <w:t>Level 1</w:t>
            </w:r>
          </w:p>
        </w:tc>
        <w:tc>
          <w:tcPr>
            <w:tcW w:w="1099" w:type="dxa"/>
            <w:tcBorders>
              <w:left w:val="single" w:sz="4" w:space="0" w:color="7F7F7F"/>
              <w:right w:val="single" w:sz="4" w:space="0" w:color="BFBFBF" w:themeColor="background1" w:themeShade="BF"/>
            </w:tcBorders>
          </w:tcPr>
          <w:p w:rsidR="009E5DA3" w:rsidRDefault="00852135" w:rsidP="00FC0A1A">
            <w:pPr>
              <w:pStyle w:val="Tabletext"/>
              <w:cnfStyle w:val="000000000000"/>
            </w:pPr>
            <w:r>
              <w:rPr>
                <w:noProof/>
                <w:lang w:eastAsia="en-NZ"/>
              </w:rPr>
              <w:drawing>
                <wp:anchor distT="0" distB="0" distL="114300" distR="114300" simplePos="0" relativeHeight="251692544" behindDoc="0" locked="0" layoutInCell="1" allowOverlap="1">
                  <wp:simplePos x="0" y="0"/>
                  <wp:positionH relativeFrom="column">
                    <wp:posOffset>46355</wp:posOffset>
                  </wp:positionH>
                  <wp:positionV relativeFrom="paragraph">
                    <wp:posOffset>77470</wp:posOffset>
                  </wp:positionV>
                  <wp:extent cx="419100" cy="361950"/>
                  <wp:effectExtent l="1905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cstate="print"/>
                          <a:srcRect/>
                          <a:stretch>
                            <a:fillRect/>
                          </a:stretch>
                        </pic:blipFill>
                        <pic:spPr bwMode="auto">
                          <a:xfrm>
                            <a:off x="0" y="0"/>
                            <a:ext cx="419100" cy="361950"/>
                          </a:xfrm>
                          <a:prstGeom prst="rect">
                            <a:avLst/>
                          </a:prstGeom>
                          <a:noFill/>
                          <a:ln w="9525">
                            <a:noFill/>
                            <a:miter lim="800000"/>
                            <a:headEnd/>
                            <a:tailEnd/>
                          </a:ln>
                        </pic:spPr>
                      </pic:pic>
                    </a:graphicData>
                  </a:graphic>
                </wp:anchor>
              </w:drawing>
            </w:r>
          </w:p>
        </w:tc>
        <w:tc>
          <w:tcPr>
            <w:tcW w:w="1100" w:type="dxa"/>
            <w:tcBorders>
              <w:left w:val="single" w:sz="4" w:space="0" w:color="BFBFBF" w:themeColor="background1" w:themeShade="BF"/>
              <w:right w:val="single" w:sz="4" w:space="0" w:color="BFBFBF" w:themeColor="background1" w:themeShade="BF"/>
            </w:tcBorders>
          </w:tcPr>
          <w:p w:rsidR="009E5DA3" w:rsidRDefault="009E5DA3" w:rsidP="00FC0A1A">
            <w:pPr>
              <w:pStyle w:val="Tabletext"/>
              <w:cnfStyle w:val="000000000000"/>
            </w:pPr>
          </w:p>
        </w:tc>
        <w:tc>
          <w:tcPr>
            <w:tcW w:w="1100" w:type="dxa"/>
            <w:tcBorders>
              <w:left w:val="single" w:sz="4" w:space="0" w:color="BFBFBF" w:themeColor="background1" w:themeShade="BF"/>
              <w:right w:val="single" w:sz="4" w:space="0" w:color="BFBFBF" w:themeColor="background1" w:themeShade="BF"/>
            </w:tcBorders>
          </w:tcPr>
          <w:p w:rsidR="009E5DA3" w:rsidRDefault="009E5DA3" w:rsidP="00FC0A1A">
            <w:pPr>
              <w:pStyle w:val="Tabletext"/>
              <w:cnfStyle w:val="000000000000"/>
            </w:pPr>
          </w:p>
        </w:tc>
        <w:tc>
          <w:tcPr>
            <w:tcW w:w="1100" w:type="dxa"/>
            <w:tcBorders>
              <w:left w:val="single" w:sz="4" w:space="0" w:color="BFBFBF" w:themeColor="background1" w:themeShade="BF"/>
              <w:right w:val="single" w:sz="4" w:space="0" w:color="BFBFBF" w:themeColor="background1" w:themeShade="BF"/>
            </w:tcBorders>
          </w:tcPr>
          <w:p w:rsidR="009E5DA3" w:rsidRDefault="009E5DA3" w:rsidP="00FC0A1A">
            <w:pPr>
              <w:pStyle w:val="Tabletext"/>
              <w:cnfStyle w:val="000000000000"/>
            </w:pPr>
          </w:p>
        </w:tc>
        <w:tc>
          <w:tcPr>
            <w:tcW w:w="1100" w:type="dxa"/>
            <w:tcBorders>
              <w:left w:val="single" w:sz="4" w:space="0" w:color="BFBFBF" w:themeColor="background1" w:themeShade="BF"/>
              <w:right w:val="single" w:sz="4" w:space="0" w:color="BFBFBF" w:themeColor="background1" w:themeShade="BF"/>
            </w:tcBorders>
          </w:tcPr>
          <w:p w:rsidR="009E5DA3" w:rsidRDefault="009E5DA3" w:rsidP="00FC0A1A">
            <w:pPr>
              <w:pStyle w:val="Tabletext"/>
              <w:cnfStyle w:val="000000000000"/>
            </w:pPr>
          </w:p>
        </w:tc>
        <w:tc>
          <w:tcPr>
            <w:tcW w:w="1100" w:type="dxa"/>
            <w:tcBorders>
              <w:left w:val="single" w:sz="4" w:space="0" w:color="BFBFBF" w:themeColor="background1" w:themeShade="BF"/>
            </w:tcBorders>
          </w:tcPr>
          <w:p w:rsidR="009E5DA3" w:rsidRDefault="009E5DA3" w:rsidP="00FC0A1A">
            <w:pPr>
              <w:pStyle w:val="Tabletext"/>
              <w:cnfStyle w:val="000000000000"/>
            </w:pPr>
          </w:p>
        </w:tc>
      </w:tr>
      <w:tr w:rsidR="009E5DA3" w:rsidRPr="00965925" w:rsidTr="002A1858">
        <w:trPr>
          <w:trHeight w:val="488"/>
        </w:trPr>
        <w:tc>
          <w:tcPr>
            <w:cnfStyle w:val="001000000000"/>
            <w:tcW w:w="1603" w:type="dxa"/>
            <w:gridSpan w:val="2"/>
            <w:vMerge w:val="restart"/>
            <w:tcBorders>
              <w:right w:val="single" w:sz="4" w:space="0" w:color="7F7F7F"/>
            </w:tcBorders>
            <w:textDirection w:val="btLr"/>
          </w:tcPr>
          <w:p w:rsidR="009E5DA3" w:rsidRPr="00965925" w:rsidRDefault="009E5DA3" w:rsidP="00FC0A1A">
            <w:pPr>
              <w:pStyle w:val="Tableheading"/>
              <w:spacing w:line="240" w:lineRule="auto"/>
            </w:pPr>
          </w:p>
        </w:tc>
        <w:tc>
          <w:tcPr>
            <w:tcW w:w="1099" w:type="dxa"/>
            <w:tcBorders>
              <w:left w:val="single" w:sz="4" w:space="0" w:color="7F7F7F"/>
              <w:right w:val="single" w:sz="4" w:space="0" w:color="BFBFBF" w:themeColor="background1" w:themeShade="BF"/>
            </w:tcBorders>
          </w:tcPr>
          <w:p w:rsidR="009E5DA3" w:rsidRPr="00965925" w:rsidRDefault="009E5DA3" w:rsidP="00FC0A1A">
            <w:pPr>
              <w:pStyle w:val="Tableheading"/>
              <w:spacing w:line="240" w:lineRule="auto"/>
              <w:cnfStyle w:val="000000000000"/>
            </w:pPr>
            <w:r w:rsidRPr="00965925">
              <w:t>Step 1</w:t>
            </w:r>
          </w:p>
        </w:tc>
        <w:tc>
          <w:tcPr>
            <w:tcW w:w="1100" w:type="dxa"/>
            <w:tcBorders>
              <w:left w:val="single" w:sz="4" w:space="0" w:color="BFBFBF" w:themeColor="background1" w:themeShade="BF"/>
              <w:right w:val="single" w:sz="4" w:space="0" w:color="BFBFBF" w:themeColor="background1" w:themeShade="BF"/>
            </w:tcBorders>
          </w:tcPr>
          <w:p w:rsidR="009E5DA3" w:rsidRPr="00965925" w:rsidRDefault="009E5DA3" w:rsidP="00FC0A1A">
            <w:pPr>
              <w:pStyle w:val="Tableheading"/>
              <w:spacing w:line="240" w:lineRule="auto"/>
              <w:cnfStyle w:val="000000000000"/>
            </w:pPr>
            <w:r w:rsidRPr="00965925">
              <w:t>Step 2</w:t>
            </w:r>
          </w:p>
        </w:tc>
        <w:tc>
          <w:tcPr>
            <w:tcW w:w="1100" w:type="dxa"/>
            <w:tcBorders>
              <w:left w:val="single" w:sz="4" w:space="0" w:color="BFBFBF" w:themeColor="background1" w:themeShade="BF"/>
              <w:right w:val="single" w:sz="4" w:space="0" w:color="BFBFBF" w:themeColor="background1" w:themeShade="BF"/>
            </w:tcBorders>
          </w:tcPr>
          <w:p w:rsidR="009E5DA3" w:rsidRPr="00965925" w:rsidRDefault="009E5DA3" w:rsidP="00FC0A1A">
            <w:pPr>
              <w:pStyle w:val="Tableheading"/>
              <w:spacing w:line="240" w:lineRule="auto"/>
              <w:cnfStyle w:val="000000000000"/>
            </w:pPr>
            <w:r w:rsidRPr="00965925">
              <w:t>Step 3</w:t>
            </w:r>
          </w:p>
        </w:tc>
        <w:tc>
          <w:tcPr>
            <w:tcW w:w="1100" w:type="dxa"/>
            <w:tcBorders>
              <w:left w:val="single" w:sz="4" w:space="0" w:color="BFBFBF" w:themeColor="background1" w:themeShade="BF"/>
              <w:right w:val="single" w:sz="4" w:space="0" w:color="BFBFBF" w:themeColor="background1" w:themeShade="BF"/>
            </w:tcBorders>
          </w:tcPr>
          <w:p w:rsidR="009E5DA3" w:rsidRPr="00965925" w:rsidRDefault="009E5DA3" w:rsidP="00FC0A1A">
            <w:pPr>
              <w:pStyle w:val="Tableheading"/>
              <w:spacing w:line="240" w:lineRule="auto"/>
              <w:cnfStyle w:val="000000000000"/>
            </w:pPr>
            <w:r w:rsidRPr="00965925">
              <w:t>Step 4</w:t>
            </w:r>
          </w:p>
        </w:tc>
        <w:tc>
          <w:tcPr>
            <w:tcW w:w="1100" w:type="dxa"/>
            <w:tcBorders>
              <w:left w:val="single" w:sz="4" w:space="0" w:color="BFBFBF" w:themeColor="background1" w:themeShade="BF"/>
              <w:right w:val="single" w:sz="4" w:space="0" w:color="BFBFBF" w:themeColor="background1" w:themeShade="BF"/>
            </w:tcBorders>
          </w:tcPr>
          <w:p w:rsidR="009E5DA3" w:rsidRPr="00965925" w:rsidRDefault="009E5DA3" w:rsidP="00FC0A1A">
            <w:pPr>
              <w:pStyle w:val="Tableheading"/>
              <w:spacing w:line="240" w:lineRule="auto"/>
              <w:cnfStyle w:val="000000000000"/>
            </w:pPr>
            <w:r w:rsidRPr="00965925">
              <w:t>Step 5</w:t>
            </w:r>
          </w:p>
        </w:tc>
        <w:tc>
          <w:tcPr>
            <w:tcW w:w="1100" w:type="dxa"/>
            <w:tcBorders>
              <w:left w:val="single" w:sz="4" w:space="0" w:color="BFBFBF" w:themeColor="background1" w:themeShade="BF"/>
            </w:tcBorders>
          </w:tcPr>
          <w:p w:rsidR="009E5DA3" w:rsidRPr="00965925" w:rsidRDefault="009E5DA3" w:rsidP="00FC0A1A">
            <w:pPr>
              <w:pStyle w:val="Tableheading"/>
              <w:spacing w:line="240" w:lineRule="auto"/>
              <w:cnfStyle w:val="000000000000"/>
            </w:pPr>
            <w:r w:rsidRPr="00965925">
              <w:t>Step 6</w:t>
            </w:r>
          </w:p>
        </w:tc>
      </w:tr>
      <w:tr w:rsidR="009E5DA3" w:rsidRPr="00965925" w:rsidTr="002A1858">
        <w:trPr>
          <w:trHeight w:val="425"/>
        </w:trPr>
        <w:tc>
          <w:tcPr>
            <w:cnfStyle w:val="001000000000"/>
            <w:tcW w:w="1603" w:type="dxa"/>
            <w:gridSpan w:val="2"/>
            <w:vMerge/>
            <w:tcBorders>
              <w:right w:val="single" w:sz="4" w:space="0" w:color="7F7F7F"/>
            </w:tcBorders>
            <w:textDirection w:val="btLr"/>
          </w:tcPr>
          <w:p w:rsidR="009E5DA3" w:rsidRPr="00965925" w:rsidRDefault="009E5DA3" w:rsidP="00FC0A1A">
            <w:pPr>
              <w:pStyle w:val="Tableheading"/>
            </w:pPr>
          </w:p>
        </w:tc>
        <w:tc>
          <w:tcPr>
            <w:tcW w:w="6599" w:type="dxa"/>
            <w:gridSpan w:val="6"/>
            <w:tcBorders>
              <w:left w:val="single" w:sz="4" w:space="0" w:color="7F7F7F"/>
            </w:tcBorders>
          </w:tcPr>
          <w:p w:rsidR="009E5DA3" w:rsidRPr="00965925" w:rsidRDefault="009E5DA3" w:rsidP="00FC0A1A">
            <w:pPr>
              <w:pStyle w:val="Tableheading"/>
              <w:spacing w:line="240" w:lineRule="auto"/>
              <w:cnfStyle w:val="000000000000"/>
            </w:pPr>
            <w:r>
              <w:t>Reading Assessment</w:t>
            </w:r>
          </w:p>
        </w:tc>
      </w:tr>
    </w:tbl>
    <w:p w:rsidR="00965925" w:rsidRDefault="00965925" w:rsidP="00145BA1">
      <w:pPr>
        <w:pStyle w:val="BodyText"/>
      </w:pPr>
    </w:p>
    <w:p w:rsidR="00A775D6" w:rsidRDefault="00A775D6" w:rsidP="00A775D6">
      <w:pPr>
        <w:pStyle w:val="Heading3"/>
      </w:pPr>
      <w:r>
        <w:t>Numeracy</w:t>
      </w:r>
    </w:p>
    <w:p w:rsidR="00145BA1" w:rsidRDefault="009708E0" w:rsidP="00103A0A">
      <w:pPr>
        <w:pStyle w:val="BodyText"/>
      </w:pPr>
      <w:r>
        <w:fldChar w:fldCharType="begin"/>
      </w:r>
      <w:r w:rsidR="00145BA1">
        <w:instrText xml:space="preserve"> REF _Ref370136348 \h </w:instrText>
      </w:r>
      <w:r>
        <w:fldChar w:fldCharType="separate"/>
      </w:r>
      <w:r w:rsidR="00E333BF">
        <w:t xml:space="preserve">Figure </w:t>
      </w:r>
      <w:r w:rsidR="00E333BF">
        <w:rPr>
          <w:noProof/>
        </w:rPr>
        <w:t>6</w:t>
      </w:r>
      <w:r>
        <w:fldChar w:fldCharType="end"/>
      </w:r>
      <w:r w:rsidR="00145BA1">
        <w:t xml:space="preserve"> shows the match between the Assessment Tool steps for general numeracy and the ALL numeracy</w:t>
      </w:r>
      <w:r w:rsidR="00DF15EC">
        <w:t xml:space="preserve"> levels</w:t>
      </w:r>
      <w:r w:rsidR="00B93043" w:rsidRPr="00B93043">
        <w:t xml:space="preserve"> </w:t>
      </w:r>
      <w:r w:rsidR="00B93043">
        <w:t xml:space="preserve">for people </w:t>
      </w:r>
      <w:r w:rsidR="007F5783">
        <w:t>who spoke English at home</w:t>
      </w:r>
      <w:r w:rsidR="00B93043">
        <w:t xml:space="preserve"> at the time of the ALL survey</w:t>
      </w:r>
      <w:r w:rsidR="00145BA1">
        <w:t xml:space="preserve">.  </w:t>
      </w:r>
      <w:r>
        <w:fldChar w:fldCharType="begin"/>
      </w:r>
      <w:r w:rsidR="00B11F15">
        <w:instrText xml:space="preserve"> REF _Ref380496869 \h </w:instrText>
      </w:r>
      <w:r>
        <w:fldChar w:fldCharType="separate"/>
      </w:r>
      <w:r w:rsidR="00E333BF">
        <w:t xml:space="preserve">Figure </w:t>
      </w:r>
      <w:r w:rsidR="00E333BF">
        <w:rPr>
          <w:noProof/>
        </w:rPr>
        <w:t>7</w:t>
      </w:r>
      <w:r>
        <w:fldChar w:fldCharType="end"/>
      </w:r>
      <w:r w:rsidR="00B11F15" w:rsidRPr="00B11F15">
        <w:t xml:space="preserve"> </w:t>
      </w:r>
      <w:r w:rsidR="00B11F15">
        <w:t>shows the match from ALL numeracy levels to Assessment Tool steps.</w:t>
      </w:r>
    </w:p>
    <w:p w:rsidR="00B11F15" w:rsidRDefault="00B11F15" w:rsidP="00B11F15">
      <w:pPr>
        <w:pStyle w:val="BodyText"/>
      </w:pPr>
      <w:r>
        <w:t xml:space="preserve">The results show that </w:t>
      </w:r>
      <w:r w:rsidR="006710AE">
        <w:t xml:space="preserve">nearly </w:t>
      </w:r>
      <w:r>
        <w:t xml:space="preserve">everyone assessed at Steps 1, 2 and 3 on the Assessment Tool was assessed at Level 1 on ALL.  Of those assessed at Step 4, </w:t>
      </w:r>
      <w:r w:rsidR="007F5783">
        <w:t>about</w:t>
      </w:r>
      <w:r w:rsidR="001D5C88">
        <w:t xml:space="preserve"> half</w:t>
      </w:r>
      <w:r>
        <w:t xml:space="preserve"> were assessed at ALL level 1.  This suggests that the mid-range of Step 4 on the Assessment Tool equates to the boundary between ALL levels 1 and </w:t>
      </w:r>
      <w:proofErr w:type="gramStart"/>
      <w:r>
        <w:t>2 numeracy</w:t>
      </w:r>
      <w:proofErr w:type="gramEnd"/>
      <w:r>
        <w:t>.</w:t>
      </w:r>
    </w:p>
    <w:p w:rsidR="00B11F15" w:rsidRDefault="00B11F15" w:rsidP="00B11F15">
      <w:pPr>
        <w:pStyle w:val="BodyText"/>
      </w:pPr>
      <w:r>
        <w:t xml:space="preserve">At Step 5, </w:t>
      </w:r>
      <w:r w:rsidR="001D5C88">
        <w:t>around two thirds</w:t>
      </w:r>
      <w:r>
        <w:t xml:space="preserve"> were assessed at level 2 on ALL. So Step 5 is likely to fall mostly within level 2 of ALL. Then at Step 6, </w:t>
      </w:r>
      <w:r w:rsidR="007F5783">
        <w:t>about</w:t>
      </w:r>
      <w:r w:rsidR="001D5C88">
        <w:t xml:space="preserve"> three quarters</w:t>
      </w:r>
      <w:r>
        <w:t xml:space="preserve"> were assessed at level 3 and above. This suggests that most people achieving Step 6 would also achieve at least level 3 on ALL. As with reading, the Assessment Tool does not differentiate higher levels of numeracy.</w:t>
      </w:r>
    </w:p>
    <w:p w:rsidR="00145BA1" w:rsidRDefault="00145BA1" w:rsidP="00145BA1">
      <w:pPr>
        <w:pStyle w:val="Caption"/>
        <w:jc w:val="both"/>
      </w:pPr>
      <w:bookmarkStart w:id="8" w:name="_Ref370136348"/>
      <w:r>
        <w:t xml:space="preserve">Figure </w:t>
      </w:r>
      <w:fldSimple w:instr=" SEQ Figure \* ARABIC ">
        <w:r w:rsidR="00E333BF">
          <w:rPr>
            <w:noProof/>
          </w:rPr>
          <w:t>6</w:t>
        </w:r>
      </w:fldSimple>
      <w:bookmarkEnd w:id="8"/>
    </w:p>
    <w:p w:rsidR="00145BA1" w:rsidRPr="00085C3C" w:rsidRDefault="00145BA1" w:rsidP="00145BA1">
      <w:pPr>
        <w:pStyle w:val="Figurelabel"/>
      </w:pPr>
      <w:r>
        <w:t>Match of General Numeracy Assessment Steps to ALL Numeracy Levels</w:t>
      </w:r>
      <w:r w:rsidR="00AE13E8">
        <w:t xml:space="preserve"> (home language English, n=</w:t>
      </w:r>
      <w:r w:rsidR="007F5783">
        <w:t>131</w:t>
      </w:r>
      <w:r w:rsidR="00AE13E8">
        <w:t>)</w:t>
      </w:r>
    </w:p>
    <w:p w:rsidR="00965925" w:rsidRDefault="007F5783" w:rsidP="00B94DB1">
      <w:pPr>
        <w:pStyle w:val="BodyText"/>
      </w:pPr>
      <w:r w:rsidRPr="007F5783">
        <w:rPr>
          <w:noProof/>
          <w:lang w:eastAsia="en-NZ"/>
        </w:rPr>
        <w:drawing>
          <wp:inline distT="0" distB="0" distL="0" distR="0">
            <wp:extent cx="3848100" cy="2314575"/>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3848100" cy="2314575"/>
                    </a:xfrm>
                    <a:prstGeom prst="rect">
                      <a:avLst/>
                    </a:prstGeom>
                    <a:noFill/>
                    <a:ln w="9525">
                      <a:noFill/>
                      <a:miter lim="800000"/>
                      <a:headEnd/>
                      <a:tailEnd/>
                    </a:ln>
                  </pic:spPr>
                </pic:pic>
              </a:graphicData>
            </a:graphic>
          </wp:inline>
        </w:drawing>
      </w:r>
    </w:p>
    <w:p w:rsidR="004C737C" w:rsidRDefault="004C737C" w:rsidP="004C737C">
      <w:pPr>
        <w:pStyle w:val="Caption"/>
        <w:jc w:val="both"/>
      </w:pPr>
      <w:bookmarkStart w:id="9" w:name="_Ref380496869"/>
      <w:r>
        <w:lastRenderedPageBreak/>
        <w:t xml:space="preserve">Figure </w:t>
      </w:r>
      <w:fldSimple w:instr=" SEQ Figure \* ARABIC ">
        <w:r w:rsidR="00E333BF">
          <w:rPr>
            <w:noProof/>
          </w:rPr>
          <w:t>7</w:t>
        </w:r>
      </w:fldSimple>
      <w:bookmarkEnd w:id="9"/>
    </w:p>
    <w:p w:rsidR="004C737C" w:rsidRPr="00085C3C" w:rsidRDefault="004C737C" w:rsidP="004C737C">
      <w:pPr>
        <w:pStyle w:val="Figurelabel"/>
      </w:pPr>
      <w:r>
        <w:t xml:space="preserve">Match of </w:t>
      </w:r>
      <w:r w:rsidR="00B11F15">
        <w:t xml:space="preserve">ALL Numeracy Levels to </w:t>
      </w:r>
      <w:r>
        <w:t>General Numeracy Assessment Steps (25 and over, home language English, n=</w:t>
      </w:r>
      <w:r w:rsidR="006710AE">
        <w:t>72</w:t>
      </w:r>
      <w:r>
        <w:t>)</w:t>
      </w:r>
    </w:p>
    <w:p w:rsidR="004C737C" w:rsidRDefault="007F5783" w:rsidP="002A1858">
      <w:pPr>
        <w:pStyle w:val="BodyText"/>
      </w:pPr>
      <w:r w:rsidRPr="007F5783">
        <w:rPr>
          <w:noProof/>
          <w:lang w:eastAsia="en-NZ"/>
        </w:rPr>
        <w:drawing>
          <wp:inline distT="0" distB="0" distL="0" distR="0">
            <wp:extent cx="3848100" cy="2314575"/>
            <wp:effectExtent l="1905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3848100" cy="2314575"/>
                    </a:xfrm>
                    <a:prstGeom prst="rect">
                      <a:avLst/>
                    </a:prstGeom>
                    <a:noFill/>
                    <a:ln w="9525">
                      <a:noFill/>
                      <a:miter lim="800000"/>
                      <a:headEnd/>
                      <a:tailEnd/>
                    </a:ln>
                  </pic:spPr>
                </pic:pic>
              </a:graphicData>
            </a:graphic>
          </wp:inline>
        </w:drawing>
      </w:r>
    </w:p>
    <w:p w:rsidR="00B11F15" w:rsidRDefault="009708E0" w:rsidP="001324FC">
      <w:pPr>
        <w:pStyle w:val="BodyText"/>
      </w:pPr>
      <w:r>
        <w:fldChar w:fldCharType="begin"/>
      </w:r>
      <w:r w:rsidR="00A775D6">
        <w:instrText xml:space="preserve"> REF _Ref370203776 \h </w:instrText>
      </w:r>
      <w:r>
        <w:fldChar w:fldCharType="separate"/>
      </w:r>
      <w:r w:rsidR="00E333BF">
        <w:t xml:space="preserve">Table </w:t>
      </w:r>
      <w:r w:rsidR="00E333BF">
        <w:rPr>
          <w:noProof/>
        </w:rPr>
        <w:t>4</w:t>
      </w:r>
      <w:r>
        <w:fldChar w:fldCharType="end"/>
      </w:r>
      <w:r w:rsidR="00A775D6">
        <w:t xml:space="preserve"> </w:t>
      </w:r>
      <w:r w:rsidR="00B11F15">
        <w:t>shows a mapping of</w:t>
      </w:r>
      <w:r w:rsidR="00A775D6">
        <w:t xml:space="preserve"> the relationship between numeracy assessment steps and ALL numeracy levels.  </w:t>
      </w:r>
    </w:p>
    <w:p w:rsidR="0032417A" w:rsidRDefault="0032417A" w:rsidP="0032417A">
      <w:pPr>
        <w:pStyle w:val="Caption"/>
      </w:pPr>
      <w:bookmarkStart w:id="10" w:name="_Ref370203776"/>
      <w:r>
        <w:t xml:space="preserve">Table </w:t>
      </w:r>
      <w:fldSimple w:instr=" SEQ Table \* ARABIC ">
        <w:r w:rsidR="00E333BF">
          <w:rPr>
            <w:noProof/>
          </w:rPr>
          <w:t>4</w:t>
        </w:r>
      </w:fldSimple>
      <w:bookmarkEnd w:id="10"/>
    </w:p>
    <w:p w:rsidR="0032417A" w:rsidRPr="009E5DA3" w:rsidRDefault="0032417A" w:rsidP="0032417A">
      <w:pPr>
        <w:pStyle w:val="Tablelabel"/>
      </w:pPr>
      <w:r>
        <w:t>Mapping of General Numeracy Assessment Steps to ALL Numeracy Levels</w:t>
      </w:r>
    </w:p>
    <w:tbl>
      <w:tblPr>
        <w:tblStyle w:val="TableMOE4"/>
        <w:tblW w:w="0" w:type="auto"/>
        <w:tblLook w:val="04A0"/>
      </w:tblPr>
      <w:tblGrid>
        <w:gridCol w:w="482"/>
        <w:gridCol w:w="1121"/>
        <w:gridCol w:w="1099"/>
        <w:gridCol w:w="1100"/>
        <w:gridCol w:w="1100"/>
        <w:gridCol w:w="1100"/>
        <w:gridCol w:w="1100"/>
        <w:gridCol w:w="1100"/>
      </w:tblGrid>
      <w:tr w:rsidR="0032417A" w:rsidTr="00B11F15">
        <w:trPr>
          <w:cnfStyle w:val="100000000000"/>
          <w:trHeight w:val="851"/>
        </w:trPr>
        <w:tc>
          <w:tcPr>
            <w:cnfStyle w:val="001000000000"/>
            <w:tcW w:w="482" w:type="dxa"/>
            <w:vMerge w:val="restart"/>
            <w:textDirection w:val="btLr"/>
          </w:tcPr>
          <w:p w:rsidR="0032417A" w:rsidRPr="00965925" w:rsidRDefault="0032417A" w:rsidP="00FC0A1A">
            <w:pPr>
              <w:pStyle w:val="Tabletext"/>
            </w:pPr>
            <w:r>
              <w:t xml:space="preserve">ALL numeracy </w:t>
            </w:r>
          </w:p>
        </w:tc>
        <w:tc>
          <w:tcPr>
            <w:tcW w:w="1121" w:type="dxa"/>
            <w:tcBorders>
              <w:right w:val="single" w:sz="4" w:space="0" w:color="auto"/>
            </w:tcBorders>
          </w:tcPr>
          <w:p w:rsidR="0032417A" w:rsidRPr="00965925" w:rsidRDefault="0032417A" w:rsidP="00FC0A1A">
            <w:pPr>
              <w:pStyle w:val="Tabletext"/>
              <w:jc w:val="left"/>
              <w:cnfStyle w:val="100000000000"/>
            </w:pPr>
            <w:r w:rsidRPr="00965925">
              <w:t>Level 4/5</w:t>
            </w:r>
          </w:p>
        </w:tc>
        <w:tc>
          <w:tcPr>
            <w:tcW w:w="1099" w:type="dxa"/>
            <w:tcBorders>
              <w:left w:val="single" w:sz="4" w:space="0" w:color="auto"/>
              <w:bottom w:val="single" w:sz="4" w:space="0" w:color="BFBFBF" w:themeColor="background1" w:themeShade="BF"/>
              <w:right w:val="single" w:sz="4" w:space="0" w:color="BFBFBF" w:themeColor="background1" w:themeShade="BF"/>
            </w:tcBorders>
          </w:tcPr>
          <w:p w:rsidR="0032417A" w:rsidRDefault="0032417A" w:rsidP="00FC0A1A">
            <w:pPr>
              <w:pStyle w:val="Tabletext"/>
              <w:cnfStyle w:val="100000000000"/>
            </w:pPr>
          </w:p>
        </w:tc>
        <w:tc>
          <w:tcPr>
            <w:tcW w:w="1100"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32417A" w:rsidP="00FC0A1A">
            <w:pPr>
              <w:pStyle w:val="Tabletext"/>
              <w:cnfStyle w:val="100000000000"/>
            </w:pPr>
          </w:p>
        </w:tc>
        <w:tc>
          <w:tcPr>
            <w:tcW w:w="1100"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32417A" w:rsidP="00FC0A1A">
            <w:pPr>
              <w:pStyle w:val="Tabletext"/>
              <w:cnfStyle w:val="100000000000"/>
            </w:pPr>
          </w:p>
        </w:tc>
        <w:tc>
          <w:tcPr>
            <w:tcW w:w="1100"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32417A" w:rsidP="00FC0A1A">
            <w:pPr>
              <w:pStyle w:val="Tabletext"/>
              <w:cnfStyle w:val="100000000000"/>
            </w:pPr>
          </w:p>
        </w:tc>
        <w:tc>
          <w:tcPr>
            <w:tcW w:w="1100"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32417A" w:rsidP="00FC0A1A">
            <w:pPr>
              <w:pStyle w:val="Tabletext"/>
              <w:cnfStyle w:val="100000000000"/>
            </w:pPr>
          </w:p>
        </w:tc>
        <w:tc>
          <w:tcPr>
            <w:tcW w:w="1100" w:type="dxa"/>
            <w:tcBorders>
              <w:left w:val="single" w:sz="4" w:space="0" w:color="BFBFBF" w:themeColor="background1" w:themeShade="BF"/>
              <w:bottom w:val="single" w:sz="4" w:space="0" w:color="BFBFBF" w:themeColor="background1" w:themeShade="BF"/>
            </w:tcBorders>
          </w:tcPr>
          <w:p w:rsidR="0032417A" w:rsidRDefault="0032417A" w:rsidP="00FC0A1A">
            <w:pPr>
              <w:pStyle w:val="Tabletext"/>
              <w:cnfStyle w:val="100000000000"/>
            </w:pPr>
          </w:p>
        </w:tc>
      </w:tr>
      <w:tr w:rsidR="0032417A" w:rsidTr="00B11F15">
        <w:trPr>
          <w:trHeight w:val="851"/>
        </w:trPr>
        <w:tc>
          <w:tcPr>
            <w:cnfStyle w:val="001000000000"/>
            <w:tcW w:w="482" w:type="dxa"/>
            <w:vMerge/>
            <w:textDirection w:val="btLr"/>
          </w:tcPr>
          <w:p w:rsidR="0032417A" w:rsidRPr="00965925" w:rsidRDefault="0032417A" w:rsidP="00FC0A1A">
            <w:pPr>
              <w:pStyle w:val="Tabletext"/>
            </w:pPr>
          </w:p>
        </w:tc>
        <w:tc>
          <w:tcPr>
            <w:tcW w:w="1121" w:type="dxa"/>
            <w:tcBorders>
              <w:right w:val="single" w:sz="4" w:space="0" w:color="auto"/>
            </w:tcBorders>
          </w:tcPr>
          <w:p w:rsidR="0032417A" w:rsidRPr="00965925" w:rsidRDefault="0032417A" w:rsidP="00FC0A1A">
            <w:pPr>
              <w:pStyle w:val="Tabletext"/>
              <w:jc w:val="left"/>
              <w:cnfStyle w:val="000000000000"/>
            </w:pPr>
            <w:r w:rsidRPr="00965925">
              <w:t>Level 3</w:t>
            </w:r>
          </w:p>
        </w:tc>
        <w:tc>
          <w:tcPr>
            <w:tcW w:w="109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32417A" w:rsidRDefault="0032417A" w:rsidP="00FC0A1A">
            <w:pPr>
              <w:pStyle w:val="Tabletext"/>
              <w:cnfStyle w:val="000000000000"/>
            </w:pP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32417A" w:rsidP="00FC0A1A">
            <w:pPr>
              <w:pStyle w:val="Tabletext"/>
              <w:cnfStyle w:val="000000000000"/>
            </w:pP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32417A" w:rsidP="00FC0A1A">
            <w:pPr>
              <w:pStyle w:val="Tabletext"/>
              <w:cnfStyle w:val="000000000000"/>
            </w:pP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32417A" w:rsidP="00FC0A1A">
            <w:pPr>
              <w:pStyle w:val="Tabletext"/>
              <w:cnfStyle w:val="000000000000"/>
            </w:pP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624AF0" w:rsidP="00FC0A1A">
            <w:pPr>
              <w:pStyle w:val="Tabletext"/>
              <w:cnfStyle w:val="000000000000"/>
            </w:pPr>
            <w:r>
              <w:rPr>
                <w:noProof/>
                <w:lang w:eastAsia="en-NZ"/>
              </w:rPr>
              <w:drawing>
                <wp:anchor distT="0" distB="0" distL="114300" distR="114300" simplePos="0" relativeHeight="251713024" behindDoc="0" locked="0" layoutInCell="1" allowOverlap="1">
                  <wp:simplePos x="0" y="0"/>
                  <wp:positionH relativeFrom="column">
                    <wp:posOffset>53340</wp:posOffset>
                  </wp:positionH>
                  <wp:positionV relativeFrom="paragraph">
                    <wp:posOffset>499745</wp:posOffset>
                  </wp:positionV>
                  <wp:extent cx="447675" cy="638175"/>
                  <wp:effectExtent l="19050" t="0" r="952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srcRect/>
                          <a:stretch>
                            <a:fillRect/>
                          </a:stretch>
                        </pic:blipFill>
                        <pic:spPr bwMode="auto">
                          <a:xfrm>
                            <a:off x="0" y="0"/>
                            <a:ext cx="447675" cy="638175"/>
                          </a:xfrm>
                          <a:prstGeom prst="rect">
                            <a:avLst/>
                          </a:prstGeom>
                          <a:noFill/>
                          <a:ln w="9525">
                            <a:noFill/>
                            <a:miter lim="800000"/>
                            <a:headEnd/>
                            <a:tailEnd/>
                          </a:ln>
                        </pic:spPr>
                      </pic:pic>
                    </a:graphicData>
                  </a:graphic>
                </wp:anchor>
              </w:drawing>
            </w: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32417A" w:rsidRDefault="0057175B" w:rsidP="00FC0A1A">
            <w:pPr>
              <w:pStyle w:val="Tabletext"/>
              <w:cnfStyle w:val="000000000000"/>
            </w:pPr>
            <w:r>
              <w:rPr>
                <w:noProof/>
                <w:lang w:eastAsia="en-NZ"/>
              </w:rPr>
              <w:drawing>
                <wp:anchor distT="0" distB="0" distL="114300" distR="114300" simplePos="0" relativeHeight="251715072" behindDoc="0" locked="0" layoutInCell="1" allowOverlap="1">
                  <wp:simplePos x="0" y="0"/>
                  <wp:positionH relativeFrom="column">
                    <wp:posOffset>88265</wp:posOffset>
                  </wp:positionH>
                  <wp:positionV relativeFrom="paragraph">
                    <wp:posOffset>223520</wp:posOffset>
                  </wp:positionV>
                  <wp:extent cx="438150" cy="638175"/>
                  <wp:effectExtent l="1905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cstate="print"/>
                          <a:srcRect/>
                          <a:stretch>
                            <a:fillRect/>
                          </a:stretch>
                        </pic:blipFill>
                        <pic:spPr bwMode="auto">
                          <a:xfrm>
                            <a:off x="0" y="0"/>
                            <a:ext cx="438150" cy="638175"/>
                          </a:xfrm>
                          <a:prstGeom prst="rect">
                            <a:avLst/>
                          </a:prstGeom>
                          <a:noFill/>
                          <a:ln w="9525">
                            <a:noFill/>
                            <a:miter lim="800000"/>
                            <a:headEnd/>
                            <a:tailEnd/>
                          </a:ln>
                        </pic:spPr>
                      </pic:pic>
                    </a:graphicData>
                  </a:graphic>
                </wp:anchor>
              </w:drawing>
            </w:r>
          </w:p>
        </w:tc>
      </w:tr>
      <w:tr w:rsidR="0032417A" w:rsidTr="00B11F15">
        <w:trPr>
          <w:trHeight w:val="851"/>
        </w:trPr>
        <w:tc>
          <w:tcPr>
            <w:cnfStyle w:val="001000000000"/>
            <w:tcW w:w="482" w:type="dxa"/>
            <w:vMerge/>
            <w:textDirection w:val="btLr"/>
          </w:tcPr>
          <w:p w:rsidR="0032417A" w:rsidRPr="00965925" w:rsidRDefault="0032417A" w:rsidP="00FC0A1A">
            <w:pPr>
              <w:pStyle w:val="Tabletext"/>
            </w:pPr>
          </w:p>
        </w:tc>
        <w:tc>
          <w:tcPr>
            <w:tcW w:w="1121" w:type="dxa"/>
            <w:tcBorders>
              <w:right w:val="single" w:sz="4" w:space="0" w:color="auto"/>
            </w:tcBorders>
          </w:tcPr>
          <w:p w:rsidR="0032417A" w:rsidRPr="00965925" w:rsidRDefault="0032417A" w:rsidP="00FC0A1A">
            <w:pPr>
              <w:pStyle w:val="Tabletext"/>
              <w:jc w:val="left"/>
              <w:cnfStyle w:val="000000000000"/>
            </w:pPr>
            <w:r w:rsidRPr="00965925">
              <w:t>Level 2</w:t>
            </w:r>
          </w:p>
        </w:tc>
        <w:tc>
          <w:tcPr>
            <w:tcW w:w="109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32417A" w:rsidRDefault="0032417A" w:rsidP="00FC0A1A">
            <w:pPr>
              <w:pStyle w:val="Tabletext"/>
              <w:cnfStyle w:val="000000000000"/>
            </w:pP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32417A" w:rsidP="00FC0A1A">
            <w:pPr>
              <w:pStyle w:val="Tabletext"/>
              <w:cnfStyle w:val="000000000000"/>
            </w:pP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32417A" w:rsidP="00FC0A1A">
            <w:pPr>
              <w:pStyle w:val="Tabletext"/>
              <w:cnfStyle w:val="000000000000"/>
            </w:pP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57175B" w:rsidP="00FC0A1A">
            <w:pPr>
              <w:pStyle w:val="Tabletext"/>
              <w:cnfStyle w:val="000000000000"/>
            </w:pPr>
            <w:r>
              <w:rPr>
                <w:noProof/>
                <w:lang w:eastAsia="en-NZ"/>
              </w:rPr>
              <w:drawing>
                <wp:anchor distT="0" distB="0" distL="114300" distR="114300" simplePos="0" relativeHeight="251710976" behindDoc="0" locked="0" layoutInCell="1" allowOverlap="1">
                  <wp:simplePos x="0" y="0"/>
                  <wp:positionH relativeFrom="column">
                    <wp:posOffset>66040</wp:posOffset>
                  </wp:positionH>
                  <wp:positionV relativeFrom="paragraph">
                    <wp:posOffset>279400</wp:posOffset>
                  </wp:positionV>
                  <wp:extent cx="467360" cy="590550"/>
                  <wp:effectExtent l="19050" t="0" r="889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cstate="print"/>
                          <a:srcRect/>
                          <a:stretch>
                            <a:fillRect/>
                          </a:stretch>
                        </pic:blipFill>
                        <pic:spPr bwMode="auto">
                          <a:xfrm>
                            <a:off x="0" y="0"/>
                            <a:ext cx="467360" cy="590550"/>
                          </a:xfrm>
                          <a:prstGeom prst="rect">
                            <a:avLst/>
                          </a:prstGeom>
                          <a:noFill/>
                          <a:ln w="9525">
                            <a:noFill/>
                            <a:miter lim="800000"/>
                            <a:headEnd/>
                            <a:tailEnd/>
                          </a:ln>
                        </pic:spPr>
                      </pic:pic>
                    </a:graphicData>
                  </a:graphic>
                </wp:anchor>
              </w:drawing>
            </w: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32417A" w:rsidP="00FC0A1A">
            <w:pPr>
              <w:pStyle w:val="Tabletext"/>
              <w:cnfStyle w:val="000000000000"/>
            </w:pP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32417A" w:rsidRDefault="0032417A" w:rsidP="00FC0A1A">
            <w:pPr>
              <w:pStyle w:val="Tabletext"/>
              <w:cnfStyle w:val="000000000000"/>
            </w:pPr>
          </w:p>
        </w:tc>
      </w:tr>
      <w:tr w:rsidR="0032417A" w:rsidTr="00B11F15">
        <w:trPr>
          <w:trHeight w:val="851"/>
        </w:trPr>
        <w:tc>
          <w:tcPr>
            <w:cnfStyle w:val="001000000000"/>
            <w:tcW w:w="482" w:type="dxa"/>
            <w:vMerge/>
            <w:textDirection w:val="btLr"/>
          </w:tcPr>
          <w:p w:rsidR="0032417A" w:rsidRPr="00965925" w:rsidRDefault="0032417A" w:rsidP="00FC0A1A">
            <w:pPr>
              <w:pStyle w:val="Tabletext"/>
            </w:pPr>
          </w:p>
        </w:tc>
        <w:tc>
          <w:tcPr>
            <w:tcW w:w="1121" w:type="dxa"/>
            <w:tcBorders>
              <w:right w:val="single" w:sz="4" w:space="0" w:color="auto"/>
            </w:tcBorders>
          </w:tcPr>
          <w:p w:rsidR="0032417A" w:rsidRPr="00965925" w:rsidRDefault="0032417A" w:rsidP="00FC0A1A">
            <w:pPr>
              <w:pStyle w:val="Tabletext"/>
              <w:jc w:val="left"/>
              <w:cnfStyle w:val="000000000000"/>
            </w:pPr>
            <w:r w:rsidRPr="00965925">
              <w:t>Level 1</w:t>
            </w:r>
          </w:p>
        </w:tc>
        <w:tc>
          <w:tcPr>
            <w:tcW w:w="109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rsidR="0032417A" w:rsidRDefault="0057175B" w:rsidP="00FC0A1A">
            <w:pPr>
              <w:pStyle w:val="Tabletext"/>
              <w:cnfStyle w:val="000000000000"/>
            </w:pPr>
            <w:r>
              <w:rPr>
                <w:noProof/>
                <w:lang w:eastAsia="en-NZ"/>
              </w:rPr>
              <w:drawing>
                <wp:anchor distT="0" distB="0" distL="114300" distR="114300" simplePos="0" relativeHeight="251704832" behindDoc="0" locked="0" layoutInCell="1" allowOverlap="1">
                  <wp:simplePos x="0" y="0"/>
                  <wp:positionH relativeFrom="column">
                    <wp:posOffset>17780</wp:posOffset>
                  </wp:positionH>
                  <wp:positionV relativeFrom="paragraph">
                    <wp:posOffset>144780</wp:posOffset>
                  </wp:positionV>
                  <wp:extent cx="438150" cy="400050"/>
                  <wp:effectExtent l="1905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2" cstate="print"/>
                          <a:srcRect/>
                          <a:stretch>
                            <a:fillRect/>
                          </a:stretch>
                        </pic:blipFill>
                        <pic:spPr bwMode="auto">
                          <a:xfrm>
                            <a:off x="0" y="0"/>
                            <a:ext cx="438150" cy="400050"/>
                          </a:xfrm>
                          <a:prstGeom prst="rect">
                            <a:avLst/>
                          </a:prstGeom>
                          <a:noFill/>
                          <a:ln w="9525">
                            <a:noFill/>
                            <a:miter lim="800000"/>
                            <a:headEnd/>
                            <a:tailEnd/>
                          </a:ln>
                        </pic:spPr>
                      </pic:pic>
                    </a:graphicData>
                  </a:graphic>
                </wp:anchor>
              </w:drawing>
            </w: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57175B" w:rsidP="00FC0A1A">
            <w:pPr>
              <w:pStyle w:val="Tabletext"/>
              <w:cnfStyle w:val="000000000000"/>
            </w:pPr>
            <w:r>
              <w:rPr>
                <w:noProof/>
                <w:lang w:eastAsia="en-NZ"/>
              </w:rPr>
              <w:drawing>
                <wp:anchor distT="0" distB="0" distL="114300" distR="114300" simplePos="0" relativeHeight="251706880" behindDoc="0" locked="0" layoutInCell="1" allowOverlap="1">
                  <wp:simplePos x="0" y="0"/>
                  <wp:positionH relativeFrom="column">
                    <wp:posOffset>91440</wp:posOffset>
                  </wp:positionH>
                  <wp:positionV relativeFrom="paragraph">
                    <wp:posOffset>97155</wp:posOffset>
                  </wp:positionV>
                  <wp:extent cx="409575" cy="390525"/>
                  <wp:effectExtent l="1905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cstate="print"/>
                          <a:srcRect/>
                          <a:stretch>
                            <a:fillRect/>
                          </a:stretch>
                        </pic:blipFill>
                        <pic:spPr bwMode="auto">
                          <a:xfrm>
                            <a:off x="0" y="0"/>
                            <a:ext cx="409575" cy="390525"/>
                          </a:xfrm>
                          <a:prstGeom prst="rect">
                            <a:avLst/>
                          </a:prstGeom>
                          <a:noFill/>
                          <a:ln w="9525">
                            <a:noFill/>
                            <a:miter lim="800000"/>
                            <a:headEnd/>
                            <a:tailEnd/>
                          </a:ln>
                        </pic:spPr>
                      </pic:pic>
                    </a:graphicData>
                  </a:graphic>
                </wp:anchor>
              </w:drawing>
            </w: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FC0A1A" w:rsidP="00FC0A1A">
            <w:pPr>
              <w:pStyle w:val="Tabletext"/>
              <w:cnfStyle w:val="000000000000"/>
            </w:pPr>
            <w:r>
              <w:rPr>
                <w:noProof/>
                <w:lang w:eastAsia="en-NZ"/>
              </w:rPr>
              <w:drawing>
                <wp:anchor distT="0" distB="0" distL="114300" distR="114300" simplePos="0" relativeHeight="251708928" behindDoc="0" locked="0" layoutInCell="1" allowOverlap="1">
                  <wp:simplePos x="0" y="0"/>
                  <wp:positionH relativeFrom="column">
                    <wp:posOffset>59690</wp:posOffset>
                  </wp:positionH>
                  <wp:positionV relativeFrom="paragraph">
                    <wp:posOffset>-29210</wp:posOffset>
                  </wp:positionV>
                  <wp:extent cx="457200" cy="428625"/>
                  <wp:effectExtent l="1905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cstate="print"/>
                          <a:srcRect/>
                          <a:stretch>
                            <a:fillRect/>
                          </a:stretch>
                        </pic:blipFill>
                        <pic:spPr bwMode="auto">
                          <a:xfrm>
                            <a:off x="0" y="0"/>
                            <a:ext cx="457200" cy="428625"/>
                          </a:xfrm>
                          <a:prstGeom prst="rect">
                            <a:avLst/>
                          </a:prstGeom>
                          <a:noFill/>
                          <a:ln w="9525">
                            <a:noFill/>
                            <a:miter lim="800000"/>
                            <a:headEnd/>
                            <a:tailEnd/>
                          </a:ln>
                        </pic:spPr>
                      </pic:pic>
                    </a:graphicData>
                  </a:graphic>
                </wp:anchor>
              </w:drawing>
            </w: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32417A" w:rsidP="00FC0A1A">
            <w:pPr>
              <w:pStyle w:val="Tabletext"/>
              <w:cnfStyle w:val="000000000000"/>
            </w:pP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417A" w:rsidRDefault="0032417A" w:rsidP="00FC0A1A">
            <w:pPr>
              <w:pStyle w:val="Tabletext"/>
              <w:cnfStyle w:val="000000000000"/>
            </w:pPr>
          </w:p>
        </w:tc>
        <w:tc>
          <w:tcPr>
            <w:tcW w:w="110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32417A" w:rsidRDefault="0032417A" w:rsidP="00FC0A1A">
            <w:pPr>
              <w:pStyle w:val="Tabletext"/>
              <w:cnfStyle w:val="000000000000"/>
            </w:pPr>
          </w:p>
        </w:tc>
      </w:tr>
      <w:tr w:rsidR="0032417A" w:rsidRPr="00965925" w:rsidTr="002A1858">
        <w:trPr>
          <w:trHeight w:val="488"/>
        </w:trPr>
        <w:tc>
          <w:tcPr>
            <w:cnfStyle w:val="001000000000"/>
            <w:tcW w:w="1603" w:type="dxa"/>
            <w:gridSpan w:val="2"/>
            <w:vMerge w:val="restart"/>
            <w:tcBorders>
              <w:right w:val="single" w:sz="4" w:space="0" w:color="auto"/>
            </w:tcBorders>
            <w:textDirection w:val="btLr"/>
          </w:tcPr>
          <w:p w:rsidR="0032417A" w:rsidRPr="00965925" w:rsidRDefault="0032417A" w:rsidP="00FC0A1A">
            <w:pPr>
              <w:pStyle w:val="Tableheading"/>
            </w:pPr>
          </w:p>
        </w:tc>
        <w:tc>
          <w:tcPr>
            <w:tcW w:w="1099" w:type="dxa"/>
            <w:tcBorders>
              <w:top w:val="single" w:sz="4" w:space="0" w:color="BFBFBF" w:themeColor="background1" w:themeShade="BF"/>
              <w:left w:val="single" w:sz="4" w:space="0" w:color="auto"/>
              <w:right w:val="single" w:sz="4" w:space="0" w:color="BFBFBF" w:themeColor="background1" w:themeShade="BF"/>
            </w:tcBorders>
          </w:tcPr>
          <w:p w:rsidR="0032417A" w:rsidRPr="00965925" w:rsidRDefault="0032417A" w:rsidP="00FC0A1A">
            <w:pPr>
              <w:pStyle w:val="Tableheading"/>
              <w:cnfStyle w:val="000000000000"/>
            </w:pPr>
            <w:r w:rsidRPr="00965925">
              <w:t>Step 1</w:t>
            </w:r>
          </w:p>
        </w:tc>
        <w:tc>
          <w:tcPr>
            <w:tcW w:w="110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32417A" w:rsidRPr="00965925" w:rsidRDefault="0032417A" w:rsidP="00FC0A1A">
            <w:pPr>
              <w:pStyle w:val="Tableheading"/>
              <w:cnfStyle w:val="000000000000"/>
            </w:pPr>
            <w:r w:rsidRPr="00965925">
              <w:t>Step 2</w:t>
            </w:r>
          </w:p>
        </w:tc>
        <w:tc>
          <w:tcPr>
            <w:tcW w:w="110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32417A" w:rsidRPr="00965925" w:rsidRDefault="0032417A" w:rsidP="00FC0A1A">
            <w:pPr>
              <w:pStyle w:val="Tableheading"/>
              <w:cnfStyle w:val="000000000000"/>
            </w:pPr>
            <w:r w:rsidRPr="00965925">
              <w:t>Step 3</w:t>
            </w:r>
          </w:p>
        </w:tc>
        <w:tc>
          <w:tcPr>
            <w:tcW w:w="110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32417A" w:rsidRPr="00965925" w:rsidRDefault="0032417A" w:rsidP="00FC0A1A">
            <w:pPr>
              <w:pStyle w:val="Tableheading"/>
              <w:cnfStyle w:val="000000000000"/>
            </w:pPr>
            <w:r w:rsidRPr="00965925">
              <w:t>Step 4</w:t>
            </w:r>
          </w:p>
        </w:tc>
        <w:tc>
          <w:tcPr>
            <w:tcW w:w="110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32417A" w:rsidRPr="00965925" w:rsidRDefault="0032417A" w:rsidP="00FC0A1A">
            <w:pPr>
              <w:pStyle w:val="Tableheading"/>
              <w:cnfStyle w:val="000000000000"/>
            </w:pPr>
            <w:r w:rsidRPr="00965925">
              <w:t>Step 5</w:t>
            </w:r>
          </w:p>
        </w:tc>
        <w:tc>
          <w:tcPr>
            <w:tcW w:w="1100" w:type="dxa"/>
            <w:tcBorders>
              <w:top w:val="single" w:sz="4" w:space="0" w:color="BFBFBF" w:themeColor="background1" w:themeShade="BF"/>
              <w:left w:val="single" w:sz="4" w:space="0" w:color="BFBFBF" w:themeColor="background1" w:themeShade="BF"/>
            </w:tcBorders>
          </w:tcPr>
          <w:p w:rsidR="0032417A" w:rsidRPr="00965925" w:rsidRDefault="0032417A" w:rsidP="00FC0A1A">
            <w:pPr>
              <w:pStyle w:val="Tableheading"/>
              <w:cnfStyle w:val="000000000000"/>
            </w:pPr>
            <w:r w:rsidRPr="00965925">
              <w:t>Step 6</w:t>
            </w:r>
          </w:p>
        </w:tc>
      </w:tr>
      <w:tr w:rsidR="0032417A" w:rsidRPr="00965925" w:rsidTr="002A1858">
        <w:trPr>
          <w:trHeight w:val="425"/>
        </w:trPr>
        <w:tc>
          <w:tcPr>
            <w:cnfStyle w:val="001000000000"/>
            <w:tcW w:w="1603" w:type="dxa"/>
            <w:gridSpan w:val="2"/>
            <w:vMerge/>
            <w:tcBorders>
              <w:right w:val="single" w:sz="4" w:space="0" w:color="auto"/>
            </w:tcBorders>
            <w:textDirection w:val="btLr"/>
          </w:tcPr>
          <w:p w:rsidR="0032417A" w:rsidRPr="00965925" w:rsidRDefault="0032417A" w:rsidP="00FC0A1A">
            <w:pPr>
              <w:pStyle w:val="Tableheading"/>
            </w:pPr>
          </w:p>
        </w:tc>
        <w:tc>
          <w:tcPr>
            <w:tcW w:w="6599" w:type="dxa"/>
            <w:gridSpan w:val="6"/>
            <w:tcBorders>
              <w:left w:val="single" w:sz="4" w:space="0" w:color="auto"/>
            </w:tcBorders>
          </w:tcPr>
          <w:p w:rsidR="0032417A" w:rsidRPr="00965925" w:rsidRDefault="0032417A" w:rsidP="00FC0A1A">
            <w:pPr>
              <w:pStyle w:val="Tableheading"/>
              <w:cnfStyle w:val="000000000000"/>
            </w:pPr>
            <w:r>
              <w:t>General numeracy assessment</w:t>
            </w:r>
          </w:p>
        </w:tc>
      </w:tr>
    </w:tbl>
    <w:p w:rsidR="00A775D6" w:rsidRDefault="00A775D6" w:rsidP="00B94DB1">
      <w:pPr>
        <w:pStyle w:val="BodyText"/>
      </w:pPr>
    </w:p>
    <w:p w:rsidR="006F6B12" w:rsidRDefault="006F6B12" w:rsidP="006F6B12">
      <w:pPr>
        <w:pStyle w:val="Heading2"/>
      </w:pPr>
      <w:r>
        <w:t>Converting scale scores</w:t>
      </w:r>
    </w:p>
    <w:p w:rsidR="006F6B12" w:rsidRDefault="006F6B12" w:rsidP="006F6B12">
      <w:pPr>
        <w:pStyle w:val="BodyText"/>
      </w:pPr>
      <w:r>
        <w:t xml:space="preserve">The final piece of analysis was to see if it was possible to develop a way of converting </w:t>
      </w:r>
      <w:r w:rsidR="000916D4">
        <w:t>the Assessment Tool scale scores to ALL scale scores</w:t>
      </w:r>
      <w:r>
        <w:t>. This would provide a more precise method for comparing the results from the two instruments.  Rather than trying to map results from Assessment Tool steps to ALL levels, if the scale scor</w:t>
      </w:r>
      <w:r w:rsidR="00BA64A4">
        <w:t>es could be converted, then groups of learners who had been assessed on the Assessment Tool could be assigned to an ALL level.</w:t>
      </w:r>
    </w:p>
    <w:p w:rsidR="00BA64A4" w:rsidRDefault="00BA64A4" w:rsidP="006F6B12">
      <w:pPr>
        <w:pStyle w:val="BodyText"/>
      </w:pPr>
      <w:r>
        <w:t>A linear regression model was used</w:t>
      </w:r>
      <w:r w:rsidR="00C6026F">
        <w:t>. It was restricted to people who spoke English at home at the time of the ALL survey, and were aged 25 and over in the case of document literacy</w:t>
      </w:r>
      <w:r>
        <w:t xml:space="preserve">. The model simply looked at the </w:t>
      </w:r>
      <w:r w:rsidR="000916D4">
        <w:t xml:space="preserve">ALL literacy or numeracy score as a function of the </w:t>
      </w:r>
      <w:r>
        <w:t xml:space="preserve">Assessment </w:t>
      </w:r>
      <w:r>
        <w:lastRenderedPageBreak/>
        <w:t xml:space="preserve">Tool scale score.  The relationships are shown in </w:t>
      </w:r>
      <w:r w:rsidR="009708E0">
        <w:fldChar w:fldCharType="begin"/>
      </w:r>
      <w:r>
        <w:instrText xml:space="preserve"> REF _Ref381192408 \h </w:instrText>
      </w:r>
      <w:r w:rsidR="009708E0">
        <w:fldChar w:fldCharType="separate"/>
      </w:r>
      <w:r w:rsidR="00E333BF">
        <w:t xml:space="preserve">Figure </w:t>
      </w:r>
      <w:r w:rsidR="00E333BF">
        <w:rPr>
          <w:noProof/>
        </w:rPr>
        <w:t>8</w:t>
      </w:r>
      <w:r w:rsidR="009708E0">
        <w:fldChar w:fldCharType="end"/>
      </w:r>
      <w:r>
        <w:t>. The points</w:t>
      </w:r>
      <w:r w:rsidR="000916D4">
        <w:t xml:space="preserve"> on the line</w:t>
      </w:r>
      <w:r>
        <w:t xml:space="preserve"> are the cut points for the </w:t>
      </w:r>
      <w:r w:rsidR="000916D4">
        <w:t>Assessment Tool steps</w:t>
      </w:r>
      <w:r>
        <w:t xml:space="preserve"> and the error</w:t>
      </w:r>
      <w:r w:rsidR="008936D2">
        <w:t xml:space="preserve"> bar</w:t>
      </w:r>
      <w:r>
        <w:t>s are the 95 per cent confidence intervals for the mean</w:t>
      </w:r>
      <w:r w:rsidR="000916D4">
        <w:t>, using the population weights in the ALL survey</w:t>
      </w:r>
      <w:r>
        <w:t>.</w:t>
      </w:r>
      <w:r w:rsidR="000916D4">
        <w:t xml:space="preserve"> The horizontal lines are the cut points for the ALL levels</w:t>
      </w:r>
      <w:r w:rsidR="00E87628">
        <w:t xml:space="preserve"> 1 to 4.</w:t>
      </w:r>
    </w:p>
    <w:p w:rsidR="00BA64A4" w:rsidRDefault="00BA64A4" w:rsidP="00BA64A4">
      <w:pPr>
        <w:pStyle w:val="Caption"/>
      </w:pPr>
      <w:bookmarkStart w:id="11" w:name="_Ref381192408"/>
      <w:r>
        <w:t xml:space="preserve">Figure </w:t>
      </w:r>
      <w:fldSimple w:instr=" SEQ Figure \* ARABIC ">
        <w:r w:rsidR="00E333BF">
          <w:rPr>
            <w:noProof/>
          </w:rPr>
          <w:t>8</w:t>
        </w:r>
      </w:fldSimple>
      <w:bookmarkEnd w:id="11"/>
    </w:p>
    <w:p w:rsidR="00BA64A4" w:rsidRPr="00BA64A4" w:rsidRDefault="00BA64A4" w:rsidP="00BA64A4">
      <w:pPr>
        <w:pStyle w:val="Figurelabel"/>
      </w:pPr>
      <w:r>
        <w:t>Conversion of ALL literacy or numeracy scores to Assessment Tool scale scores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45"/>
        <w:gridCol w:w="4375"/>
      </w:tblGrid>
      <w:tr w:rsidR="00BA64A4" w:rsidTr="00BA64A4">
        <w:tc>
          <w:tcPr>
            <w:tcW w:w="4360" w:type="dxa"/>
          </w:tcPr>
          <w:p w:rsidR="00BA64A4" w:rsidRDefault="000916D4" w:rsidP="00BA64A4">
            <w:pPr>
              <w:pStyle w:val="Tabletext"/>
            </w:pPr>
            <w:r>
              <w:rPr>
                <w:noProof/>
                <w:lang w:eastAsia="en-NZ"/>
              </w:rPr>
              <w:drawing>
                <wp:inline distT="0" distB="0" distL="0" distR="0">
                  <wp:extent cx="2619375" cy="157551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2619375" cy="1575515"/>
                          </a:xfrm>
                          <a:prstGeom prst="rect">
                            <a:avLst/>
                          </a:prstGeom>
                          <a:noFill/>
                          <a:ln w="9525">
                            <a:noFill/>
                            <a:miter lim="800000"/>
                            <a:headEnd/>
                            <a:tailEnd/>
                          </a:ln>
                        </pic:spPr>
                      </pic:pic>
                    </a:graphicData>
                  </a:graphic>
                </wp:inline>
              </w:drawing>
            </w:r>
          </w:p>
        </w:tc>
        <w:tc>
          <w:tcPr>
            <w:tcW w:w="4360" w:type="dxa"/>
          </w:tcPr>
          <w:p w:rsidR="00BA64A4" w:rsidRDefault="005E3316" w:rsidP="00BA64A4">
            <w:pPr>
              <w:pStyle w:val="Tabletext"/>
            </w:pPr>
            <w:r>
              <w:rPr>
                <w:noProof/>
                <w:lang w:eastAsia="en-NZ"/>
              </w:rPr>
              <w:drawing>
                <wp:inline distT="0" distB="0" distL="0" distR="0">
                  <wp:extent cx="2644344" cy="1590534"/>
                  <wp:effectExtent l="19050" t="0" r="3606"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2647825" cy="1592628"/>
                          </a:xfrm>
                          <a:prstGeom prst="rect">
                            <a:avLst/>
                          </a:prstGeom>
                          <a:noFill/>
                          <a:ln w="9525">
                            <a:noFill/>
                            <a:miter lim="800000"/>
                            <a:headEnd/>
                            <a:tailEnd/>
                          </a:ln>
                        </pic:spPr>
                      </pic:pic>
                    </a:graphicData>
                  </a:graphic>
                </wp:inline>
              </w:drawing>
            </w:r>
          </w:p>
        </w:tc>
      </w:tr>
    </w:tbl>
    <w:p w:rsidR="00BA64A4" w:rsidRDefault="00BA64A4" w:rsidP="006F6B12">
      <w:pPr>
        <w:pStyle w:val="BodyText"/>
      </w:pPr>
    </w:p>
    <w:p w:rsidR="009E5283" w:rsidRDefault="00B842B5" w:rsidP="006F6B12">
      <w:pPr>
        <w:pStyle w:val="BodyText"/>
      </w:pPr>
      <w:r>
        <w:t>Converting the</w:t>
      </w:r>
      <w:r w:rsidR="009E5283">
        <w:t xml:space="preserve"> Assessment Tool steps to ALL levels is shown graphically in </w:t>
      </w:r>
      <w:r w:rsidR="009708E0">
        <w:fldChar w:fldCharType="begin"/>
      </w:r>
      <w:r w:rsidR="009E5283">
        <w:instrText xml:space="preserve"> REF _Ref381195886 \h </w:instrText>
      </w:r>
      <w:r w:rsidR="009708E0">
        <w:fldChar w:fldCharType="separate"/>
      </w:r>
      <w:r w:rsidR="00E333BF">
        <w:t xml:space="preserve">Figure </w:t>
      </w:r>
      <w:r w:rsidR="00E333BF">
        <w:rPr>
          <w:noProof/>
        </w:rPr>
        <w:t>9</w:t>
      </w:r>
      <w:r w:rsidR="009708E0">
        <w:fldChar w:fldCharType="end"/>
      </w:r>
      <w:r w:rsidR="009E5283">
        <w:t xml:space="preserve">. The actual values are shown in </w:t>
      </w:r>
      <w:r w:rsidR="009708E0">
        <w:fldChar w:fldCharType="begin"/>
      </w:r>
      <w:r w:rsidR="009E5283">
        <w:instrText xml:space="preserve"> REF _Ref381192716 \h </w:instrText>
      </w:r>
      <w:r w:rsidR="009708E0">
        <w:fldChar w:fldCharType="separate"/>
      </w:r>
      <w:r w:rsidR="00E333BF">
        <w:t xml:space="preserve">Table </w:t>
      </w:r>
      <w:r w:rsidR="00E333BF">
        <w:rPr>
          <w:noProof/>
        </w:rPr>
        <w:t>7</w:t>
      </w:r>
      <w:r w:rsidR="009708E0">
        <w:fldChar w:fldCharType="end"/>
      </w:r>
      <w:r w:rsidR="009E5283">
        <w:t xml:space="preserve"> in the Appendix. And the conversion scales from the regression are presented below the table. The results are consistent with the mappings shown above in </w:t>
      </w:r>
      <w:r w:rsidR="009708E0">
        <w:fldChar w:fldCharType="begin"/>
      </w:r>
      <w:r w:rsidR="00EF36C8">
        <w:instrText xml:space="preserve"> REF _Ref370202594 \h </w:instrText>
      </w:r>
      <w:r w:rsidR="009708E0">
        <w:fldChar w:fldCharType="separate"/>
      </w:r>
      <w:r w:rsidR="00E333BF">
        <w:t xml:space="preserve">Table </w:t>
      </w:r>
      <w:r w:rsidR="00E333BF">
        <w:rPr>
          <w:noProof/>
        </w:rPr>
        <w:t>3</w:t>
      </w:r>
      <w:r w:rsidR="009708E0">
        <w:fldChar w:fldCharType="end"/>
      </w:r>
      <w:r w:rsidR="00EF36C8">
        <w:t xml:space="preserve"> and </w:t>
      </w:r>
      <w:r w:rsidR="009708E0">
        <w:fldChar w:fldCharType="begin"/>
      </w:r>
      <w:r w:rsidR="00EF36C8">
        <w:instrText xml:space="preserve"> REF _Ref370203776 \h </w:instrText>
      </w:r>
      <w:r w:rsidR="009708E0">
        <w:fldChar w:fldCharType="separate"/>
      </w:r>
      <w:r w:rsidR="00E333BF">
        <w:t xml:space="preserve">Table </w:t>
      </w:r>
      <w:r w:rsidR="00E333BF">
        <w:rPr>
          <w:noProof/>
        </w:rPr>
        <w:t>4</w:t>
      </w:r>
      <w:r w:rsidR="009708E0">
        <w:fldChar w:fldCharType="end"/>
      </w:r>
      <w:r w:rsidR="00EF36C8">
        <w:t xml:space="preserve">. The relationships between step and level cut points differ slightly in some places as a result of the regression forcing a linear relationship between the two scales. </w:t>
      </w:r>
    </w:p>
    <w:p w:rsidR="009E5283" w:rsidRDefault="009E5283" w:rsidP="009E5283">
      <w:pPr>
        <w:pStyle w:val="Caption"/>
        <w:jc w:val="both"/>
      </w:pPr>
      <w:bookmarkStart w:id="12" w:name="_Ref381195886"/>
      <w:r>
        <w:t xml:space="preserve">Figure </w:t>
      </w:r>
      <w:fldSimple w:instr=" SEQ Figure \* ARABIC ">
        <w:r w:rsidR="00E333BF">
          <w:rPr>
            <w:noProof/>
          </w:rPr>
          <w:t>9</w:t>
        </w:r>
      </w:fldSimple>
      <w:bookmarkEnd w:id="12"/>
    </w:p>
    <w:p w:rsidR="009E5283" w:rsidRPr="009E5283" w:rsidRDefault="009E5283" w:rsidP="009E5283">
      <w:pPr>
        <w:pStyle w:val="Figurelabel"/>
      </w:pPr>
      <w:r>
        <w:t>Graphic illustration of conversion of Assessment Tool scale to ALL survey scales</w:t>
      </w:r>
    </w:p>
    <w:p w:rsidR="009E5283" w:rsidRDefault="000916D4" w:rsidP="006F6B12">
      <w:pPr>
        <w:pStyle w:val="BodyText"/>
      </w:pPr>
      <w:r w:rsidRPr="000916D4">
        <w:rPr>
          <w:noProof/>
          <w:lang w:eastAsia="en-NZ"/>
        </w:rPr>
        <w:drawing>
          <wp:inline distT="0" distB="0" distL="0" distR="0">
            <wp:extent cx="4943476" cy="32480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80DE7" w:rsidRPr="006F6B12" w:rsidRDefault="000916D4" w:rsidP="006F6B12">
      <w:pPr>
        <w:pStyle w:val="BodyText"/>
      </w:pPr>
      <w:r>
        <w:t xml:space="preserve">The results suggest that this is a reasonable approach for comparing the results of groups of learners between the Assessment Tool and the ALL survey. </w:t>
      </w:r>
      <w:r w:rsidR="00E87628">
        <w:t xml:space="preserve">So using this method, we can take the Assessment Tool results </w:t>
      </w:r>
      <w:r w:rsidR="005E3316">
        <w:t>for</w:t>
      </w:r>
      <w:r w:rsidR="00E87628">
        <w:t xml:space="preserve"> a group of learners and predict</w:t>
      </w:r>
      <w:r w:rsidR="005E3316">
        <w:t xml:space="preserve"> with reasonable certainty</w:t>
      </w:r>
      <w:r w:rsidR="00E87628">
        <w:t xml:space="preserve"> how their results would be distributed on the ALL scale.  However, we would have much less certainty about predicting what result </w:t>
      </w:r>
      <w:r w:rsidR="005E3316">
        <w:t xml:space="preserve">each individual learner might get </w:t>
      </w:r>
      <w:r w:rsidR="00E87628">
        <w:t xml:space="preserve">on </w:t>
      </w:r>
      <w:r w:rsidR="005E3316">
        <w:t xml:space="preserve">the </w:t>
      </w:r>
      <w:r w:rsidR="00E87628">
        <w:t>ALL</w:t>
      </w:r>
      <w:r w:rsidR="005E3316">
        <w:t xml:space="preserve"> scale</w:t>
      </w:r>
      <w:r w:rsidR="00E87628">
        <w:t>. The 95 per cent confidence inter</w:t>
      </w:r>
      <w:r w:rsidR="005E3316">
        <w:t xml:space="preserve">vals for individuals are very much wider than the difference </w:t>
      </w:r>
      <w:r w:rsidR="005E3316">
        <w:lastRenderedPageBreak/>
        <w:t>between the steps. For example, on numeracy the 95 per cent confidence interval for an individual score is plus or minus 65 scale points, compared with step differences of around 25 scale points on the ALL scale.</w:t>
      </w:r>
    </w:p>
    <w:p w:rsidR="00DF15EC" w:rsidRDefault="00DF15EC" w:rsidP="00DF15EC">
      <w:pPr>
        <w:pStyle w:val="Heading2"/>
      </w:pPr>
      <w:r>
        <w:t>Conclusion</w:t>
      </w:r>
    </w:p>
    <w:p w:rsidR="000F0350" w:rsidRDefault="00DF15EC" w:rsidP="00B94DB1">
      <w:pPr>
        <w:pStyle w:val="BodyText"/>
      </w:pPr>
      <w:r>
        <w:t>The ALL survey and the Assessment Tool ha</w:t>
      </w:r>
      <w:r w:rsidR="002A1858">
        <w:t xml:space="preserve">ve different purposes and starting </w:t>
      </w:r>
      <w:r>
        <w:t xml:space="preserve">points.  The ALL survey </w:t>
      </w:r>
      <w:r w:rsidR="00BF176A">
        <w:t>was</w:t>
      </w:r>
      <w:r>
        <w:t xml:space="preserve"> </w:t>
      </w:r>
      <w:r w:rsidR="00B804FA">
        <w:t xml:space="preserve">a </w:t>
      </w:r>
      <w:r>
        <w:t>population survey, intended to provide reliable information about the literacy and numeracy skills across the population</w:t>
      </w:r>
      <w:r w:rsidR="00734956">
        <w:t xml:space="preserve"> and for international comparison</w:t>
      </w:r>
      <w:r>
        <w:t>. It started with general definitions of literacy and numeracy and then developed scales and levels to represent ranges of ability.  The Assessment Tool is intended</w:t>
      </w:r>
      <w:r w:rsidR="00216141">
        <w:t xml:space="preserve"> to</w:t>
      </w:r>
      <w:r>
        <w:t xml:space="preserve"> provide reliable information on individuals to inform teaching and learning. It has not been referenced to a specific population. </w:t>
      </w:r>
      <w:r w:rsidR="00B804FA">
        <w:t>It m</w:t>
      </w:r>
      <w:r>
        <w:t xml:space="preserve">easures reading and numeracy ability based on the </w:t>
      </w:r>
      <w:r w:rsidR="00BF176A">
        <w:t>L</w:t>
      </w:r>
      <w:r>
        <w:t xml:space="preserve">earning </w:t>
      </w:r>
      <w:r w:rsidR="00BF176A">
        <w:t>P</w:t>
      </w:r>
      <w:r>
        <w:t>rogressions. These identify the specific elements of learning adults need to build upon to reach proficiency in literacy and numeracy.</w:t>
      </w:r>
    </w:p>
    <w:p w:rsidR="00DF15EC" w:rsidRDefault="00DF15EC" w:rsidP="00B94DB1">
      <w:pPr>
        <w:pStyle w:val="BodyText"/>
      </w:pPr>
      <w:r>
        <w:t xml:space="preserve">In spite of the different purposes and approaches, both measures identify similar underlying constructs of literacy and numeracy.  There </w:t>
      </w:r>
      <w:r w:rsidR="00BF176A">
        <w:t>are</w:t>
      </w:r>
      <w:r>
        <w:t xml:space="preserve"> strong correlations</w:t>
      </w:r>
      <w:r w:rsidR="00BF176A">
        <w:t xml:space="preserve"> between the measures</w:t>
      </w:r>
      <w:r>
        <w:t xml:space="preserve"> in the scores for people</w:t>
      </w:r>
      <w:r w:rsidR="00C6026F">
        <w:t xml:space="preserve"> who have been assessed on both</w:t>
      </w:r>
      <w:r w:rsidR="002A1858">
        <w:t>.</w:t>
      </w:r>
      <w:r w:rsidR="00C6026F">
        <w:t xml:space="preserve"> Interestingly, the comparisons show no evidence that there any learners who had lower skills on ALL who have underperformed to a large extent on the Assessment Tool.  This is an area of concern for some educators. On the contrary, there would appear to be a small group whose Assessment Tool scores are higher than would be predicted by their ALL results.</w:t>
      </w:r>
    </w:p>
    <w:p w:rsidR="00DF15EC" w:rsidRDefault="00DF15EC" w:rsidP="00B94DB1">
      <w:pPr>
        <w:pStyle w:val="BodyText"/>
      </w:pPr>
      <w:r>
        <w:t xml:space="preserve">It is possible to </w:t>
      </w:r>
      <w:r w:rsidR="003E7E82">
        <w:t xml:space="preserve">develop an approximate mapping of the Assessment Tool steps to the ALL levels. </w:t>
      </w:r>
      <w:r w:rsidR="00B11F15">
        <w:t xml:space="preserve">This involves mapping the steps to overlapping ranges on the ALL scale, as there is not </w:t>
      </w:r>
      <w:r w:rsidR="003E7E82">
        <w:t>a precise correspondence between the steps and levels.  Steps</w:t>
      </w:r>
      <w:r w:rsidR="002D258A">
        <w:t xml:space="preserve"> on the Assessment Tool</w:t>
      </w:r>
      <w:r w:rsidR="003E7E82">
        <w:t xml:space="preserve"> are much better at differentiating the lower levels of literacy and numeracy, especially level 1 on ALL, than higher level</w:t>
      </w:r>
      <w:r w:rsidR="002D258A">
        <w:t>s</w:t>
      </w:r>
      <w:r w:rsidR="003E7E82">
        <w:t>.  This is consistent with the purpose of the Learning Progressions to inform foundation learning in literacy and numeracy.</w:t>
      </w:r>
    </w:p>
    <w:p w:rsidR="00734956" w:rsidRDefault="00734956" w:rsidP="00B94DB1">
      <w:pPr>
        <w:pStyle w:val="BodyText"/>
      </w:pPr>
      <w:r>
        <w:t xml:space="preserve">The ability to clearly compare </w:t>
      </w:r>
      <w:r w:rsidR="00D80DE7">
        <w:t>steps on</w:t>
      </w:r>
      <w:r>
        <w:t xml:space="preserve"> the Assessment Tool and </w:t>
      </w:r>
      <w:r w:rsidR="00D80DE7">
        <w:t>levels on the</w:t>
      </w:r>
      <w:r>
        <w:t xml:space="preserve"> ALL survey is limited. For literacy and reading, it would be reasonable to equate Steps 1 and 2 on the Reading Progressions with ALL Level 1 and Steps 5 and 6 with ALL levels 3 and above.  For numeracy, it would be reasonable to equate </w:t>
      </w:r>
      <w:r w:rsidR="00A01B72">
        <w:t>Steps 1 to 3 on the General Numeracy Progression with ALL Level 1.</w:t>
      </w:r>
    </w:p>
    <w:p w:rsidR="00D80DE7" w:rsidRDefault="00D80DE7" w:rsidP="00B94DB1">
      <w:pPr>
        <w:pStyle w:val="BodyText"/>
      </w:pPr>
      <w:r>
        <w:t xml:space="preserve">A more promising approach </w:t>
      </w:r>
      <w:r w:rsidR="002F0280">
        <w:t>is</w:t>
      </w:r>
      <w:r>
        <w:t xml:space="preserve"> to convert the Assessment Tool scale scores for groups of learners to ALL scale scores.  </w:t>
      </w:r>
      <w:r w:rsidR="00C13D10">
        <w:t>This allows an approximation of ALL levels to the Assessment Tool results.  This approach is only valid in looking at results for groups of learners and not for individual learner results.</w:t>
      </w:r>
    </w:p>
    <w:p w:rsidR="002A1858" w:rsidRDefault="002A1858">
      <w:pPr>
        <w:rPr>
          <w:rFonts w:ascii="Arial" w:hAnsi="Arial"/>
          <w:sz w:val="28"/>
          <w:szCs w:val="28"/>
        </w:rPr>
      </w:pPr>
      <w:r>
        <w:br w:type="page"/>
      </w:r>
    </w:p>
    <w:p w:rsidR="00ED68DB" w:rsidRDefault="00A0628E" w:rsidP="00904B68">
      <w:pPr>
        <w:pStyle w:val="Heading3"/>
        <w:spacing w:before="960" w:after="240"/>
      </w:pPr>
      <w:bookmarkStart w:id="13" w:name="_Toc229825716"/>
      <w:r>
        <w:lastRenderedPageBreak/>
        <w:t>R</w:t>
      </w:r>
      <w:r w:rsidR="004F525C">
        <w:t>eferences</w:t>
      </w:r>
      <w:bookmarkEnd w:id="13"/>
    </w:p>
    <w:p w:rsidR="008879E2" w:rsidRPr="008879E2" w:rsidRDefault="009708E0">
      <w:pPr>
        <w:pStyle w:val="NormalWeb"/>
        <w:ind w:left="480" w:hanging="480"/>
        <w:divId w:val="595023735"/>
        <w:rPr>
          <w:noProof/>
          <w:sz w:val="22"/>
        </w:rPr>
      </w:pPr>
      <w:r>
        <w:fldChar w:fldCharType="begin" w:fldLock="1"/>
      </w:r>
      <w:r w:rsidR="00787772">
        <w:instrText xml:space="preserve">ADDIN Mendeley Bibliography CSL_BIBLIOGRAPHY </w:instrText>
      </w:r>
      <w:r>
        <w:fldChar w:fldCharType="separate"/>
      </w:r>
      <w:r w:rsidR="008879E2" w:rsidRPr="008879E2">
        <w:rPr>
          <w:noProof/>
          <w:sz w:val="22"/>
        </w:rPr>
        <w:t xml:space="preserve">Darr, C. (2010). Inside the assessment tool: Part 2. In </w:t>
      </w:r>
      <w:r w:rsidR="008879E2" w:rsidRPr="008879E2">
        <w:rPr>
          <w:i/>
          <w:iCs/>
          <w:noProof/>
          <w:sz w:val="22"/>
        </w:rPr>
        <w:t>Assessing Adult Learning: literacy and numeracy competencies</w:t>
      </w:r>
      <w:r w:rsidR="008879E2" w:rsidRPr="008879E2">
        <w:rPr>
          <w:noProof/>
          <w:sz w:val="22"/>
        </w:rPr>
        <w:t xml:space="preserve"> (pp. 41–52). Wellington: NZCER Press.</w:t>
      </w:r>
    </w:p>
    <w:p w:rsidR="008879E2" w:rsidRPr="008879E2" w:rsidRDefault="008879E2">
      <w:pPr>
        <w:pStyle w:val="NormalWeb"/>
        <w:ind w:left="480" w:hanging="480"/>
        <w:divId w:val="595023735"/>
        <w:rPr>
          <w:noProof/>
          <w:sz w:val="22"/>
        </w:rPr>
      </w:pPr>
      <w:r w:rsidRPr="008879E2">
        <w:rPr>
          <w:noProof/>
          <w:sz w:val="22"/>
        </w:rPr>
        <w:t xml:space="preserve">Earle, D. (2009). </w:t>
      </w:r>
      <w:r w:rsidRPr="008879E2">
        <w:rPr>
          <w:i/>
          <w:iCs/>
          <w:noProof/>
          <w:sz w:val="22"/>
        </w:rPr>
        <w:t>Skills, qualifications and wages - an analysis from the Adult Literacy and Life Skills survey</w:t>
      </w:r>
      <w:r w:rsidRPr="008879E2">
        <w:rPr>
          <w:noProof/>
          <w:sz w:val="22"/>
        </w:rPr>
        <w:t>. Wellington: Ministry of Education.</w:t>
      </w:r>
    </w:p>
    <w:p w:rsidR="008879E2" w:rsidRPr="008879E2" w:rsidRDefault="008879E2">
      <w:pPr>
        <w:pStyle w:val="NormalWeb"/>
        <w:ind w:left="480" w:hanging="480"/>
        <w:divId w:val="595023735"/>
        <w:rPr>
          <w:noProof/>
          <w:sz w:val="22"/>
        </w:rPr>
      </w:pPr>
      <w:r w:rsidRPr="008879E2">
        <w:rPr>
          <w:noProof/>
          <w:sz w:val="22"/>
        </w:rPr>
        <w:t xml:space="preserve">Haggland, J., &amp; Earle, D. (2012). </w:t>
      </w:r>
      <w:r w:rsidRPr="008879E2">
        <w:rPr>
          <w:i/>
          <w:iCs/>
          <w:noProof/>
          <w:sz w:val="22"/>
        </w:rPr>
        <w:t>Engagement is key: the Literacy and Numeracy for Adults Assessment Tool - experiences of implementation</w:t>
      </w:r>
      <w:r w:rsidRPr="008879E2">
        <w:rPr>
          <w:noProof/>
          <w:sz w:val="22"/>
        </w:rPr>
        <w:t>. Wellington: Ministry of Education.</w:t>
      </w:r>
    </w:p>
    <w:p w:rsidR="008879E2" w:rsidRPr="008879E2" w:rsidRDefault="008879E2">
      <w:pPr>
        <w:pStyle w:val="NormalWeb"/>
        <w:ind w:left="480" w:hanging="480"/>
        <w:divId w:val="595023735"/>
        <w:rPr>
          <w:noProof/>
          <w:sz w:val="22"/>
        </w:rPr>
      </w:pPr>
      <w:r w:rsidRPr="008879E2">
        <w:rPr>
          <w:noProof/>
          <w:sz w:val="22"/>
        </w:rPr>
        <w:t xml:space="preserve">Lane, C. (2012). </w:t>
      </w:r>
      <w:r w:rsidRPr="008879E2">
        <w:rPr>
          <w:i/>
          <w:iCs/>
          <w:noProof/>
          <w:sz w:val="22"/>
        </w:rPr>
        <w:t>Assessing skills of adult learners in 2011: profiling skills and learning using the Literacy and Numeracy for Adults Assessment Tool</w:t>
      </w:r>
      <w:r w:rsidRPr="008879E2">
        <w:rPr>
          <w:noProof/>
          <w:sz w:val="22"/>
        </w:rPr>
        <w:t>. Wellington: Ministry of Education.</w:t>
      </w:r>
    </w:p>
    <w:p w:rsidR="008879E2" w:rsidRPr="008879E2" w:rsidRDefault="008879E2">
      <w:pPr>
        <w:pStyle w:val="NormalWeb"/>
        <w:ind w:left="480" w:hanging="480"/>
        <w:divId w:val="595023735"/>
        <w:rPr>
          <w:noProof/>
          <w:sz w:val="22"/>
        </w:rPr>
      </w:pPr>
      <w:r w:rsidRPr="008879E2">
        <w:rPr>
          <w:noProof/>
          <w:sz w:val="22"/>
        </w:rPr>
        <w:t>Lawes, E. (2009). Well-being and education level. Wellington.</w:t>
      </w:r>
    </w:p>
    <w:p w:rsidR="008879E2" w:rsidRPr="008879E2" w:rsidRDefault="008879E2">
      <w:pPr>
        <w:pStyle w:val="NormalWeb"/>
        <w:ind w:left="480" w:hanging="480"/>
        <w:divId w:val="595023735"/>
        <w:rPr>
          <w:noProof/>
          <w:sz w:val="22"/>
        </w:rPr>
      </w:pPr>
      <w:r w:rsidRPr="008879E2">
        <w:rPr>
          <w:noProof/>
          <w:sz w:val="22"/>
        </w:rPr>
        <w:t xml:space="preserve">Mendelovits, J. (2010). Inside the assessment tool: Part 1. In </w:t>
      </w:r>
      <w:r w:rsidRPr="008879E2">
        <w:rPr>
          <w:i/>
          <w:iCs/>
          <w:noProof/>
          <w:sz w:val="22"/>
        </w:rPr>
        <w:t>Assessing Adult Learning: literacy and numeracy competencies</w:t>
      </w:r>
      <w:r w:rsidRPr="008879E2">
        <w:rPr>
          <w:noProof/>
          <w:sz w:val="22"/>
        </w:rPr>
        <w:t xml:space="preserve"> (pp. 32–40). Wellington: NZCER Press.</w:t>
      </w:r>
    </w:p>
    <w:p w:rsidR="008879E2" w:rsidRPr="008879E2" w:rsidRDefault="008879E2">
      <w:pPr>
        <w:pStyle w:val="NormalWeb"/>
        <w:ind w:left="480" w:hanging="480"/>
        <w:divId w:val="595023735"/>
        <w:rPr>
          <w:noProof/>
          <w:sz w:val="22"/>
        </w:rPr>
      </w:pPr>
      <w:r w:rsidRPr="008879E2">
        <w:rPr>
          <w:noProof/>
          <w:sz w:val="22"/>
        </w:rPr>
        <w:t xml:space="preserve">Organisation for Economic Cooperation and Development. (2013). </w:t>
      </w:r>
      <w:r w:rsidRPr="008879E2">
        <w:rPr>
          <w:i/>
          <w:iCs/>
          <w:noProof/>
          <w:sz w:val="22"/>
        </w:rPr>
        <w:t>OECD Skills Outlook 2013: First results from the Survey of Adult Skills</w:t>
      </w:r>
      <w:r w:rsidRPr="008879E2">
        <w:rPr>
          <w:noProof/>
          <w:sz w:val="22"/>
        </w:rPr>
        <w:t>. OECD Publishing. doi:10.1787/9789264204256-en</w:t>
      </w:r>
    </w:p>
    <w:p w:rsidR="008879E2" w:rsidRPr="008879E2" w:rsidRDefault="008879E2">
      <w:pPr>
        <w:pStyle w:val="NormalWeb"/>
        <w:ind w:left="480" w:hanging="480"/>
        <w:divId w:val="595023735"/>
        <w:rPr>
          <w:noProof/>
          <w:sz w:val="22"/>
        </w:rPr>
      </w:pPr>
      <w:r w:rsidRPr="008879E2">
        <w:rPr>
          <w:noProof/>
          <w:sz w:val="22"/>
        </w:rPr>
        <w:t xml:space="preserve">Reder, S. (2009). The development of literacy and numeracy in adult life. In S. Reder &amp; J. Bynner (Eds.), </w:t>
      </w:r>
      <w:r w:rsidRPr="008879E2">
        <w:rPr>
          <w:i/>
          <w:iCs/>
          <w:noProof/>
          <w:sz w:val="22"/>
        </w:rPr>
        <w:t>Tracking Adult Literacy and Numeracy Skills: findings from longitudinal research</w:t>
      </w:r>
      <w:r w:rsidRPr="008879E2">
        <w:rPr>
          <w:noProof/>
          <w:sz w:val="22"/>
        </w:rPr>
        <w:t xml:space="preserve"> (pp. 59–84). New York and London,: Routledge.</w:t>
      </w:r>
    </w:p>
    <w:p w:rsidR="008879E2" w:rsidRPr="008879E2" w:rsidRDefault="008879E2">
      <w:pPr>
        <w:pStyle w:val="NormalWeb"/>
        <w:ind w:left="480" w:hanging="480"/>
        <w:divId w:val="595023735"/>
        <w:rPr>
          <w:noProof/>
          <w:sz w:val="22"/>
        </w:rPr>
      </w:pPr>
      <w:r w:rsidRPr="008879E2">
        <w:rPr>
          <w:noProof/>
          <w:sz w:val="22"/>
        </w:rPr>
        <w:t xml:space="preserve">Satherley, P., Lawes, E., &amp; Sok, S. (2008). </w:t>
      </w:r>
      <w:r w:rsidRPr="008879E2">
        <w:rPr>
          <w:i/>
          <w:iCs/>
          <w:noProof/>
          <w:sz w:val="22"/>
        </w:rPr>
        <w:t>The Adult Literacy and Life Skills (ALL) Survey: overview and international comparisons</w:t>
      </w:r>
      <w:r w:rsidRPr="008879E2">
        <w:rPr>
          <w:noProof/>
          <w:sz w:val="22"/>
        </w:rPr>
        <w:t>. Wellington: Ministry of Education.</w:t>
      </w:r>
    </w:p>
    <w:p w:rsidR="008879E2" w:rsidRPr="008879E2" w:rsidRDefault="008879E2">
      <w:pPr>
        <w:pStyle w:val="NormalWeb"/>
        <w:ind w:left="480" w:hanging="480"/>
        <w:divId w:val="595023735"/>
        <w:rPr>
          <w:noProof/>
          <w:sz w:val="22"/>
        </w:rPr>
      </w:pPr>
      <w:r w:rsidRPr="008879E2">
        <w:rPr>
          <w:noProof/>
          <w:sz w:val="22"/>
        </w:rPr>
        <w:t xml:space="preserve">Smyth, R., &amp; Lane, C. (2009). </w:t>
      </w:r>
      <w:r w:rsidRPr="008879E2">
        <w:rPr>
          <w:i/>
          <w:iCs/>
          <w:noProof/>
          <w:sz w:val="22"/>
        </w:rPr>
        <w:t>Skills and education: How well do educational qualifications measure skills?</w:t>
      </w:r>
      <w:r w:rsidRPr="008879E2">
        <w:rPr>
          <w:noProof/>
          <w:sz w:val="22"/>
        </w:rPr>
        <w:t xml:space="preserve"> Wellington: Ministry of Education.</w:t>
      </w:r>
    </w:p>
    <w:p w:rsidR="008879E2" w:rsidRPr="008879E2" w:rsidRDefault="008879E2">
      <w:pPr>
        <w:pStyle w:val="NormalWeb"/>
        <w:ind w:left="480" w:hanging="480"/>
        <w:divId w:val="595023735"/>
        <w:rPr>
          <w:noProof/>
          <w:sz w:val="22"/>
        </w:rPr>
      </w:pPr>
      <w:r w:rsidRPr="008879E2">
        <w:rPr>
          <w:noProof/>
          <w:sz w:val="22"/>
        </w:rPr>
        <w:t xml:space="preserve">Statistics Canada, &amp; Organisation for Economic Cooperation and Development. (2005). </w:t>
      </w:r>
      <w:r w:rsidRPr="008879E2">
        <w:rPr>
          <w:i/>
          <w:iCs/>
          <w:noProof/>
          <w:sz w:val="22"/>
        </w:rPr>
        <w:t>Learning a Living: first results of the adult literacy and life skills survey</w:t>
      </w:r>
      <w:r w:rsidRPr="008879E2">
        <w:rPr>
          <w:noProof/>
          <w:sz w:val="22"/>
        </w:rPr>
        <w:t>. Ottawa and Paris: Statistics Canada and OECD.</w:t>
      </w:r>
    </w:p>
    <w:p w:rsidR="008879E2" w:rsidRPr="008879E2" w:rsidRDefault="008879E2">
      <w:pPr>
        <w:pStyle w:val="NormalWeb"/>
        <w:ind w:left="480" w:hanging="480"/>
        <w:divId w:val="595023735"/>
        <w:rPr>
          <w:noProof/>
          <w:sz w:val="22"/>
        </w:rPr>
      </w:pPr>
      <w:r w:rsidRPr="008879E2">
        <w:rPr>
          <w:noProof/>
          <w:sz w:val="22"/>
        </w:rPr>
        <w:t xml:space="preserve">Statistics Canada, &amp; Organisation for Economic Cooperation and Development. (2011). </w:t>
      </w:r>
      <w:r w:rsidRPr="008879E2">
        <w:rPr>
          <w:i/>
          <w:iCs/>
          <w:noProof/>
          <w:sz w:val="22"/>
        </w:rPr>
        <w:t>Literacy for Life: Further Results from the Adult Literacy and Life Skills Survey</w:t>
      </w:r>
      <w:r w:rsidRPr="008879E2">
        <w:rPr>
          <w:noProof/>
          <w:sz w:val="22"/>
        </w:rPr>
        <w:t>. Ottawa and Paris: Statistics Canada and OECD.</w:t>
      </w:r>
    </w:p>
    <w:p w:rsidR="008879E2" w:rsidRPr="008879E2" w:rsidRDefault="008879E2">
      <w:pPr>
        <w:pStyle w:val="NormalWeb"/>
        <w:ind w:left="480" w:hanging="480"/>
        <w:divId w:val="595023735"/>
        <w:rPr>
          <w:noProof/>
          <w:sz w:val="22"/>
        </w:rPr>
      </w:pPr>
      <w:r w:rsidRPr="008879E2">
        <w:rPr>
          <w:noProof/>
          <w:sz w:val="22"/>
        </w:rPr>
        <w:t xml:space="preserve">Tertiary Education Commission. (2008a). </w:t>
      </w:r>
      <w:r w:rsidRPr="008879E2">
        <w:rPr>
          <w:i/>
          <w:iCs/>
          <w:noProof/>
          <w:sz w:val="22"/>
        </w:rPr>
        <w:t>Learning progressions for adult literacy and numeracy: background information</w:t>
      </w:r>
      <w:r w:rsidRPr="008879E2">
        <w:rPr>
          <w:noProof/>
          <w:sz w:val="22"/>
        </w:rPr>
        <w:t>. Wellington.</w:t>
      </w:r>
    </w:p>
    <w:p w:rsidR="008879E2" w:rsidRPr="008879E2" w:rsidRDefault="008879E2">
      <w:pPr>
        <w:pStyle w:val="NormalWeb"/>
        <w:ind w:left="480" w:hanging="480"/>
        <w:divId w:val="595023735"/>
        <w:rPr>
          <w:noProof/>
          <w:sz w:val="22"/>
        </w:rPr>
      </w:pPr>
      <w:r w:rsidRPr="008879E2">
        <w:rPr>
          <w:noProof/>
          <w:sz w:val="22"/>
        </w:rPr>
        <w:t xml:space="preserve">Tertiary Education Commission. (2008b). </w:t>
      </w:r>
      <w:r w:rsidRPr="008879E2">
        <w:rPr>
          <w:i/>
          <w:iCs/>
          <w:noProof/>
          <w:sz w:val="22"/>
        </w:rPr>
        <w:t>Learning progressions for adult numeracy</w:t>
      </w:r>
      <w:r w:rsidRPr="008879E2">
        <w:rPr>
          <w:noProof/>
          <w:sz w:val="22"/>
        </w:rPr>
        <w:t>. Wellington.</w:t>
      </w:r>
    </w:p>
    <w:p w:rsidR="008879E2" w:rsidRPr="008879E2" w:rsidRDefault="008879E2">
      <w:pPr>
        <w:pStyle w:val="NormalWeb"/>
        <w:ind w:left="480" w:hanging="480"/>
        <w:divId w:val="595023735"/>
        <w:rPr>
          <w:noProof/>
          <w:sz w:val="22"/>
        </w:rPr>
      </w:pPr>
      <w:r w:rsidRPr="008879E2">
        <w:rPr>
          <w:noProof/>
          <w:sz w:val="22"/>
        </w:rPr>
        <w:t xml:space="preserve">Yamamoto, K. (2013). Small Area Proficiency Estimation: extension of the PIAAC population modeling for proficiency estimation without direct asssessment. In </w:t>
      </w:r>
      <w:r w:rsidRPr="008879E2">
        <w:rPr>
          <w:i/>
          <w:iCs/>
          <w:noProof/>
          <w:sz w:val="22"/>
        </w:rPr>
        <w:t>PIAAC International Research Conference: The Importance of Skills and How to Assess Them</w:t>
      </w:r>
      <w:r w:rsidRPr="008879E2">
        <w:rPr>
          <w:noProof/>
          <w:sz w:val="22"/>
        </w:rPr>
        <w:t>. Washington DC: OECD and ETS.</w:t>
      </w:r>
    </w:p>
    <w:p w:rsidR="0014184F" w:rsidRDefault="009708E0" w:rsidP="008879E2">
      <w:pPr>
        <w:pStyle w:val="NormalWeb"/>
        <w:ind w:left="480" w:hanging="480"/>
        <w:divId w:val="1003430743"/>
      </w:pPr>
      <w:r>
        <w:lastRenderedPageBreak/>
        <w:fldChar w:fldCharType="end"/>
      </w:r>
    </w:p>
    <w:p w:rsidR="00B573B8" w:rsidRDefault="008936D2" w:rsidP="008936D2">
      <w:pPr>
        <w:pStyle w:val="Appendix"/>
        <w:numPr>
          <w:ilvl w:val="0"/>
          <w:numId w:val="0"/>
        </w:numPr>
        <w:divId w:val="2116826562"/>
      </w:pPr>
      <w:r>
        <w:t>Appendix</w:t>
      </w:r>
    </w:p>
    <w:p w:rsidR="0014184F" w:rsidRDefault="0014184F" w:rsidP="0014184F">
      <w:pPr>
        <w:pStyle w:val="Caption"/>
        <w:divId w:val="2116826562"/>
      </w:pPr>
      <w:r>
        <w:t xml:space="preserve">Table </w:t>
      </w:r>
      <w:fldSimple w:instr=" SEQ Table \* ARABIC ">
        <w:r w:rsidR="00E333BF">
          <w:rPr>
            <w:noProof/>
          </w:rPr>
          <w:t>5</w:t>
        </w:r>
      </w:fldSimple>
    </w:p>
    <w:p w:rsidR="0014184F" w:rsidRPr="0014184F" w:rsidRDefault="0014184F" w:rsidP="0014184F">
      <w:pPr>
        <w:pStyle w:val="Tablelabel"/>
        <w:divId w:val="2116826562"/>
      </w:pPr>
      <w:r>
        <w:t>Summarised descriptors of ALL levels and associated scale ranges</w:t>
      </w:r>
    </w:p>
    <w:tbl>
      <w:tblPr>
        <w:tblStyle w:val="TableMOE4"/>
        <w:tblW w:w="8789" w:type="dxa"/>
        <w:tblLook w:val="04A0"/>
      </w:tblPr>
      <w:tblGrid>
        <w:gridCol w:w="993"/>
        <w:gridCol w:w="1275"/>
        <w:gridCol w:w="6521"/>
      </w:tblGrid>
      <w:tr w:rsidR="0014184F" w:rsidRPr="0014184F" w:rsidTr="0014184F">
        <w:trPr>
          <w:cnfStyle w:val="100000000000"/>
          <w:divId w:val="2116826562"/>
        </w:trPr>
        <w:tc>
          <w:tcPr>
            <w:cnfStyle w:val="001000000000"/>
            <w:tcW w:w="993" w:type="dxa"/>
          </w:tcPr>
          <w:p w:rsidR="0014184F" w:rsidRDefault="0014184F" w:rsidP="0014184F">
            <w:pPr>
              <w:pStyle w:val="Tableheading"/>
            </w:pPr>
          </w:p>
        </w:tc>
        <w:tc>
          <w:tcPr>
            <w:tcW w:w="1275" w:type="dxa"/>
          </w:tcPr>
          <w:p w:rsidR="0014184F" w:rsidRDefault="0014184F" w:rsidP="0014184F">
            <w:pPr>
              <w:pStyle w:val="Tableheading"/>
              <w:cnfStyle w:val="100000000000"/>
            </w:pPr>
            <w:r>
              <w:t>Scale range</w:t>
            </w:r>
          </w:p>
        </w:tc>
        <w:tc>
          <w:tcPr>
            <w:tcW w:w="6521" w:type="dxa"/>
          </w:tcPr>
          <w:p w:rsidR="0014184F" w:rsidRPr="0014184F" w:rsidRDefault="0014184F" w:rsidP="0014184F">
            <w:pPr>
              <w:pStyle w:val="Tableheading"/>
              <w:cnfStyle w:val="100000000000"/>
            </w:pPr>
            <w:r>
              <w:t>Descriptor summary</w:t>
            </w:r>
          </w:p>
        </w:tc>
      </w:tr>
      <w:tr w:rsidR="0014184F" w:rsidRPr="0014184F" w:rsidTr="0014184F">
        <w:trPr>
          <w:divId w:val="2116826562"/>
        </w:trPr>
        <w:tc>
          <w:tcPr>
            <w:cnfStyle w:val="001000000000"/>
            <w:tcW w:w="993" w:type="dxa"/>
          </w:tcPr>
          <w:p w:rsidR="0014184F" w:rsidRPr="0014184F" w:rsidRDefault="0014184F" w:rsidP="0014184F">
            <w:pPr>
              <w:pStyle w:val="Tabletext"/>
            </w:pPr>
            <w:r>
              <w:t xml:space="preserve">Level 1 </w:t>
            </w:r>
          </w:p>
        </w:tc>
        <w:tc>
          <w:tcPr>
            <w:tcW w:w="1275" w:type="dxa"/>
          </w:tcPr>
          <w:p w:rsidR="0014184F" w:rsidRPr="0014184F" w:rsidRDefault="0014184F" w:rsidP="00841D7F">
            <w:pPr>
              <w:pStyle w:val="Tabletext"/>
              <w:jc w:val="center"/>
              <w:cnfStyle w:val="000000000000"/>
            </w:pPr>
            <w:r>
              <w:t>up to 225</w:t>
            </w:r>
          </w:p>
        </w:tc>
        <w:tc>
          <w:tcPr>
            <w:tcW w:w="6521" w:type="dxa"/>
          </w:tcPr>
          <w:p w:rsidR="0014184F" w:rsidRPr="0014184F" w:rsidRDefault="0014184F" w:rsidP="0014184F">
            <w:pPr>
              <w:pStyle w:val="Tabletext"/>
              <w:jc w:val="left"/>
              <w:cnfStyle w:val="000000000000"/>
            </w:pPr>
            <w:r w:rsidRPr="0014184F">
              <w:t>Read simple documents, accomplish literal information-matching with no distracting information, and perform simple one-step calculations.</w:t>
            </w:r>
          </w:p>
        </w:tc>
      </w:tr>
      <w:tr w:rsidR="0014184F" w:rsidRPr="0014184F" w:rsidTr="0014184F">
        <w:trPr>
          <w:divId w:val="2116826562"/>
        </w:trPr>
        <w:tc>
          <w:tcPr>
            <w:cnfStyle w:val="001000000000"/>
            <w:tcW w:w="993" w:type="dxa"/>
          </w:tcPr>
          <w:p w:rsidR="0014184F" w:rsidRPr="0014184F" w:rsidRDefault="0014184F" w:rsidP="0014184F">
            <w:pPr>
              <w:pStyle w:val="Tabletext"/>
            </w:pPr>
            <w:r>
              <w:t xml:space="preserve">Level 2 </w:t>
            </w:r>
          </w:p>
        </w:tc>
        <w:tc>
          <w:tcPr>
            <w:tcW w:w="1275" w:type="dxa"/>
          </w:tcPr>
          <w:p w:rsidR="0014184F" w:rsidRPr="0014184F" w:rsidRDefault="0014184F" w:rsidP="00841D7F">
            <w:pPr>
              <w:pStyle w:val="Tabletext"/>
              <w:jc w:val="center"/>
              <w:cnfStyle w:val="000000000000"/>
            </w:pPr>
            <w:r>
              <w:t>226-275</w:t>
            </w:r>
          </w:p>
        </w:tc>
        <w:tc>
          <w:tcPr>
            <w:tcW w:w="6521" w:type="dxa"/>
          </w:tcPr>
          <w:p w:rsidR="0014184F" w:rsidRPr="0014184F" w:rsidRDefault="0014184F" w:rsidP="0014184F">
            <w:pPr>
              <w:pStyle w:val="Tabletext"/>
              <w:jc w:val="left"/>
              <w:cnfStyle w:val="000000000000"/>
            </w:pPr>
            <w:r w:rsidRPr="0014184F">
              <w:t>Search a document and filter out some simple dis</w:t>
            </w:r>
            <w:r w:rsidR="008879E2">
              <w:t>tracting information, make low-</w:t>
            </w:r>
            <w:r w:rsidRPr="0014184F">
              <w:t>level inferences, and execute one- or two-step calculations and estimations.</w:t>
            </w:r>
          </w:p>
        </w:tc>
      </w:tr>
      <w:tr w:rsidR="0014184F" w:rsidRPr="0014184F" w:rsidTr="0014184F">
        <w:trPr>
          <w:divId w:val="2116826562"/>
        </w:trPr>
        <w:tc>
          <w:tcPr>
            <w:cnfStyle w:val="001000000000"/>
            <w:tcW w:w="993" w:type="dxa"/>
          </w:tcPr>
          <w:p w:rsidR="0014184F" w:rsidRPr="0014184F" w:rsidRDefault="0014184F" w:rsidP="0014184F">
            <w:pPr>
              <w:pStyle w:val="Tabletext"/>
            </w:pPr>
            <w:r>
              <w:t>Level 3</w:t>
            </w:r>
          </w:p>
        </w:tc>
        <w:tc>
          <w:tcPr>
            <w:tcW w:w="1275" w:type="dxa"/>
          </w:tcPr>
          <w:p w:rsidR="0014184F" w:rsidRPr="0014184F" w:rsidRDefault="0014184F" w:rsidP="00841D7F">
            <w:pPr>
              <w:pStyle w:val="Tabletext"/>
              <w:jc w:val="center"/>
              <w:cnfStyle w:val="000000000000"/>
            </w:pPr>
            <w:r>
              <w:t>276-325</w:t>
            </w:r>
          </w:p>
        </w:tc>
        <w:tc>
          <w:tcPr>
            <w:tcW w:w="6521" w:type="dxa"/>
          </w:tcPr>
          <w:p w:rsidR="0014184F" w:rsidRPr="0014184F" w:rsidRDefault="0014184F" w:rsidP="0014184F">
            <w:pPr>
              <w:pStyle w:val="Tabletext"/>
              <w:jc w:val="left"/>
              <w:cnfStyle w:val="000000000000"/>
            </w:pPr>
            <w:r w:rsidRPr="0014184F">
              <w:t>Perform more complex information-filtering, sometimes requiring inferences and manipulate mathematical symbols, perhaps in several stages.</w:t>
            </w:r>
          </w:p>
        </w:tc>
      </w:tr>
      <w:tr w:rsidR="0014184F" w:rsidRPr="0014184F" w:rsidTr="0014184F">
        <w:trPr>
          <w:divId w:val="2116826562"/>
        </w:trPr>
        <w:tc>
          <w:tcPr>
            <w:cnfStyle w:val="001000000000"/>
            <w:tcW w:w="993" w:type="dxa"/>
          </w:tcPr>
          <w:p w:rsidR="0014184F" w:rsidRPr="0014184F" w:rsidRDefault="0014184F" w:rsidP="0014184F">
            <w:pPr>
              <w:pStyle w:val="Tabletext"/>
            </w:pPr>
            <w:r>
              <w:t>Level 4</w:t>
            </w:r>
          </w:p>
        </w:tc>
        <w:tc>
          <w:tcPr>
            <w:tcW w:w="1275" w:type="dxa"/>
          </w:tcPr>
          <w:p w:rsidR="0014184F" w:rsidRPr="0014184F" w:rsidRDefault="0014184F" w:rsidP="00841D7F">
            <w:pPr>
              <w:pStyle w:val="Tabletext"/>
              <w:jc w:val="center"/>
              <w:cnfStyle w:val="000000000000"/>
            </w:pPr>
            <w:r>
              <w:t>326-375</w:t>
            </w:r>
          </w:p>
        </w:tc>
        <w:tc>
          <w:tcPr>
            <w:tcW w:w="6521" w:type="dxa"/>
          </w:tcPr>
          <w:p w:rsidR="0014184F" w:rsidRPr="0014184F" w:rsidRDefault="0014184F" w:rsidP="0014184F">
            <w:pPr>
              <w:pStyle w:val="Tabletext"/>
              <w:jc w:val="left"/>
              <w:cnfStyle w:val="000000000000"/>
            </w:pPr>
            <w:r w:rsidRPr="0014184F">
              <w:t>Integrate information from a long passage, perform more complex inferences and complete multiple-step calculations requiring some reasoning.</w:t>
            </w:r>
          </w:p>
        </w:tc>
      </w:tr>
      <w:tr w:rsidR="0014184F" w:rsidRPr="0014184F" w:rsidTr="0014184F">
        <w:trPr>
          <w:divId w:val="2116826562"/>
        </w:trPr>
        <w:tc>
          <w:tcPr>
            <w:cnfStyle w:val="001000000000"/>
            <w:tcW w:w="993" w:type="dxa"/>
          </w:tcPr>
          <w:p w:rsidR="0014184F" w:rsidRPr="0014184F" w:rsidRDefault="0014184F" w:rsidP="0014184F">
            <w:pPr>
              <w:pStyle w:val="Tabletext"/>
            </w:pPr>
            <w:r>
              <w:t>Level 5</w:t>
            </w:r>
          </w:p>
        </w:tc>
        <w:tc>
          <w:tcPr>
            <w:tcW w:w="1275" w:type="dxa"/>
          </w:tcPr>
          <w:p w:rsidR="0014184F" w:rsidRPr="0014184F" w:rsidRDefault="0014184F" w:rsidP="00841D7F">
            <w:pPr>
              <w:pStyle w:val="Tabletext"/>
              <w:jc w:val="center"/>
              <w:cnfStyle w:val="000000000000"/>
            </w:pPr>
            <w:r>
              <w:t>376 and over</w:t>
            </w:r>
          </w:p>
        </w:tc>
        <w:tc>
          <w:tcPr>
            <w:tcW w:w="6521" w:type="dxa"/>
          </w:tcPr>
          <w:p w:rsidR="0014184F" w:rsidRPr="0014184F" w:rsidRDefault="0014184F" w:rsidP="0014184F">
            <w:pPr>
              <w:pStyle w:val="Tabletext"/>
              <w:jc w:val="left"/>
              <w:cnfStyle w:val="000000000000"/>
            </w:pPr>
            <w:r w:rsidRPr="0014184F">
              <w:t>Make high-level inferences or syntheses, use specialised knowledge, filter out multiple distracters, and understand and use abstract mathematical ideas with justification.</w:t>
            </w:r>
          </w:p>
        </w:tc>
      </w:tr>
    </w:tbl>
    <w:p w:rsidR="0014184F" w:rsidRDefault="0014184F" w:rsidP="0014184F">
      <w:pPr>
        <w:pStyle w:val="Note"/>
        <w:divId w:val="2116826562"/>
      </w:pPr>
      <w:r>
        <w:t xml:space="preserve">Source: </w:t>
      </w:r>
      <w:r w:rsidR="009708E0">
        <w:fldChar w:fldCharType="begin" w:fldLock="1"/>
      </w:r>
      <w:r w:rsidR="008879E2">
        <w:instrText>ADDIN CSL_CITATION { "citationItems" : [ { "id" : "ITEM-1", "itemData" : { "abstract" : "How is literacy skill distributed across the New Zealand adult population? \u2022 Has there been any change in this distribution over the past 10 years? \u2022 Do the further education and training activities of New Zealand adults vary according to their literacy skills? \u2022 How do the skills of adults in New Zealand compare with those of adults from other countries? This report is the first in a series of four that investigates the initial results of the ALL survey. It will present an overview of the distribution of literacy skills in New Zealand, changes to that distribution since 1996, and a comparison of New Zealand\u2019s distribution of literacy skills with those of Canada, the USA and Australia.", "author" : [ { "dropping-particle" : "", "family" : "Satherley", "given" : "Paul", "non-dropping-particle" : "", "parse-names" : false, "suffix" : "" }, { "dropping-particle" : "", "family" : "Lawes", "given" : "Elliot", "non-dropping-particle" : "", "parse-names" : false, "suffix" : "" }, { "dropping-particle" : "", "family" : "Sok", "given" : "Saila", "non-dropping-particle" : "", "parse-names" : false, "suffix" : "" } ], "id" : "ITEM-1", "issued" : { "date-parts" : [ [ "2008" ] ] }, "publisher" : "Ministry of Education", "publisher-place" : "Wellington", "title" : "The Adult Literacy and Life Skills (ALL) Survey: overview and international comparisons", "type" : "book" }, "uris" : [ "http://www.mendeley.com/documents/?uuid=5810db63-d316-4b29-a2dc-d0cb11cfc974" ] } ], "mendeley" : { "previouslyFormattedCitation" : "(Satherley et al., 2008)" }, "properties" : { "noteIndex" : 0 }, "schema" : "https://github.com/citation-style-language/schema/raw/master/csl-citation.json" }</w:instrText>
      </w:r>
      <w:r w:rsidR="009708E0">
        <w:fldChar w:fldCharType="separate"/>
      </w:r>
      <w:r w:rsidR="003C3F96" w:rsidRPr="003C3F96">
        <w:rPr>
          <w:noProof/>
        </w:rPr>
        <w:t>(Satherley et al., 2008)</w:t>
      </w:r>
      <w:r w:rsidR="009708E0">
        <w:fldChar w:fldCharType="end"/>
      </w:r>
    </w:p>
    <w:p w:rsidR="00841D7F" w:rsidRDefault="00841D7F" w:rsidP="00841D7F">
      <w:pPr>
        <w:pStyle w:val="BodyText"/>
        <w:divId w:val="2116826562"/>
      </w:pPr>
    </w:p>
    <w:p w:rsidR="00841D7F" w:rsidRDefault="00841D7F" w:rsidP="00841D7F">
      <w:pPr>
        <w:pStyle w:val="Caption"/>
        <w:divId w:val="2116826562"/>
      </w:pPr>
      <w:r>
        <w:t xml:space="preserve">Table </w:t>
      </w:r>
      <w:fldSimple w:instr=" SEQ Table \* ARABIC ">
        <w:r w:rsidR="00E333BF">
          <w:rPr>
            <w:noProof/>
          </w:rPr>
          <w:t>6</w:t>
        </w:r>
      </w:fldSimple>
    </w:p>
    <w:p w:rsidR="00841D7F" w:rsidRPr="00841D7F" w:rsidRDefault="00841D7F" w:rsidP="00841D7F">
      <w:pPr>
        <w:pStyle w:val="Tablelabel"/>
        <w:divId w:val="2116826562"/>
      </w:pPr>
      <w:r>
        <w:t>Scale ranges for Assessment Tool steps</w:t>
      </w:r>
    </w:p>
    <w:tbl>
      <w:tblPr>
        <w:tblStyle w:val="TableMOE4"/>
        <w:tblW w:w="0" w:type="auto"/>
        <w:tblLook w:val="04A0"/>
      </w:tblPr>
      <w:tblGrid>
        <w:gridCol w:w="2837"/>
        <w:gridCol w:w="2846"/>
        <w:gridCol w:w="2849"/>
      </w:tblGrid>
      <w:tr w:rsidR="00841D7F" w:rsidTr="00841D7F">
        <w:trPr>
          <w:cnfStyle w:val="100000000000"/>
          <w:divId w:val="2116826562"/>
        </w:trPr>
        <w:tc>
          <w:tcPr>
            <w:cnfStyle w:val="001000000000"/>
            <w:tcW w:w="2837" w:type="dxa"/>
          </w:tcPr>
          <w:p w:rsidR="00841D7F" w:rsidRDefault="00841D7F" w:rsidP="00841D7F">
            <w:pPr>
              <w:pStyle w:val="Tableheading"/>
            </w:pPr>
          </w:p>
        </w:tc>
        <w:tc>
          <w:tcPr>
            <w:tcW w:w="2846" w:type="dxa"/>
          </w:tcPr>
          <w:p w:rsidR="00841D7F" w:rsidRDefault="00841D7F" w:rsidP="00841D7F">
            <w:pPr>
              <w:pStyle w:val="Tableheading"/>
              <w:cnfStyle w:val="100000000000"/>
            </w:pPr>
            <w:r>
              <w:t>Reading</w:t>
            </w:r>
          </w:p>
        </w:tc>
        <w:tc>
          <w:tcPr>
            <w:tcW w:w="2849" w:type="dxa"/>
          </w:tcPr>
          <w:p w:rsidR="00841D7F" w:rsidRDefault="00841D7F" w:rsidP="00841D7F">
            <w:pPr>
              <w:pStyle w:val="Tableheading"/>
              <w:cnfStyle w:val="100000000000"/>
            </w:pPr>
            <w:r>
              <w:t>General Numeracy</w:t>
            </w:r>
          </w:p>
        </w:tc>
      </w:tr>
      <w:tr w:rsidR="00841D7F" w:rsidTr="00841D7F">
        <w:trPr>
          <w:divId w:val="2116826562"/>
        </w:trPr>
        <w:tc>
          <w:tcPr>
            <w:cnfStyle w:val="001000000000"/>
            <w:tcW w:w="2837" w:type="dxa"/>
          </w:tcPr>
          <w:p w:rsidR="00841D7F" w:rsidRDefault="00841D7F" w:rsidP="00841D7F">
            <w:pPr>
              <w:pStyle w:val="Tabletext"/>
            </w:pPr>
            <w:r>
              <w:t>Step 1</w:t>
            </w:r>
          </w:p>
        </w:tc>
        <w:tc>
          <w:tcPr>
            <w:tcW w:w="2846" w:type="dxa"/>
          </w:tcPr>
          <w:p w:rsidR="00841D7F" w:rsidRDefault="008879E2" w:rsidP="00841D7F">
            <w:pPr>
              <w:pStyle w:val="Tabletext"/>
              <w:jc w:val="center"/>
              <w:cnfStyle w:val="000000000000"/>
            </w:pPr>
            <w:r>
              <w:t>Up to 431</w:t>
            </w:r>
          </w:p>
        </w:tc>
        <w:tc>
          <w:tcPr>
            <w:tcW w:w="2849" w:type="dxa"/>
          </w:tcPr>
          <w:p w:rsidR="00841D7F" w:rsidRDefault="008879E2" w:rsidP="00841D7F">
            <w:pPr>
              <w:pStyle w:val="Tabletext"/>
              <w:jc w:val="center"/>
              <w:cnfStyle w:val="000000000000"/>
            </w:pPr>
            <w:r>
              <w:t>Up to 396</w:t>
            </w:r>
          </w:p>
        </w:tc>
      </w:tr>
      <w:tr w:rsidR="00841D7F" w:rsidTr="00841D7F">
        <w:trPr>
          <w:divId w:val="2116826562"/>
        </w:trPr>
        <w:tc>
          <w:tcPr>
            <w:cnfStyle w:val="001000000000"/>
            <w:tcW w:w="2837" w:type="dxa"/>
          </w:tcPr>
          <w:p w:rsidR="00841D7F" w:rsidRDefault="00841D7F" w:rsidP="00841D7F">
            <w:pPr>
              <w:pStyle w:val="Tabletext"/>
            </w:pPr>
            <w:r>
              <w:t>Step 2</w:t>
            </w:r>
          </w:p>
        </w:tc>
        <w:tc>
          <w:tcPr>
            <w:tcW w:w="2846" w:type="dxa"/>
          </w:tcPr>
          <w:p w:rsidR="00841D7F" w:rsidRDefault="008879E2" w:rsidP="00841D7F">
            <w:pPr>
              <w:pStyle w:val="Tabletext"/>
              <w:jc w:val="center"/>
              <w:cnfStyle w:val="000000000000"/>
            </w:pPr>
            <w:r>
              <w:t>432-523</w:t>
            </w:r>
          </w:p>
        </w:tc>
        <w:tc>
          <w:tcPr>
            <w:tcW w:w="2849" w:type="dxa"/>
          </w:tcPr>
          <w:p w:rsidR="00841D7F" w:rsidRDefault="008879E2" w:rsidP="00841D7F">
            <w:pPr>
              <w:pStyle w:val="Tabletext"/>
              <w:jc w:val="center"/>
              <w:cnfStyle w:val="000000000000"/>
            </w:pPr>
            <w:r>
              <w:t>397-464</w:t>
            </w:r>
          </w:p>
        </w:tc>
      </w:tr>
      <w:tr w:rsidR="00841D7F" w:rsidTr="00841D7F">
        <w:trPr>
          <w:divId w:val="2116826562"/>
        </w:trPr>
        <w:tc>
          <w:tcPr>
            <w:cnfStyle w:val="001000000000"/>
            <w:tcW w:w="2837" w:type="dxa"/>
          </w:tcPr>
          <w:p w:rsidR="00841D7F" w:rsidRDefault="00841D7F" w:rsidP="00841D7F">
            <w:pPr>
              <w:pStyle w:val="Tabletext"/>
            </w:pPr>
            <w:r>
              <w:t>Step 3</w:t>
            </w:r>
          </w:p>
        </w:tc>
        <w:tc>
          <w:tcPr>
            <w:tcW w:w="2846" w:type="dxa"/>
          </w:tcPr>
          <w:p w:rsidR="00841D7F" w:rsidRDefault="008879E2" w:rsidP="00841D7F">
            <w:pPr>
              <w:pStyle w:val="Tabletext"/>
              <w:jc w:val="center"/>
              <w:cnfStyle w:val="000000000000"/>
            </w:pPr>
            <w:r>
              <w:t>524-608</w:t>
            </w:r>
          </w:p>
        </w:tc>
        <w:tc>
          <w:tcPr>
            <w:tcW w:w="2849" w:type="dxa"/>
          </w:tcPr>
          <w:p w:rsidR="00841D7F" w:rsidRDefault="008879E2" w:rsidP="00841D7F">
            <w:pPr>
              <w:pStyle w:val="Tabletext"/>
              <w:jc w:val="center"/>
              <w:cnfStyle w:val="000000000000"/>
            </w:pPr>
            <w:r>
              <w:t>465-528</w:t>
            </w:r>
          </w:p>
        </w:tc>
      </w:tr>
      <w:tr w:rsidR="00841D7F" w:rsidTr="00841D7F">
        <w:trPr>
          <w:divId w:val="2116826562"/>
        </w:trPr>
        <w:tc>
          <w:tcPr>
            <w:cnfStyle w:val="001000000000"/>
            <w:tcW w:w="2837" w:type="dxa"/>
          </w:tcPr>
          <w:p w:rsidR="00841D7F" w:rsidRDefault="00841D7F" w:rsidP="00841D7F">
            <w:pPr>
              <w:pStyle w:val="Tabletext"/>
            </w:pPr>
            <w:r>
              <w:t>Step 4</w:t>
            </w:r>
          </w:p>
        </w:tc>
        <w:tc>
          <w:tcPr>
            <w:tcW w:w="2846" w:type="dxa"/>
          </w:tcPr>
          <w:p w:rsidR="00841D7F" w:rsidRDefault="008879E2" w:rsidP="00841D7F">
            <w:pPr>
              <w:pStyle w:val="Tabletext"/>
              <w:jc w:val="center"/>
              <w:cnfStyle w:val="000000000000"/>
            </w:pPr>
            <w:r>
              <w:t>609-681</w:t>
            </w:r>
          </w:p>
        </w:tc>
        <w:tc>
          <w:tcPr>
            <w:tcW w:w="2849" w:type="dxa"/>
          </w:tcPr>
          <w:p w:rsidR="00841D7F" w:rsidRDefault="008879E2" w:rsidP="00841D7F">
            <w:pPr>
              <w:pStyle w:val="Tabletext"/>
              <w:jc w:val="center"/>
              <w:cnfStyle w:val="000000000000"/>
            </w:pPr>
            <w:r>
              <w:t>529-603</w:t>
            </w:r>
          </w:p>
        </w:tc>
      </w:tr>
      <w:tr w:rsidR="00841D7F" w:rsidTr="00841D7F">
        <w:trPr>
          <w:divId w:val="2116826562"/>
        </w:trPr>
        <w:tc>
          <w:tcPr>
            <w:cnfStyle w:val="001000000000"/>
            <w:tcW w:w="2837" w:type="dxa"/>
          </w:tcPr>
          <w:p w:rsidR="00841D7F" w:rsidRDefault="00841D7F" w:rsidP="00841D7F">
            <w:pPr>
              <w:pStyle w:val="Tabletext"/>
            </w:pPr>
            <w:r>
              <w:t>Step 5</w:t>
            </w:r>
          </w:p>
        </w:tc>
        <w:tc>
          <w:tcPr>
            <w:tcW w:w="2846" w:type="dxa"/>
          </w:tcPr>
          <w:p w:rsidR="00841D7F" w:rsidRDefault="008879E2" w:rsidP="00841D7F">
            <w:pPr>
              <w:pStyle w:val="Tabletext"/>
              <w:jc w:val="center"/>
              <w:cnfStyle w:val="000000000000"/>
            </w:pPr>
            <w:r>
              <w:t>682-738</w:t>
            </w:r>
          </w:p>
        </w:tc>
        <w:tc>
          <w:tcPr>
            <w:tcW w:w="2849" w:type="dxa"/>
          </w:tcPr>
          <w:p w:rsidR="00841D7F" w:rsidRDefault="008879E2" w:rsidP="00841D7F">
            <w:pPr>
              <w:pStyle w:val="Tabletext"/>
              <w:jc w:val="center"/>
              <w:cnfStyle w:val="000000000000"/>
            </w:pPr>
            <w:r>
              <w:t>604-689</w:t>
            </w:r>
          </w:p>
        </w:tc>
      </w:tr>
      <w:tr w:rsidR="00841D7F" w:rsidTr="00841D7F">
        <w:trPr>
          <w:divId w:val="2116826562"/>
        </w:trPr>
        <w:tc>
          <w:tcPr>
            <w:cnfStyle w:val="001000000000"/>
            <w:tcW w:w="2837" w:type="dxa"/>
          </w:tcPr>
          <w:p w:rsidR="00841D7F" w:rsidRDefault="00841D7F" w:rsidP="00841D7F">
            <w:pPr>
              <w:pStyle w:val="Tabletext"/>
            </w:pPr>
            <w:r>
              <w:t>Step 6</w:t>
            </w:r>
          </w:p>
        </w:tc>
        <w:tc>
          <w:tcPr>
            <w:tcW w:w="2846" w:type="dxa"/>
          </w:tcPr>
          <w:p w:rsidR="00841D7F" w:rsidRDefault="008879E2" w:rsidP="00841D7F">
            <w:pPr>
              <w:pStyle w:val="Tabletext"/>
              <w:jc w:val="center"/>
              <w:cnfStyle w:val="000000000000"/>
            </w:pPr>
            <w:r>
              <w:t>739</w:t>
            </w:r>
            <w:r w:rsidR="00841D7F">
              <w:t xml:space="preserve"> and over</w:t>
            </w:r>
          </w:p>
        </w:tc>
        <w:tc>
          <w:tcPr>
            <w:tcW w:w="2849" w:type="dxa"/>
          </w:tcPr>
          <w:p w:rsidR="00841D7F" w:rsidRDefault="00841D7F" w:rsidP="00841D7F">
            <w:pPr>
              <w:pStyle w:val="Tabletext"/>
              <w:jc w:val="center"/>
              <w:cnfStyle w:val="000000000000"/>
            </w:pPr>
            <w:r>
              <w:t>690 and over</w:t>
            </w:r>
          </w:p>
        </w:tc>
      </w:tr>
    </w:tbl>
    <w:p w:rsidR="00841D7F" w:rsidRDefault="008879E2" w:rsidP="008879E2">
      <w:pPr>
        <w:pStyle w:val="Note"/>
        <w:divId w:val="2116826562"/>
      </w:pPr>
      <w:r>
        <w:t xml:space="preserve">Note: the numeracy ranges were adjusted in mid-2012. These adjustments were not incorporated in Lane </w:t>
      </w:r>
      <w:r w:rsidR="009708E0">
        <w:fldChar w:fldCharType="begin" w:fldLock="1"/>
      </w:r>
      <w:r>
        <w:instrText>ADDIN CSL_CITATION { "citationItems" : [ { "id" : "ITEM-1", "itemData" : { "ISBN" : "9780478406054", "author" : [ { "dropping-particle" : "", "family" : "Lane", "given" : "Chris", "non-dropping-particle" : "", "parse-names" : false, "suffix" : "" } ], "id" : "ITEM-1", "issued" : { "date-parts" : [ [ "2012" ] ] }, "publisher" : "Ministry of Education", "publisher-place" : "Wellington", "title" : "Assessing skills of adult learners in 2011: profiling skills and learning using the Literacy and Numeracy for Adults Assessment Tool", "type" : "book" }, "suppress-author" : 1, "uris" : [ "http://www.mendeley.com/documents/?uuid=52a826a8-3e64-4389-81c1-b5d1fdf65ba2" ] } ], "mendeley" : { "previouslyFormattedCitation" : "(2012)" }, "properties" : { "noteIndex" : 0 }, "schema" : "https://github.com/citation-style-language/schema/raw/master/csl-citation.json" }</w:instrText>
      </w:r>
      <w:r w:rsidR="009708E0">
        <w:fldChar w:fldCharType="separate"/>
      </w:r>
      <w:r w:rsidRPr="008879E2">
        <w:rPr>
          <w:noProof/>
        </w:rPr>
        <w:t>(2012)</w:t>
      </w:r>
      <w:r w:rsidR="009708E0">
        <w:fldChar w:fldCharType="end"/>
      </w:r>
      <w:r>
        <w:t>.</w:t>
      </w:r>
    </w:p>
    <w:p w:rsidR="006F6B12" w:rsidRDefault="006F6B12" w:rsidP="006F6B12">
      <w:pPr>
        <w:pStyle w:val="Caption"/>
        <w:divId w:val="2116826562"/>
      </w:pPr>
      <w:bookmarkStart w:id="14" w:name="_Ref381192716"/>
      <w:r>
        <w:t xml:space="preserve">Table </w:t>
      </w:r>
      <w:fldSimple w:instr=" SEQ Table \* ARABIC ">
        <w:r w:rsidR="00E333BF">
          <w:rPr>
            <w:noProof/>
          </w:rPr>
          <w:t>7</w:t>
        </w:r>
      </w:fldSimple>
      <w:bookmarkEnd w:id="14"/>
    </w:p>
    <w:p w:rsidR="006F6B12" w:rsidRPr="006F6B12" w:rsidRDefault="006F6B12" w:rsidP="006F6B12">
      <w:pPr>
        <w:pStyle w:val="Tablelabel"/>
        <w:divId w:val="2116826562"/>
      </w:pPr>
      <w:r>
        <w:t xml:space="preserve">Conversion of Assessment Tool </w:t>
      </w:r>
      <w:r w:rsidR="00B842B5">
        <w:t>step</w:t>
      </w:r>
      <w:r>
        <w:t xml:space="preserve"> to ALL </w:t>
      </w:r>
      <w:r w:rsidR="00B842B5">
        <w:t>scale scores</w:t>
      </w:r>
    </w:p>
    <w:tbl>
      <w:tblPr>
        <w:tblStyle w:val="TableMOE4"/>
        <w:tblW w:w="0" w:type="auto"/>
        <w:tblLook w:val="04A0"/>
      </w:tblPr>
      <w:tblGrid>
        <w:gridCol w:w="1985"/>
        <w:gridCol w:w="2225"/>
        <w:gridCol w:w="2552"/>
      </w:tblGrid>
      <w:tr w:rsidR="009325B9" w:rsidTr="008879E2">
        <w:trPr>
          <w:cnfStyle w:val="100000000000"/>
          <w:divId w:val="2116826562"/>
        </w:trPr>
        <w:tc>
          <w:tcPr>
            <w:cnfStyle w:val="001000000000"/>
            <w:tcW w:w="1985" w:type="dxa"/>
          </w:tcPr>
          <w:p w:rsidR="009325B9" w:rsidRDefault="009325B9" w:rsidP="009325B9">
            <w:pPr>
              <w:pStyle w:val="Tableheading"/>
            </w:pPr>
          </w:p>
        </w:tc>
        <w:tc>
          <w:tcPr>
            <w:tcW w:w="4777" w:type="dxa"/>
            <w:gridSpan w:val="2"/>
          </w:tcPr>
          <w:p w:rsidR="009325B9" w:rsidRDefault="00B842B5" w:rsidP="009325B9">
            <w:pPr>
              <w:pStyle w:val="Tableheading"/>
              <w:cnfStyle w:val="100000000000"/>
            </w:pPr>
            <w:r>
              <w:t>ALL survey</w:t>
            </w:r>
            <w:r w:rsidR="009325B9">
              <w:t xml:space="preserve"> scale scores</w:t>
            </w:r>
          </w:p>
        </w:tc>
      </w:tr>
      <w:tr w:rsidR="0045369C" w:rsidTr="008879E2">
        <w:trPr>
          <w:divId w:val="2116826562"/>
        </w:trPr>
        <w:tc>
          <w:tcPr>
            <w:cnfStyle w:val="001000000000"/>
            <w:tcW w:w="1985" w:type="dxa"/>
          </w:tcPr>
          <w:p w:rsidR="0045369C" w:rsidRDefault="008879E2" w:rsidP="008879E2">
            <w:pPr>
              <w:pStyle w:val="Tableheading"/>
              <w:jc w:val="left"/>
            </w:pPr>
            <w:r>
              <w:t>Assessment Tool Step</w:t>
            </w:r>
          </w:p>
        </w:tc>
        <w:tc>
          <w:tcPr>
            <w:tcW w:w="2225" w:type="dxa"/>
          </w:tcPr>
          <w:p w:rsidR="0045369C" w:rsidRDefault="0045369C" w:rsidP="009325B9">
            <w:pPr>
              <w:pStyle w:val="Tableheading"/>
              <w:cnfStyle w:val="000000000000"/>
            </w:pPr>
            <w:r>
              <w:t>Reading to Document literacy</w:t>
            </w:r>
          </w:p>
        </w:tc>
        <w:tc>
          <w:tcPr>
            <w:tcW w:w="2552" w:type="dxa"/>
          </w:tcPr>
          <w:p w:rsidR="0045369C" w:rsidRDefault="0045369C" w:rsidP="009325B9">
            <w:pPr>
              <w:pStyle w:val="Tableheading"/>
              <w:cnfStyle w:val="000000000000"/>
            </w:pPr>
            <w:r>
              <w:t>General Numeracy to Numeracy</w:t>
            </w:r>
          </w:p>
        </w:tc>
      </w:tr>
      <w:tr w:rsidR="008879E2" w:rsidTr="008879E2">
        <w:trPr>
          <w:divId w:val="2116826562"/>
        </w:trPr>
        <w:tc>
          <w:tcPr>
            <w:cnfStyle w:val="001000000000"/>
            <w:tcW w:w="1985" w:type="dxa"/>
          </w:tcPr>
          <w:p w:rsidR="008879E2" w:rsidRDefault="008879E2" w:rsidP="008879E2">
            <w:pPr>
              <w:pStyle w:val="Tabletext"/>
            </w:pPr>
            <w:r>
              <w:t>Step 1</w:t>
            </w:r>
          </w:p>
        </w:tc>
        <w:tc>
          <w:tcPr>
            <w:tcW w:w="2225" w:type="dxa"/>
          </w:tcPr>
          <w:p w:rsidR="008879E2" w:rsidRDefault="008879E2" w:rsidP="00EF2BC6">
            <w:pPr>
              <w:pStyle w:val="Tabletext"/>
              <w:jc w:val="center"/>
              <w:cnfStyle w:val="000000000000"/>
            </w:pPr>
            <w:r>
              <w:t xml:space="preserve">Up to </w:t>
            </w:r>
            <w:r w:rsidR="00EF2BC6">
              <w:t>191</w:t>
            </w:r>
          </w:p>
        </w:tc>
        <w:tc>
          <w:tcPr>
            <w:tcW w:w="2552" w:type="dxa"/>
          </w:tcPr>
          <w:p w:rsidR="008879E2" w:rsidRDefault="008879E2" w:rsidP="000916D4">
            <w:pPr>
              <w:pStyle w:val="Tabletext"/>
              <w:jc w:val="center"/>
              <w:cnfStyle w:val="000000000000"/>
            </w:pPr>
            <w:r>
              <w:t xml:space="preserve">Up to </w:t>
            </w:r>
            <w:r w:rsidR="000916D4">
              <w:t>168</w:t>
            </w:r>
          </w:p>
        </w:tc>
      </w:tr>
      <w:tr w:rsidR="008879E2" w:rsidTr="008879E2">
        <w:trPr>
          <w:divId w:val="2116826562"/>
        </w:trPr>
        <w:tc>
          <w:tcPr>
            <w:cnfStyle w:val="001000000000"/>
            <w:tcW w:w="1985" w:type="dxa"/>
          </w:tcPr>
          <w:p w:rsidR="008879E2" w:rsidRDefault="008879E2" w:rsidP="008879E2">
            <w:pPr>
              <w:pStyle w:val="Tabletext"/>
            </w:pPr>
            <w:r>
              <w:t>Step 2</w:t>
            </w:r>
          </w:p>
        </w:tc>
        <w:tc>
          <w:tcPr>
            <w:tcW w:w="2225" w:type="dxa"/>
          </w:tcPr>
          <w:p w:rsidR="008879E2" w:rsidRDefault="00EF2BC6" w:rsidP="00EF2BC6">
            <w:pPr>
              <w:pStyle w:val="Tabletext"/>
              <w:jc w:val="center"/>
              <w:cnfStyle w:val="000000000000"/>
            </w:pPr>
            <w:r>
              <w:t>192</w:t>
            </w:r>
            <w:r w:rsidR="008879E2">
              <w:t xml:space="preserve"> - </w:t>
            </w:r>
            <w:r>
              <w:t>224</w:t>
            </w:r>
          </w:p>
        </w:tc>
        <w:tc>
          <w:tcPr>
            <w:tcW w:w="2552" w:type="dxa"/>
          </w:tcPr>
          <w:p w:rsidR="008879E2" w:rsidRDefault="000916D4" w:rsidP="009325B9">
            <w:pPr>
              <w:pStyle w:val="Tabletext"/>
              <w:jc w:val="center"/>
              <w:cnfStyle w:val="000000000000"/>
            </w:pPr>
            <w:r>
              <w:t>169 - 191</w:t>
            </w:r>
          </w:p>
        </w:tc>
      </w:tr>
      <w:tr w:rsidR="008879E2" w:rsidTr="008879E2">
        <w:trPr>
          <w:divId w:val="2116826562"/>
        </w:trPr>
        <w:tc>
          <w:tcPr>
            <w:cnfStyle w:val="001000000000"/>
            <w:tcW w:w="1985" w:type="dxa"/>
          </w:tcPr>
          <w:p w:rsidR="008879E2" w:rsidRDefault="008879E2" w:rsidP="008879E2">
            <w:pPr>
              <w:pStyle w:val="Tabletext"/>
            </w:pPr>
            <w:r>
              <w:t>Step 3</w:t>
            </w:r>
          </w:p>
        </w:tc>
        <w:tc>
          <w:tcPr>
            <w:tcW w:w="2225" w:type="dxa"/>
          </w:tcPr>
          <w:p w:rsidR="008879E2" w:rsidRDefault="00EF2BC6" w:rsidP="00EF2BC6">
            <w:pPr>
              <w:pStyle w:val="Tabletext"/>
              <w:jc w:val="center"/>
              <w:cnfStyle w:val="000000000000"/>
            </w:pPr>
            <w:r>
              <w:t xml:space="preserve">225 </w:t>
            </w:r>
            <w:r w:rsidR="008879E2">
              <w:t>-</w:t>
            </w:r>
            <w:r>
              <w:t xml:space="preserve"> 254</w:t>
            </w:r>
          </w:p>
        </w:tc>
        <w:tc>
          <w:tcPr>
            <w:tcW w:w="2552" w:type="dxa"/>
          </w:tcPr>
          <w:p w:rsidR="008879E2" w:rsidRDefault="000916D4" w:rsidP="009325B9">
            <w:pPr>
              <w:pStyle w:val="Tabletext"/>
              <w:jc w:val="center"/>
              <w:cnfStyle w:val="000000000000"/>
            </w:pPr>
            <w:r>
              <w:t>192 - 213</w:t>
            </w:r>
          </w:p>
        </w:tc>
      </w:tr>
      <w:tr w:rsidR="008879E2" w:rsidTr="008879E2">
        <w:trPr>
          <w:divId w:val="2116826562"/>
        </w:trPr>
        <w:tc>
          <w:tcPr>
            <w:cnfStyle w:val="001000000000"/>
            <w:tcW w:w="1985" w:type="dxa"/>
          </w:tcPr>
          <w:p w:rsidR="008879E2" w:rsidRDefault="008879E2" w:rsidP="008879E2">
            <w:pPr>
              <w:pStyle w:val="Tabletext"/>
            </w:pPr>
            <w:r>
              <w:t>Step 4</w:t>
            </w:r>
          </w:p>
        </w:tc>
        <w:tc>
          <w:tcPr>
            <w:tcW w:w="2225" w:type="dxa"/>
          </w:tcPr>
          <w:p w:rsidR="008879E2" w:rsidRDefault="00EF2BC6" w:rsidP="00EF2BC6">
            <w:pPr>
              <w:pStyle w:val="Tabletext"/>
              <w:jc w:val="center"/>
              <w:cnfStyle w:val="000000000000"/>
            </w:pPr>
            <w:r>
              <w:t>255</w:t>
            </w:r>
            <w:r w:rsidR="008879E2">
              <w:t xml:space="preserve"> - </w:t>
            </w:r>
            <w:r>
              <w:t>280</w:t>
            </w:r>
          </w:p>
        </w:tc>
        <w:tc>
          <w:tcPr>
            <w:tcW w:w="2552" w:type="dxa"/>
          </w:tcPr>
          <w:p w:rsidR="008879E2" w:rsidRDefault="000916D4" w:rsidP="009325B9">
            <w:pPr>
              <w:pStyle w:val="Tabletext"/>
              <w:jc w:val="center"/>
              <w:cnfStyle w:val="000000000000"/>
            </w:pPr>
            <w:r>
              <w:t>214 - 238</w:t>
            </w:r>
          </w:p>
        </w:tc>
      </w:tr>
      <w:tr w:rsidR="008879E2" w:rsidTr="008879E2">
        <w:trPr>
          <w:divId w:val="2116826562"/>
        </w:trPr>
        <w:tc>
          <w:tcPr>
            <w:cnfStyle w:val="001000000000"/>
            <w:tcW w:w="1985" w:type="dxa"/>
          </w:tcPr>
          <w:p w:rsidR="008879E2" w:rsidRDefault="008879E2" w:rsidP="008879E2">
            <w:pPr>
              <w:pStyle w:val="Tabletext"/>
            </w:pPr>
            <w:r>
              <w:t>Step 5</w:t>
            </w:r>
          </w:p>
        </w:tc>
        <w:tc>
          <w:tcPr>
            <w:tcW w:w="2225" w:type="dxa"/>
          </w:tcPr>
          <w:p w:rsidR="008879E2" w:rsidRDefault="00EF2BC6" w:rsidP="009325B9">
            <w:pPr>
              <w:pStyle w:val="Tabletext"/>
              <w:jc w:val="center"/>
              <w:cnfStyle w:val="000000000000"/>
            </w:pPr>
            <w:r>
              <w:t>281 - 300</w:t>
            </w:r>
          </w:p>
        </w:tc>
        <w:tc>
          <w:tcPr>
            <w:tcW w:w="2552" w:type="dxa"/>
          </w:tcPr>
          <w:p w:rsidR="008879E2" w:rsidRDefault="000916D4" w:rsidP="009325B9">
            <w:pPr>
              <w:pStyle w:val="Tabletext"/>
              <w:jc w:val="center"/>
              <w:cnfStyle w:val="000000000000"/>
            </w:pPr>
            <w:r>
              <w:t>239 - 266</w:t>
            </w:r>
          </w:p>
        </w:tc>
      </w:tr>
      <w:tr w:rsidR="008879E2" w:rsidTr="008879E2">
        <w:trPr>
          <w:divId w:val="2116826562"/>
        </w:trPr>
        <w:tc>
          <w:tcPr>
            <w:cnfStyle w:val="001000000000"/>
            <w:tcW w:w="1985" w:type="dxa"/>
          </w:tcPr>
          <w:p w:rsidR="008879E2" w:rsidRDefault="008879E2" w:rsidP="008879E2">
            <w:pPr>
              <w:pStyle w:val="Tabletext"/>
            </w:pPr>
            <w:r>
              <w:t>Step 6</w:t>
            </w:r>
          </w:p>
        </w:tc>
        <w:tc>
          <w:tcPr>
            <w:tcW w:w="2225" w:type="dxa"/>
          </w:tcPr>
          <w:p w:rsidR="008879E2" w:rsidRDefault="00EF2BC6" w:rsidP="009325B9">
            <w:pPr>
              <w:pStyle w:val="Tabletext"/>
              <w:jc w:val="center"/>
              <w:cnfStyle w:val="000000000000"/>
            </w:pPr>
            <w:r>
              <w:t>301 and over</w:t>
            </w:r>
          </w:p>
        </w:tc>
        <w:tc>
          <w:tcPr>
            <w:tcW w:w="2552" w:type="dxa"/>
          </w:tcPr>
          <w:p w:rsidR="008879E2" w:rsidRDefault="000916D4" w:rsidP="009325B9">
            <w:pPr>
              <w:pStyle w:val="Tabletext"/>
              <w:jc w:val="center"/>
              <w:cnfStyle w:val="000000000000"/>
            </w:pPr>
            <w:r>
              <w:t>267 and over</w:t>
            </w:r>
          </w:p>
        </w:tc>
      </w:tr>
    </w:tbl>
    <w:p w:rsidR="0045369C" w:rsidRPr="00841D7F" w:rsidRDefault="0045369C" w:rsidP="00841D7F">
      <w:pPr>
        <w:pStyle w:val="BodyText"/>
        <w:divId w:val="2116826562"/>
      </w:pPr>
    </w:p>
    <w:p w:rsidR="00767E52" w:rsidRDefault="00F12304" w:rsidP="006F6B12">
      <w:pPr>
        <w:pStyle w:val="BodyText"/>
      </w:pPr>
      <w:proofErr w:type="gramStart"/>
      <w:r>
        <w:t>Document(</w:t>
      </w:r>
      <w:proofErr w:type="gramEnd"/>
      <w:r>
        <w:t>ALL)</w:t>
      </w:r>
      <w:r w:rsidR="0061198F">
        <w:t xml:space="preserve"> = </w:t>
      </w:r>
      <w:r>
        <w:t>39.52</w:t>
      </w:r>
      <w:r w:rsidR="0061198F">
        <w:t xml:space="preserve"> + </w:t>
      </w:r>
      <w:r>
        <w:t>0.353</w:t>
      </w:r>
      <w:r w:rsidR="0061198F">
        <w:t>*</w:t>
      </w:r>
      <w:r w:rsidRPr="00F12304">
        <w:t xml:space="preserve"> </w:t>
      </w:r>
      <w:r>
        <w:t>Reading(AT)</w:t>
      </w:r>
    </w:p>
    <w:p w:rsidR="0061198F" w:rsidRDefault="00EF2BC6" w:rsidP="006F6B12">
      <w:pPr>
        <w:pStyle w:val="BodyText"/>
      </w:pPr>
      <w:proofErr w:type="gramStart"/>
      <w:r>
        <w:t>Numeracy(</w:t>
      </w:r>
      <w:proofErr w:type="gramEnd"/>
      <w:r>
        <w:t>ALL)</w:t>
      </w:r>
      <w:r w:rsidR="0061198F">
        <w:t xml:space="preserve"> = </w:t>
      </w:r>
      <w:r>
        <w:t>36.51</w:t>
      </w:r>
      <w:r w:rsidR="007F5783">
        <w:t xml:space="preserve"> + </w:t>
      </w:r>
      <w:r>
        <w:t>0.335</w:t>
      </w:r>
      <w:r w:rsidR="0061198F">
        <w:t>*</w:t>
      </w:r>
      <w:r w:rsidRPr="00EF2BC6">
        <w:t xml:space="preserve"> </w:t>
      </w:r>
      <w:r>
        <w:t>Numeracy(AT)</w:t>
      </w:r>
    </w:p>
    <w:p w:rsidR="00EF2BC6" w:rsidRDefault="00EF2BC6">
      <w:pPr>
        <w:pStyle w:val="BodyText"/>
      </w:pPr>
    </w:p>
    <w:sectPr w:rsidR="00EF2BC6" w:rsidSect="00205A50">
      <w:headerReference w:type="even" r:id="rId48"/>
      <w:headerReference w:type="default" r:id="rId49"/>
      <w:footerReference w:type="even" r:id="rId50"/>
      <w:footerReference w:type="default" r:id="rId51"/>
      <w:pgSz w:w="11906" w:h="16838" w:code="9"/>
      <w:pgMar w:top="1418" w:right="1701" w:bottom="1418" w:left="1701" w:header="709" w:footer="709"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Data r:id="rId1"/>
  </wne:toolbars>
  <wne:acds>
    <wne:acd wne:argValue="SwBlAHkAUABvAGkAbgB0AFQAYQBiAGwAZQA=" wne:acdName="acd0" wne:fciIndexBasedOn="0211"/>
    <wne:acd wne:argValue="AQAAAEIA" wne:acdName="acd1" wne:fciIndexBasedOn="0065"/>
    <wne:acd wne:argValue="AgBCAHUAbABsAGUAdAAgADEA" wne:acdName="acd2" wne:fciIndexBasedOn="0065"/>
    <wne:acd wne:argValue="AgBCAHUAbABsAGUAdAAgADIAIABuAG8AIABzAHAAYQBjAGUA" wne:acdName="acd3" wne:fciIndexBasedOn="0065"/>
    <wne:acd wne:argValue="AgBBAHAAcABlAG4AZABpAHgA" wne:acdName="acd4" wne:fciIndexBasedOn="0065"/>
    <wne:acd wne:argValue="AgBGAGkAZwB1AHIAZQAgAGwAYQBiAGUAbAA=" wne:acdName="acd5" wne:fciIndexBasedOn="0065"/>
    <wne:acd wne:argValue="AgBIAGUAYQBkAGkAbgBnAA==" wne:acdName="acd6" wne:fciIndexBasedOn="0065"/>
    <wne:acd wne:argValue="AQAAAAEA" wne:acdName="acd7" wne:fciIndexBasedOn="0065"/>
    <wne:acd wne:argValue="AQAAAAIA" wne:acdName="acd8" wne:fciIndexBasedOn="0065"/>
    <wne:acd wne:argValue="AQAAAAMA" wne:acdName="acd9" wne:fciIndexBasedOn="0065"/>
    <wne:acd wne:argValue="AQAAAAQA" wne:acdName="acd10" wne:fciIndexBasedOn="0065"/>
    <wne:acd wne:argValue="AgBSAGUAZgBlAHIAZQBuAGMAZQAgAHQAZQB4AHQA" wne:acdName="acd11" wne:fciIndexBasedOn="0065"/>
    <wne:acd wne:argValue="AgBIAGUAYQBkAGkAbgBnACAAMgBhAA==" wne:acdName="acd12" wne:fciIndexBasedOn="0065"/>
    <wne:acd wne:argValue="AgBIAGUAYQBkAGkAbgBnACAAMQBBAA==" wne:acdName="acd13" wne:fciIndexBasedOn="0065"/>
    <wne:acd wne:argValue="AgBOAG8AdABlAA==" wne:acdName="acd14" wne:fciIndexBasedOn="0065"/>
    <wne:acd wne:argValue="AgBIAGUAYQBkAGkAbgBnACAAMQBCACAAKABuAG8AdAAgAGkAbgAgAFQATwBDACkA" wne:acdName="acd15" wne:fciIndexBasedOn="0065"/>
    <wne:acd wne:argValue="AgBUAGEAYgBsAGUAIAB0AGUAeAB0AA==" wne:acdName="acd16" wne:fciIndexBasedOn="0065"/>
    <wne:acd wne:argValue="AgBUAGEAYgBsAGUAIABsAGEAYgBlAGwA" wne:acdName="acd17" wne:fciIndexBasedOn="0065"/>
    <wne:acd wne:argValue="AgBUAGEAYgBsAGUAIABoAGUAYQBkAGkAbgBnA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2B5" w:rsidRDefault="00B842B5" w:rsidP="00326930">
      <w:r>
        <w:separator/>
      </w:r>
    </w:p>
  </w:endnote>
  <w:endnote w:type="continuationSeparator" w:id="0">
    <w:p w:rsidR="00B842B5" w:rsidRDefault="00B842B5" w:rsidP="003269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79" w:rsidRDefault="003477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2B5" w:rsidRDefault="009708E0">
    <w:pPr>
      <w:pStyle w:val="Footer"/>
    </w:pPr>
    <w:r w:rsidRPr="009708E0">
      <w:rPr>
        <w:noProof/>
        <w:lang w:val="en-GB" w:eastAsia="en-GB"/>
      </w:rPr>
      <w:pict>
        <v:shapetype id="_x0000_t202" coordsize="21600,21600" o:spt="202" path="m,l,21600r21600,l21600,xe">
          <v:stroke joinstyle="miter"/>
          <v:path gradientshapeok="t" o:connecttype="rect"/>
        </v:shapetype>
        <v:shape id="_x0000_s2087" type="#_x0000_t202" style="position:absolute;margin-left:180pt;margin-top:-2.75pt;width:306pt;height:27pt;z-index:251658752" filled="f" stroked="f">
          <v:textbox>
            <w:txbxContent>
              <w:p w:rsidR="00B842B5" w:rsidRPr="009E4CB6" w:rsidRDefault="00B842B5" w:rsidP="009E4CB6">
                <w:pPr>
                  <w:jc w:val="right"/>
                  <w:rPr>
                    <w:rFonts w:ascii="Arial" w:hAnsi="Arial" w:cs="Arial"/>
                    <w:sz w:val="28"/>
                    <w:szCs w:val="28"/>
                  </w:rPr>
                </w:pPr>
                <w:r w:rsidRPr="009E4CB6">
                  <w:rPr>
                    <w:rFonts w:ascii="Arial" w:hAnsi="Arial" w:cs="Arial"/>
                    <w:sz w:val="28"/>
                    <w:szCs w:val="28"/>
                  </w:rPr>
                  <w:t>Tertiary education occasional paper</w:t>
                </w:r>
                <w:r w:rsidR="00347779">
                  <w:rPr>
                    <w:rFonts w:ascii="Arial" w:hAnsi="Arial" w:cs="Arial"/>
                    <w:sz w:val="28"/>
                    <w:szCs w:val="28"/>
                  </w:rPr>
                  <w:t xml:space="preserve"> 2014/0</w:t>
                </w:r>
                <w:r w:rsidR="006B1665">
                  <w:rPr>
                    <w:rFonts w:ascii="Arial" w:hAnsi="Arial" w:cs="Arial"/>
                    <w:sz w:val="28"/>
                    <w:szCs w:val="28"/>
                  </w:rPr>
                  <w:t>1</w:t>
                </w:r>
              </w:p>
            </w:txbxContent>
          </v:textbox>
        </v:shape>
      </w:pict>
    </w:r>
    <w:r w:rsidRPr="009708E0">
      <w:rPr>
        <w:noProof/>
        <w:lang w:val="en-GB" w:eastAsia="en-GB"/>
      </w:rPr>
      <w:pict>
        <v:line id="_x0000_s2086" style="position:absolute;z-index:251657728" from="-89.85pt,-29.75pt" to="513.15pt,-29.75pt" strokecolor="gray" strokeweight="2.5pt"/>
      </w:pict>
    </w:r>
    <w:r w:rsidR="00B842B5">
      <w:rPr>
        <w:noProof/>
        <w:lang w:eastAsia="en-NZ"/>
      </w:rPr>
      <w:drawing>
        <wp:anchor distT="0" distB="0" distL="114300" distR="114300" simplePos="0" relativeHeight="251655680" behindDoc="1" locked="0" layoutInCell="1" allowOverlap="1">
          <wp:simplePos x="0" y="0"/>
          <wp:positionH relativeFrom="column">
            <wp:posOffset>-457200</wp:posOffset>
          </wp:positionH>
          <wp:positionV relativeFrom="paragraph">
            <wp:posOffset>77470</wp:posOffset>
          </wp:positionV>
          <wp:extent cx="1371600" cy="144780"/>
          <wp:effectExtent l="19050" t="0" r="0" b="0"/>
          <wp:wrapNone/>
          <wp:docPr id="36" name="Picture 36" descr="newzealand-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ewzealand-government"/>
                  <pic:cNvPicPr>
                    <a:picLocks noChangeAspect="1" noChangeArrowheads="1"/>
                  </pic:cNvPicPr>
                </pic:nvPicPr>
                <pic:blipFill>
                  <a:blip r:embed="rId1"/>
                  <a:srcRect/>
                  <a:stretch>
                    <a:fillRect/>
                  </a:stretch>
                </pic:blipFill>
                <pic:spPr bwMode="auto">
                  <a:xfrm>
                    <a:off x="0" y="0"/>
                    <a:ext cx="1371600" cy="14478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79" w:rsidRDefault="0034777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2B5" w:rsidRDefault="009708E0" w:rsidP="008B47B3">
    <w:pPr>
      <w:pStyle w:val="Footer"/>
      <w:framePr w:wrap="around" w:vAnchor="text" w:hAnchor="margin" w:xAlign="outside" w:y="1"/>
      <w:rPr>
        <w:rStyle w:val="PageNumber"/>
      </w:rPr>
    </w:pPr>
    <w:r>
      <w:rPr>
        <w:rStyle w:val="PageNumber"/>
      </w:rPr>
      <w:fldChar w:fldCharType="begin"/>
    </w:r>
    <w:r w:rsidR="00B842B5">
      <w:rPr>
        <w:rStyle w:val="PageNumber"/>
      </w:rPr>
      <w:instrText xml:space="preserve">PAGE  </w:instrText>
    </w:r>
    <w:r>
      <w:rPr>
        <w:rStyle w:val="PageNumber"/>
      </w:rPr>
      <w:fldChar w:fldCharType="separate"/>
    </w:r>
    <w:r w:rsidR="006B1665">
      <w:rPr>
        <w:rStyle w:val="PageNumber"/>
        <w:noProof/>
      </w:rPr>
      <w:t>14</w:t>
    </w:r>
    <w:r>
      <w:rPr>
        <w:rStyle w:val="PageNumber"/>
      </w:rPr>
      <w:fldChar w:fldCharType="end"/>
    </w:r>
  </w:p>
  <w:p w:rsidR="00B842B5" w:rsidRPr="00897DD0" w:rsidRDefault="00B842B5" w:rsidP="00205A50">
    <w:pPr>
      <w:pStyle w:val="FooterEvenPage"/>
      <w:ind w:right="360" w:firstLine="360"/>
    </w:pPr>
    <w:r w:rsidRPr="00205A50">
      <w:rPr>
        <w:b/>
      </w:rPr>
      <w:t>Ministry of Education</w:t>
    </w:r>
    <w:r>
      <w:tab/>
    </w:r>
    <w:fldSimple w:instr=" REF  ReportTitle ">
      <w:r w:rsidR="00E333BF">
        <w:t>Measures of Adult Literacy and Numeracy</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2B5" w:rsidRDefault="009708E0" w:rsidP="008B47B3">
    <w:pPr>
      <w:pStyle w:val="Footer"/>
      <w:framePr w:wrap="around" w:vAnchor="text" w:hAnchor="margin" w:xAlign="outside" w:y="1"/>
      <w:rPr>
        <w:rStyle w:val="PageNumber"/>
      </w:rPr>
    </w:pPr>
    <w:r>
      <w:rPr>
        <w:rStyle w:val="PageNumber"/>
      </w:rPr>
      <w:fldChar w:fldCharType="begin"/>
    </w:r>
    <w:r w:rsidR="00B842B5">
      <w:rPr>
        <w:rStyle w:val="PageNumber"/>
      </w:rPr>
      <w:instrText xml:space="preserve">PAGE  </w:instrText>
    </w:r>
    <w:r>
      <w:rPr>
        <w:rStyle w:val="PageNumber"/>
      </w:rPr>
      <w:fldChar w:fldCharType="separate"/>
    </w:r>
    <w:r w:rsidR="006B1665">
      <w:rPr>
        <w:rStyle w:val="PageNumber"/>
        <w:noProof/>
      </w:rPr>
      <w:t>15</w:t>
    </w:r>
    <w:r>
      <w:rPr>
        <w:rStyle w:val="PageNumber"/>
      </w:rPr>
      <w:fldChar w:fldCharType="end"/>
    </w:r>
  </w:p>
  <w:p w:rsidR="00B842B5" w:rsidRPr="0010602C" w:rsidRDefault="009708E0" w:rsidP="00205A50">
    <w:pPr>
      <w:pStyle w:val="FooterOddPage"/>
      <w:ind w:firstLine="360"/>
    </w:pPr>
    <w:fldSimple w:instr=" REF  ReportTitle ">
      <w:r w:rsidR="00E333BF">
        <w:t>Measures of Adult Literacy and Numeracy</w:t>
      </w:r>
    </w:fldSimple>
    <w:r w:rsidR="00B842B5">
      <w:tab/>
    </w:r>
    <w:r w:rsidR="00B842B5" w:rsidRPr="00205A50">
      <w:rPr>
        <w:b/>
      </w:rPr>
      <w:t>Ministry of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2B5" w:rsidRPr="00CC3EDB" w:rsidRDefault="00B842B5" w:rsidP="00326930">
      <w:pPr>
        <w:rPr>
          <w:color w:val="347FB9"/>
        </w:rPr>
      </w:pPr>
      <w:r w:rsidRPr="00CC3EDB">
        <w:rPr>
          <w:color w:val="347FB9"/>
        </w:rPr>
        <w:separator/>
      </w:r>
    </w:p>
  </w:footnote>
  <w:footnote w:type="continuationSeparator" w:id="0">
    <w:p w:rsidR="00B842B5" w:rsidRPr="0069109A" w:rsidRDefault="00B842B5" w:rsidP="00326930">
      <w:pPr>
        <w:rPr>
          <w:color w:val="347FB9"/>
        </w:rPr>
      </w:pPr>
      <w:r w:rsidRPr="0069109A">
        <w:rPr>
          <w:color w:val="347FB9"/>
        </w:rPr>
        <w:continuationSeparator/>
      </w:r>
    </w:p>
  </w:footnote>
  <w:footnote w:id="1">
    <w:p w:rsidR="00B842B5" w:rsidRDefault="00B842B5" w:rsidP="0075132E">
      <w:pPr>
        <w:pStyle w:val="FootnoteText"/>
      </w:pPr>
      <w:r>
        <w:rPr>
          <w:rStyle w:val="FootnoteReference"/>
        </w:rPr>
        <w:footnoteRef/>
      </w:r>
      <w:r>
        <w:t xml:space="preserve"> There was also a problem solving domain, which is not discussed in this paper.</w:t>
      </w:r>
    </w:p>
  </w:footnote>
  <w:footnote w:id="2">
    <w:p w:rsidR="00B842B5" w:rsidRDefault="00B842B5">
      <w:pPr>
        <w:pStyle w:val="FootnoteText"/>
      </w:pPr>
      <w:r>
        <w:rPr>
          <w:rStyle w:val="FootnoteReference"/>
        </w:rPr>
        <w:footnoteRef/>
      </w:r>
      <w:r>
        <w:t xml:space="preserve"> In general, there is no discernable difference in the distribution of the results due to the year in which the assessment on the Tool was undertaken. This suggests that the effect of the elapsed time on the comparison may be minimal.</w:t>
      </w:r>
    </w:p>
  </w:footnote>
  <w:footnote w:id="3">
    <w:p w:rsidR="00B842B5" w:rsidRDefault="00B842B5">
      <w:pPr>
        <w:pStyle w:val="FootnoteText"/>
      </w:pPr>
      <w:r>
        <w:rPr>
          <w:rStyle w:val="FootnoteReference"/>
        </w:rPr>
        <w:footnoteRef/>
      </w:r>
      <w:r>
        <w:t xml:space="preserve"> Using an analysis of variance, the difference in the means of those who were and were not assessed was found to be statistically significant to beyond the 99% probability level.</w:t>
      </w:r>
    </w:p>
  </w:footnote>
  <w:footnote w:id="4">
    <w:p w:rsidR="00B842B5" w:rsidRDefault="00B842B5" w:rsidP="00242F16">
      <w:pPr>
        <w:pStyle w:val="FootnoteText"/>
      </w:pPr>
      <w:r>
        <w:rPr>
          <w:rStyle w:val="FootnoteReference"/>
        </w:rPr>
        <w:footnoteRef/>
      </w:r>
      <w:r>
        <w:t xml:space="preserve"> It is also possible to compare the assessment results of the comparison group with all people who have had an assessment using the Assessment Tool. However, the latter is a selective and arbitrary population of people. The distribution of skills reflects the diverse range of contexts in which the Tool has been used rather than a particular part of the population. Undertaking this analysis would not add any useful information.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79" w:rsidRDefault="003477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2B5" w:rsidRDefault="00B842B5" w:rsidP="009E4CB6">
    <w:pPr>
      <w:pStyle w:val="Header"/>
    </w:pPr>
    <w:r>
      <w:rPr>
        <w:noProof/>
        <w:lang w:eastAsia="en-NZ"/>
      </w:rPr>
      <w:drawing>
        <wp:anchor distT="0" distB="0" distL="114300" distR="114300" simplePos="0" relativeHeight="251659776" behindDoc="1" locked="0" layoutInCell="1" allowOverlap="1">
          <wp:simplePos x="0" y="0"/>
          <wp:positionH relativeFrom="column">
            <wp:posOffset>-914400</wp:posOffset>
          </wp:positionH>
          <wp:positionV relativeFrom="paragraph">
            <wp:posOffset>-347980</wp:posOffset>
          </wp:positionV>
          <wp:extent cx="7315200" cy="1856740"/>
          <wp:effectExtent l="19050" t="0" r="0" b="0"/>
          <wp:wrapNone/>
          <wp:docPr id="41" name="Picture 41" descr="gray branding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ay branding strip"/>
                  <pic:cNvPicPr>
                    <a:picLocks noChangeAspect="1" noChangeArrowheads="1"/>
                  </pic:cNvPicPr>
                </pic:nvPicPr>
                <pic:blipFill>
                  <a:blip r:embed="rId1"/>
                  <a:srcRect/>
                  <a:stretch>
                    <a:fillRect/>
                  </a:stretch>
                </pic:blipFill>
                <pic:spPr bwMode="auto">
                  <a:xfrm>
                    <a:off x="0" y="0"/>
                    <a:ext cx="7315200" cy="1856740"/>
                  </a:xfrm>
                  <a:prstGeom prst="rect">
                    <a:avLst/>
                  </a:prstGeom>
                  <a:noFill/>
                  <a:ln w="9525">
                    <a:noFill/>
                    <a:miter lim="800000"/>
                    <a:headEnd/>
                    <a:tailEnd/>
                  </a:ln>
                </pic:spPr>
              </pic:pic>
            </a:graphicData>
          </a:graphic>
        </wp:anchor>
      </w:drawing>
    </w:r>
    <w:r w:rsidR="009708E0" w:rsidRPr="009708E0">
      <w:rPr>
        <w:noProof/>
        <w:lang w:val="en-GB" w:eastAsia="en-GB"/>
      </w:rPr>
      <w:pict>
        <v:line id="_x0000_s2085" style="position:absolute;z-index:251656704;mso-position-horizontal-relative:text;mso-position-vertical-relative:text" from="-89.85pt,629.45pt" to="513.15pt,629.45pt" strokecolor="gray" strokeweight="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79" w:rsidRDefault="0034777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2B5" w:rsidRDefault="00B842B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2B5" w:rsidRDefault="00B842B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2B5" w:rsidRDefault="00B842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5E2C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19202E"/>
    <w:multiLevelType w:val="multilevel"/>
    <w:tmpl w:val="CAB86F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2">
    <w:nsid w:val="11E77CD2"/>
    <w:multiLevelType w:val="multilevel"/>
    <w:tmpl w:val="9EF8142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4"/>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3">
    <w:nsid w:val="3FFA209B"/>
    <w:multiLevelType w:val="multilevel"/>
    <w:tmpl w:val="655ABCD0"/>
    <w:lvl w:ilvl="0">
      <w:start w:val="1"/>
      <w:numFmt w:val="upperLetter"/>
      <w:pStyle w:val="Appendix"/>
      <w:lvlText w:val="Appendix %1 "/>
      <w:lvlJc w:val="left"/>
      <w:pPr>
        <w:tabs>
          <w:tab w:val="num" w:pos="2155"/>
        </w:tabs>
        <w:ind w:left="2155" w:hanging="2155"/>
      </w:pPr>
      <w:rPr>
        <w:rFonts w:hint="default"/>
      </w:rPr>
    </w:lvl>
    <w:lvl w:ilvl="1">
      <w:start w:val="1"/>
      <w:numFmt w:val="decimal"/>
      <w:pStyle w:val="AppendixSub"/>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4">
    <w:nsid w:val="4EC81851"/>
    <w:multiLevelType w:val="hybridMultilevel"/>
    <w:tmpl w:val="D5302B4A"/>
    <w:lvl w:ilvl="0" w:tplc="3092ACAA">
      <w:start w:val="1"/>
      <w:numFmt w:val="bullet"/>
      <w:pStyle w:val="Bullet1"/>
      <w:lvlText w:val=""/>
      <w:lvlJc w:val="left"/>
      <w:pPr>
        <w:tabs>
          <w:tab w:val="num" w:pos="2838"/>
        </w:tabs>
        <w:ind w:left="2838" w:hanging="397"/>
      </w:pPr>
      <w:rPr>
        <w:rFonts w:ascii="Symbol" w:hAnsi="Symbol" w:hint="default"/>
      </w:rPr>
    </w:lvl>
    <w:lvl w:ilvl="1" w:tplc="08090003">
      <w:start w:val="1"/>
      <w:numFmt w:val="bullet"/>
      <w:lvlText w:val="o"/>
      <w:lvlJc w:val="left"/>
      <w:pPr>
        <w:tabs>
          <w:tab w:val="num" w:pos="3144"/>
        </w:tabs>
        <w:ind w:left="3144" w:hanging="360"/>
      </w:pPr>
      <w:rPr>
        <w:rFonts w:ascii="Courier New" w:hAnsi="Courier New" w:cs="Courier New" w:hint="default"/>
      </w:rPr>
    </w:lvl>
    <w:lvl w:ilvl="2" w:tplc="08090005" w:tentative="1">
      <w:start w:val="1"/>
      <w:numFmt w:val="bullet"/>
      <w:lvlText w:val=""/>
      <w:lvlJc w:val="left"/>
      <w:pPr>
        <w:tabs>
          <w:tab w:val="num" w:pos="3864"/>
        </w:tabs>
        <w:ind w:left="3864" w:hanging="360"/>
      </w:pPr>
      <w:rPr>
        <w:rFonts w:ascii="Wingdings" w:hAnsi="Wingdings" w:hint="default"/>
      </w:rPr>
    </w:lvl>
    <w:lvl w:ilvl="3" w:tplc="08090001" w:tentative="1">
      <w:start w:val="1"/>
      <w:numFmt w:val="bullet"/>
      <w:lvlText w:val=""/>
      <w:lvlJc w:val="left"/>
      <w:pPr>
        <w:tabs>
          <w:tab w:val="num" w:pos="4584"/>
        </w:tabs>
        <w:ind w:left="4584" w:hanging="360"/>
      </w:pPr>
      <w:rPr>
        <w:rFonts w:ascii="Symbol" w:hAnsi="Symbol" w:hint="default"/>
      </w:rPr>
    </w:lvl>
    <w:lvl w:ilvl="4" w:tplc="08090003" w:tentative="1">
      <w:start w:val="1"/>
      <w:numFmt w:val="bullet"/>
      <w:lvlText w:val="o"/>
      <w:lvlJc w:val="left"/>
      <w:pPr>
        <w:tabs>
          <w:tab w:val="num" w:pos="5304"/>
        </w:tabs>
        <w:ind w:left="5304" w:hanging="360"/>
      </w:pPr>
      <w:rPr>
        <w:rFonts w:ascii="Courier New" w:hAnsi="Courier New" w:cs="Courier New" w:hint="default"/>
      </w:rPr>
    </w:lvl>
    <w:lvl w:ilvl="5" w:tplc="08090005" w:tentative="1">
      <w:start w:val="1"/>
      <w:numFmt w:val="bullet"/>
      <w:lvlText w:val=""/>
      <w:lvlJc w:val="left"/>
      <w:pPr>
        <w:tabs>
          <w:tab w:val="num" w:pos="6024"/>
        </w:tabs>
        <w:ind w:left="6024" w:hanging="360"/>
      </w:pPr>
      <w:rPr>
        <w:rFonts w:ascii="Wingdings" w:hAnsi="Wingdings" w:hint="default"/>
      </w:rPr>
    </w:lvl>
    <w:lvl w:ilvl="6" w:tplc="08090001" w:tentative="1">
      <w:start w:val="1"/>
      <w:numFmt w:val="bullet"/>
      <w:lvlText w:val=""/>
      <w:lvlJc w:val="left"/>
      <w:pPr>
        <w:tabs>
          <w:tab w:val="num" w:pos="6744"/>
        </w:tabs>
        <w:ind w:left="6744" w:hanging="360"/>
      </w:pPr>
      <w:rPr>
        <w:rFonts w:ascii="Symbol" w:hAnsi="Symbol" w:hint="default"/>
      </w:rPr>
    </w:lvl>
    <w:lvl w:ilvl="7" w:tplc="08090003" w:tentative="1">
      <w:start w:val="1"/>
      <w:numFmt w:val="bullet"/>
      <w:lvlText w:val="o"/>
      <w:lvlJc w:val="left"/>
      <w:pPr>
        <w:tabs>
          <w:tab w:val="num" w:pos="7464"/>
        </w:tabs>
        <w:ind w:left="7464" w:hanging="360"/>
      </w:pPr>
      <w:rPr>
        <w:rFonts w:ascii="Courier New" w:hAnsi="Courier New" w:cs="Courier New" w:hint="default"/>
      </w:rPr>
    </w:lvl>
    <w:lvl w:ilvl="8" w:tplc="08090005" w:tentative="1">
      <w:start w:val="1"/>
      <w:numFmt w:val="bullet"/>
      <w:lvlText w:val=""/>
      <w:lvlJc w:val="left"/>
      <w:pPr>
        <w:tabs>
          <w:tab w:val="num" w:pos="8184"/>
        </w:tabs>
        <w:ind w:left="8184" w:hanging="360"/>
      </w:pPr>
      <w:rPr>
        <w:rFonts w:ascii="Wingdings" w:hAnsi="Wingdings" w:hint="default"/>
      </w:rPr>
    </w:lvl>
  </w:abstractNum>
  <w:abstractNum w:abstractNumId="5">
    <w:nsid w:val="57121918"/>
    <w:multiLevelType w:val="hybridMultilevel"/>
    <w:tmpl w:val="BDEEED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BD6580D"/>
    <w:multiLevelType w:val="multilevel"/>
    <w:tmpl w:val="CAB86F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7">
    <w:nsid w:val="69C628C0"/>
    <w:multiLevelType w:val="multilevel"/>
    <w:tmpl w:val="CAB86F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8">
    <w:nsid w:val="6ABD35DB"/>
    <w:multiLevelType w:val="multilevel"/>
    <w:tmpl w:val="CAB86F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9">
    <w:nsid w:val="6DDD761B"/>
    <w:multiLevelType w:val="multilevel"/>
    <w:tmpl w:val="336E6796"/>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Restart w:val="1"/>
      <w:pStyle w:val="Heading2a"/>
      <w:lvlText w:val="%1.%3"/>
      <w:lvlJc w:val="left"/>
      <w:pPr>
        <w:tabs>
          <w:tab w:val="num" w:pos="567"/>
        </w:tabs>
        <w:ind w:left="567" w:hanging="567"/>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10">
    <w:nsid w:val="722E2EF4"/>
    <w:multiLevelType w:val="hybridMultilevel"/>
    <w:tmpl w:val="48E4A4C4"/>
    <w:lvl w:ilvl="0" w:tplc="14090001">
      <w:start w:val="1"/>
      <w:numFmt w:val="bullet"/>
      <w:lvlText w:val=""/>
      <w:lvlJc w:val="left"/>
      <w:pPr>
        <w:ind w:left="720" w:hanging="360"/>
      </w:pPr>
      <w:rPr>
        <w:rFonts w:ascii="Symbol" w:hAnsi="Symbol" w:hint="default"/>
      </w:rPr>
    </w:lvl>
    <w:lvl w:ilvl="1" w:tplc="83DCFCFA">
      <w:numFmt w:val="bullet"/>
      <w:lvlText w:val="•"/>
      <w:lvlJc w:val="left"/>
      <w:pPr>
        <w:ind w:left="1650" w:hanging="57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7DFD36A5"/>
    <w:multiLevelType w:val="hybridMultilevel"/>
    <w:tmpl w:val="3F6C9F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7E280C30"/>
    <w:multiLevelType w:val="multilevel"/>
    <w:tmpl w:val="D5D8436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4"/>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2"/>
  </w:num>
  <w:num w:numId="6">
    <w:abstractNumId w:val="1"/>
  </w:num>
  <w:num w:numId="7">
    <w:abstractNumId w:val="12"/>
  </w:num>
  <w:num w:numId="8">
    <w:abstractNumId w:val="6"/>
  </w:num>
  <w:num w:numId="9">
    <w:abstractNumId w:val="8"/>
  </w:num>
  <w:num w:numId="10">
    <w:abstractNumId w:val="11"/>
  </w:num>
  <w:num w:numId="11">
    <w:abstractNumId w:val="5"/>
  </w:num>
  <w:num w:numId="12">
    <w:abstractNumId w:val="0"/>
  </w:num>
  <w:num w:numId="13">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proofState w:spelling="clean" w:grammar="clean"/>
  <w:stylePaneFormatFilter w:val="3001"/>
  <w:defaultTabStop w:val="567"/>
  <w:evenAndOddHeaders/>
  <w:noPunctuationKerning/>
  <w:characterSpacingControl w:val="doNotCompress"/>
  <w:hdrShapeDefaults>
    <o:shapedefaults v:ext="edit" spidmax="2089">
      <o:colormenu v:ext="edit" fillcolor="none [1944]" strokecolor="none"/>
    </o:shapedefaults>
    <o:shapelayout v:ext="edit">
      <o:idmap v:ext="edit" data="2"/>
    </o:shapelayout>
  </w:hdrShapeDefaults>
  <w:footnotePr>
    <w:footnote w:id="-1"/>
    <w:footnote w:id="0"/>
  </w:footnotePr>
  <w:endnotePr>
    <w:endnote w:id="-1"/>
    <w:endnote w:id="0"/>
  </w:endnotePr>
  <w:compat/>
  <w:rsids>
    <w:rsidRoot w:val="00100CC1"/>
    <w:rsid w:val="00011B96"/>
    <w:rsid w:val="00011D25"/>
    <w:rsid w:val="00014577"/>
    <w:rsid w:val="000161BA"/>
    <w:rsid w:val="00016FD1"/>
    <w:rsid w:val="00035523"/>
    <w:rsid w:val="000356E9"/>
    <w:rsid w:val="00040B19"/>
    <w:rsid w:val="00045DE1"/>
    <w:rsid w:val="00050D8D"/>
    <w:rsid w:val="00053781"/>
    <w:rsid w:val="000547D0"/>
    <w:rsid w:val="00062477"/>
    <w:rsid w:val="00065197"/>
    <w:rsid w:val="00065B09"/>
    <w:rsid w:val="00070C0C"/>
    <w:rsid w:val="00072166"/>
    <w:rsid w:val="00080C6D"/>
    <w:rsid w:val="0008265F"/>
    <w:rsid w:val="00085C3C"/>
    <w:rsid w:val="000902F4"/>
    <w:rsid w:val="000916D4"/>
    <w:rsid w:val="000C3909"/>
    <w:rsid w:val="000E3602"/>
    <w:rsid w:val="000F0350"/>
    <w:rsid w:val="000F354C"/>
    <w:rsid w:val="000F72CB"/>
    <w:rsid w:val="00100CC1"/>
    <w:rsid w:val="001038A7"/>
    <w:rsid w:val="00103A0A"/>
    <w:rsid w:val="00110E8C"/>
    <w:rsid w:val="00116922"/>
    <w:rsid w:val="00120577"/>
    <w:rsid w:val="001279CC"/>
    <w:rsid w:val="001324FC"/>
    <w:rsid w:val="00137F9B"/>
    <w:rsid w:val="0014184F"/>
    <w:rsid w:val="00145BA1"/>
    <w:rsid w:val="00151377"/>
    <w:rsid w:val="001526A1"/>
    <w:rsid w:val="001541C6"/>
    <w:rsid w:val="00155AD0"/>
    <w:rsid w:val="00157BA5"/>
    <w:rsid w:val="001609E9"/>
    <w:rsid w:val="00177D52"/>
    <w:rsid w:val="001806CD"/>
    <w:rsid w:val="001912D3"/>
    <w:rsid w:val="001927BB"/>
    <w:rsid w:val="00196B67"/>
    <w:rsid w:val="001A3723"/>
    <w:rsid w:val="001B4B51"/>
    <w:rsid w:val="001C39F5"/>
    <w:rsid w:val="001C6542"/>
    <w:rsid w:val="001C6F96"/>
    <w:rsid w:val="001D5C88"/>
    <w:rsid w:val="001E1572"/>
    <w:rsid w:val="001E5925"/>
    <w:rsid w:val="001E6593"/>
    <w:rsid w:val="001F2BC0"/>
    <w:rsid w:val="001F49A8"/>
    <w:rsid w:val="001F6A3F"/>
    <w:rsid w:val="001F7F9F"/>
    <w:rsid w:val="0020015B"/>
    <w:rsid w:val="002017C1"/>
    <w:rsid w:val="00205A50"/>
    <w:rsid w:val="00207F77"/>
    <w:rsid w:val="002137A0"/>
    <w:rsid w:val="00216141"/>
    <w:rsid w:val="00217633"/>
    <w:rsid w:val="00231759"/>
    <w:rsid w:val="00237332"/>
    <w:rsid w:val="00242F16"/>
    <w:rsid w:val="002571BC"/>
    <w:rsid w:val="00284E22"/>
    <w:rsid w:val="0028679B"/>
    <w:rsid w:val="00287F55"/>
    <w:rsid w:val="00287F99"/>
    <w:rsid w:val="002977C0"/>
    <w:rsid w:val="002A1858"/>
    <w:rsid w:val="002B5A80"/>
    <w:rsid w:val="002B77A3"/>
    <w:rsid w:val="002D21E0"/>
    <w:rsid w:val="002D258A"/>
    <w:rsid w:val="002E4C92"/>
    <w:rsid w:val="002F0280"/>
    <w:rsid w:val="002F5C0D"/>
    <w:rsid w:val="002F7F68"/>
    <w:rsid w:val="0030156D"/>
    <w:rsid w:val="00301D0D"/>
    <w:rsid w:val="0030300D"/>
    <w:rsid w:val="003033D6"/>
    <w:rsid w:val="00306C9D"/>
    <w:rsid w:val="00315AFE"/>
    <w:rsid w:val="00315B67"/>
    <w:rsid w:val="0032384B"/>
    <w:rsid w:val="0032417A"/>
    <w:rsid w:val="00324E47"/>
    <w:rsid w:val="00324EEC"/>
    <w:rsid w:val="00326930"/>
    <w:rsid w:val="0033549E"/>
    <w:rsid w:val="00336BCD"/>
    <w:rsid w:val="0034641C"/>
    <w:rsid w:val="00347779"/>
    <w:rsid w:val="003518F8"/>
    <w:rsid w:val="003532BF"/>
    <w:rsid w:val="00380B57"/>
    <w:rsid w:val="00384499"/>
    <w:rsid w:val="00390996"/>
    <w:rsid w:val="003925D9"/>
    <w:rsid w:val="003A0EEA"/>
    <w:rsid w:val="003A4DCF"/>
    <w:rsid w:val="003B71FB"/>
    <w:rsid w:val="003C221C"/>
    <w:rsid w:val="003C3F96"/>
    <w:rsid w:val="003C50EC"/>
    <w:rsid w:val="003C6045"/>
    <w:rsid w:val="003D4A90"/>
    <w:rsid w:val="003D6BD1"/>
    <w:rsid w:val="003E3388"/>
    <w:rsid w:val="003E7E82"/>
    <w:rsid w:val="003F7A18"/>
    <w:rsid w:val="00400AC4"/>
    <w:rsid w:val="00410D0A"/>
    <w:rsid w:val="00411B40"/>
    <w:rsid w:val="00413C65"/>
    <w:rsid w:val="004230DF"/>
    <w:rsid w:val="00433E27"/>
    <w:rsid w:val="00435FEF"/>
    <w:rsid w:val="0044013D"/>
    <w:rsid w:val="00451DCD"/>
    <w:rsid w:val="00452836"/>
    <w:rsid w:val="0045369C"/>
    <w:rsid w:val="00453BD1"/>
    <w:rsid w:val="004653F3"/>
    <w:rsid w:val="00470D11"/>
    <w:rsid w:val="0047273A"/>
    <w:rsid w:val="00476572"/>
    <w:rsid w:val="00486AE4"/>
    <w:rsid w:val="004928FC"/>
    <w:rsid w:val="00493F6F"/>
    <w:rsid w:val="00497D50"/>
    <w:rsid w:val="004A2E4F"/>
    <w:rsid w:val="004B0055"/>
    <w:rsid w:val="004B3F0A"/>
    <w:rsid w:val="004C050D"/>
    <w:rsid w:val="004C2A26"/>
    <w:rsid w:val="004C515F"/>
    <w:rsid w:val="004C737C"/>
    <w:rsid w:val="004D1E17"/>
    <w:rsid w:val="004D20DA"/>
    <w:rsid w:val="004D2D04"/>
    <w:rsid w:val="004D596C"/>
    <w:rsid w:val="004D7EC6"/>
    <w:rsid w:val="004E1B5E"/>
    <w:rsid w:val="004E696B"/>
    <w:rsid w:val="004F525C"/>
    <w:rsid w:val="005017E3"/>
    <w:rsid w:val="00515860"/>
    <w:rsid w:val="00521C07"/>
    <w:rsid w:val="0052744B"/>
    <w:rsid w:val="00532867"/>
    <w:rsid w:val="005350A1"/>
    <w:rsid w:val="00540402"/>
    <w:rsid w:val="00552000"/>
    <w:rsid w:val="00553620"/>
    <w:rsid w:val="00555B89"/>
    <w:rsid w:val="00555BDB"/>
    <w:rsid w:val="00561201"/>
    <w:rsid w:val="005644A6"/>
    <w:rsid w:val="0057175B"/>
    <w:rsid w:val="00572022"/>
    <w:rsid w:val="00585E1C"/>
    <w:rsid w:val="00592E62"/>
    <w:rsid w:val="00594D44"/>
    <w:rsid w:val="005A41A0"/>
    <w:rsid w:val="005A5E81"/>
    <w:rsid w:val="005B2792"/>
    <w:rsid w:val="005B6C4B"/>
    <w:rsid w:val="005B78A4"/>
    <w:rsid w:val="005D5613"/>
    <w:rsid w:val="005D68F7"/>
    <w:rsid w:val="005E3316"/>
    <w:rsid w:val="005F0B38"/>
    <w:rsid w:val="005F3E1D"/>
    <w:rsid w:val="005F7F75"/>
    <w:rsid w:val="00607EB7"/>
    <w:rsid w:val="00610017"/>
    <w:rsid w:val="0061198F"/>
    <w:rsid w:val="0061590D"/>
    <w:rsid w:val="006173A8"/>
    <w:rsid w:val="00623FF3"/>
    <w:rsid w:val="00624AF0"/>
    <w:rsid w:val="006262A3"/>
    <w:rsid w:val="00642831"/>
    <w:rsid w:val="00643CB3"/>
    <w:rsid w:val="00657FA3"/>
    <w:rsid w:val="00665610"/>
    <w:rsid w:val="00665898"/>
    <w:rsid w:val="006710AE"/>
    <w:rsid w:val="00682791"/>
    <w:rsid w:val="0069109A"/>
    <w:rsid w:val="00692D37"/>
    <w:rsid w:val="006A0089"/>
    <w:rsid w:val="006B1665"/>
    <w:rsid w:val="006B2DB1"/>
    <w:rsid w:val="006B595C"/>
    <w:rsid w:val="006B64A7"/>
    <w:rsid w:val="006B6A34"/>
    <w:rsid w:val="006C1031"/>
    <w:rsid w:val="006C207F"/>
    <w:rsid w:val="006C3E92"/>
    <w:rsid w:val="006E52B9"/>
    <w:rsid w:val="006E7C8E"/>
    <w:rsid w:val="006F3650"/>
    <w:rsid w:val="006F4A94"/>
    <w:rsid w:val="006F57EA"/>
    <w:rsid w:val="006F6B12"/>
    <w:rsid w:val="00700D3C"/>
    <w:rsid w:val="00702279"/>
    <w:rsid w:val="00706CC5"/>
    <w:rsid w:val="007138E1"/>
    <w:rsid w:val="00720CBD"/>
    <w:rsid w:val="00721E8C"/>
    <w:rsid w:val="00733747"/>
    <w:rsid w:val="00734956"/>
    <w:rsid w:val="00737B46"/>
    <w:rsid w:val="00743A44"/>
    <w:rsid w:val="0074635C"/>
    <w:rsid w:val="0075132E"/>
    <w:rsid w:val="00763520"/>
    <w:rsid w:val="00767E52"/>
    <w:rsid w:val="00773C8B"/>
    <w:rsid w:val="0077410A"/>
    <w:rsid w:val="00787772"/>
    <w:rsid w:val="007900E9"/>
    <w:rsid w:val="007A034C"/>
    <w:rsid w:val="007B2C5B"/>
    <w:rsid w:val="007B5983"/>
    <w:rsid w:val="007B699A"/>
    <w:rsid w:val="007C5376"/>
    <w:rsid w:val="007C537A"/>
    <w:rsid w:val="007D4BB2"/>
    <w:rsid w:val="007E22B5"/>
    <w:rsid w:val="007E26AF"/>
    <w:rsid w:val="007F3E1E"/>
    <w:rsid w:val="007F5783"/>
    <w:rsid w:val="00801283"/>
    <w:rsid w:val="00801392"/>
    <w:rsid w:val="00802631"/>
    <w:rsid w:val="008203B9"/>
    <w:rsid w:val="00822E54"/>
    <w:rsid w:val="00832F8A"/>
    <w:rsid w:val="00833BA1"/>
    <w:rsid w:val="008414E1"/>
    <w:rsid w:val="00841D7F"/>
    <w:rsid w:val="008456EC"/>
    <w:rsid w:val="00852135"/>
    <w:rsid w:val="00855B79"/>
    <w:rsid w:val="00856393"/>
    <w:rsid w:val="0086261A"/>
    <w:rsid w:val="00870A44"/>
    <w:rsid w:val="0087238B"/>
    <w:rsid w:val="00875CBF"/>
    <w:rsid w:val="00883409"/>
    <w:rsid w:val="008870EC"/>
    <w:rsid w:val="008879E2"/>
    <w:rsid w:val="008936D2"/>
    <w:rsid w:val="008A6AD9"/>
    <w:rsid w:val="008B47B3"/>
    <w:rsid w:val="008B6254"/>
    <w:rsid w:val="008C326F"/>
    <w:rsid w:val="008C48F6"/>
    <w:rsid w:val="008E405B"/>
    <w:rsid w:val="008F1DA0"/>
    <w:rsid w:val="00904B68"/>
    <w:rsid w:val="00916471"/>
    <w:rsid w:val="009170D0"/>
    <w:rsid w:val="009325B9"/>
    <w:rsid w:val="00933E4A"/>
    <w:rsid w:val="0094226C"/>
    <w:rsid w:val="00942A6C"/>
    <w:rsid w:val="00950375"/>
    <w:rsid w:val="00955E00"/>
    <w:rsid w:val="00965925"/>
    <w:rsid w:val="009708E0"/>
    <w:rsid w:val="009930F4"/>
    <w:rsid w:val="0099475E"/>
    <w:rsid w:val="00995115"/>
    <w:rsid w:val="0099726B"/>
    <w:rsid w:val="00997392"/>
    <w:rsid w:val="009A016F"/>
    <w:rsid w:val="009A33C6"/>
    <w:rsid w:val="009A58D0"/>
    <w:rsid w:val="009A7099"/>
    <w:rsid w:val="009A78FC"/>
    <w:rsid w:val="009B4680"/>
    <w:rsid w:val="009C596E"/>
    <w:rsid w:val="009D7E1B"/>
    <w:rsid w:val="009E4A14"/>
    <w:rsid w:val="009E4CB6"/>
    <w:rsid w:val="009E5283"/>
    <w:rsid w:val="009E5DA3"/>
    <w:rsid w:val="009E7D7B"/>
    <w:rsid w:val="00A01B72"/>
    <w:rsid w:val="00A03E9B"/>
    <w:rsid w:val="00A055E8"/>
    <w:rsid w:val="00A0628E"/>
    <w:rsid w:val="00A07BD5"/>
    <w:rsid w:val="00A21023"/>
    <w:rsid w:val="00A30EF7"/>
    <w:rsid w:val="00A451B3"/>
    <w:rsid w:val="00A51E64"/>
    <w:rsid w:val="00A53F48"/>
    <w:rsid w:val="00A54297"/>
    <w:rsid w:val="00A56A37"/>
    <w:rsid w:val="00A775D6"/>
    <w:rsid w:val="00A852DD"/>
    <w:rsid w:val="00A8661D"/>
    <w:rsid w:val="00A95A25"/>
    <w:rsid w:val="00A96147"/>
    <w:rsid w:val="00AA0322"/>
    <w:rsid w:val="00AA2DB1"/>
    <w:rsid w:val="00AB4280"/>
    <w:rsid w:val="00AB6F9D"/>
    <w:rsid w:val="00AC151A"/>
    <w:rsid w:val="00AC1A32"/>
    <w:rsid w:val="00AD2536"/>
    <w:rsid w:val="00AD33C4"/>
    <w:rsid w:val="00AD4EA4"/>
    <w:rsid w:val="00AE13E8"/>
    <w:rsid w:val="00AF0321"/>
    <w:rsid w:val="00AF1151"/>
    <w:rsid w:val="00AF50C0"/>
    <w:rsid w:val="00B11F15"/>
    <w:rsid w:val="00B22C11"/>
    <w:rsid w:val="00B241A7"/>
    <w:rsid w:val="00B32F64"/>
    <w:rsid w:val="00B35230"/>
    <w:rsid w:val="00B36D09"/>
    <w:rsid w:val="00B434C8"/>
    <w:rsid w:val="00B4411A"/>
    <w:rsid w:val="00B5104A"/>
    <w:rsid w:val="00B573B8"/>
    <w:rsid w:val="00B669A1"/>
    <w:rsid w:val="00B675AF"/>
    <w:rsid w:val="00B70C25"/>
    <w:rsid w:val="00B72F97"/>
    <w:rsid w:val="00B74CE7"/>
    <w:rsid w:val="00B74EB6"/>
    <w:rsid w:val="00B804FA"/>
    <w:rsid w:val="00B83046"/>
    <w:rsid w:val="00B83DA0"/>
    <w:rsid w:val="00B842B5"/>
    <w:rsid w:val="00B91465"/>
    <w:rsid w:val="00B92DE7"/>
    <w:rsid w:val="00B93043"/>
    <w:rsid w:val="00B94DB1"/>
    <w:rsid w:val="00BA1C44"/>
    <w:rsid w:val="00BA30B7"/>
    <w:rsid w:val="00BA64A4"/>
    <w:rsid w:val="00BB72D9"/>
    <w:rsid w:val="00BC3A84"/>
    <w:rsid w:val="00BC5781"/>
    <w:rsid w:val="00BD73C5"/>
    <w:rsid w:val="00BE2E38"/>
    <w:rsid w:val="00BF176A"/>
    <w:rsid w:val="00C006E3"/>
    <w:rsid w:val="00C11132"/>
    <w:rsid w:val="00C12C42"/>
    <w:rsid w:val="00C13D10"/>
    <w:rsid w:val="00C17338"/>
    <w:rsid w:val="00C20523"/>
    <w:rsid w:val="00C31011"/>
    <w:rsid w:val="00C3484E"/>
    <w:rsid w:val="00C6026F"/>
    <w:rsid w:val="00C64698"/>
    <w:rsid w:val="00C65E13"/>
    <w:rsid w:val="00C80637"/>
    <w:rsid w:val="00CA1DA9"/>
    <w:rsid w:val="00CA4286"/>
    <w:rsid w:val="00CB23B3"/>
    <w:rsid w:val="00CB4D17"/>
    <w:rsid w:val="00CC3EDB"/>
    <w:rsid w:val="00CC7BE3"/>
    <w:rsid w:val="00CD5D96"/>
    <w:rsid w:val="00CF68C8"/>
    <w:rsid w:val="00D00D8C"/>
    <w:rsid w:val="00D04922"/>
    <w:rsid w:val="00D04B97"/>
    <w:rsid w:val="00D11CD9"/>
    <w:rsid w:val="00D14EC3"/>
    <w:rsid w:val="00D21FFE"/>
    <w:rsid w:val="00D24A03"/>
    <w:rsid w:val="00D3344A"/>
    <w:rsid w:val="00D3429D"/>
    <w:rsid w:val="00D365E2"/>
    <w:rsid w:val="00D3716D"/>
    <w:rsid w:val="00D61F52"/>
    <w:rsid w:val="00D629FE"/>
    <w:rsid w:val="00D7439B"/>
    <w:rsid w:val="00D75C91"/>
    <w:rsid w:val="00D80DE7"/>
    <w:rsid w:val="00D85B95"/>
    <w:rsid w:val="00D87F57"/>
    <w:rsid w:val="00DA5068"/>
    <w:rsid w:val="00DB49F9"/>
    <w:rsid w:val="00DC290F"/>
    <w:rsid w:val="00DC62B9"/>
    <w:rsid w:val="00DF059C"/>
    <w:rsid w:val="00DF15EC"/>
    <w:rsid w:val="00DF1E24"/>
    <w:rsid w:val="00DF5A41"/>
    <w:rsid w:val="00DF6E6D"/>
    <w:rsid w:val="00E0646B"/>
    <w:rsid w:val="00E0650B"/>
    <w:rsid w:val="00E104CA"/>
    <w:rsid w:val="00E1275A"/>
    <w:rsid w:val="00E21B86"/>
    <w:rsid w:val="00E24198"/>
    <w:rsid w:val="00E27D51"/>
    <w:rsid w:val="00E333BF"/>
    <w:rsid w:val="00E41A16"/>
    <w:rsid w:val="00E4658B"/>
    <w:rsid w:val="00E511AA"/>
    <w:rsid w:val="00E61EDE"/>
    <w:rsid w:val="00E62C3B"/>
    <w:rsid w:val="00E63F85"/>
    <w:rsid w:val="00E74798"/>
    <w:rsid w:val="00E769DC"/>
    <w:rsid w:val="00E87628"/>
    <w:rsid w:val="00E92037"/>
    <w:rsid w:val="00EA1F32"/>
    <w:rsid w:val="00EA5339"/>
    <w:rsid w:val="00EB34A9"/>
    <w:rsid w:val="00ED3262"/>
    <w:rsid w:val="00ED68DB"/>
    <w:rsid w:val="00EE6BF5"/>
    <w:rsid w:val="00EF2BC6"/>
    <w:rsid w:val="00EF3128"/>
    <w:rsid w:val="00EF36C8"/>
    <w:rsid w:val="00EF4D41"/>
    <w:rsid w:val="00EF4DBF"/>
    <w:rsid w:val="00F009F0"/>
    <w:rsid w:val="00F0613C"/>
    <w:rsid w:val="00F117E2"/>
    <w:rsid w:val="00F12304"/>
    <w:rsid w:val="00F12E90"/>
    <w:rsid w:val="00F25323"/>
    <w:rsid w:val="00F27446"/>
    <w:rsid w:val="00F37E41"/>
    <w:rsid w:val="00F43461"/>
    <w:rsid w:val="00F4495A"/>
    <w:rsid w:val="00F45EC2"/>
    <w:rsid w:val="00F46452"/>
    <w:rsid w:val="00F5121B"/>
    <w:rsid w:val="00F67954"/>
    <w:rsid w:val="00F828A2"/>
    <w:rsid w:val="00FA6C00"/>
    <w:rsid w:val="00FA7F15"/>
    <w:rsid w:val="00FB19B2"/>
    <w:rsid w:val="00FC0A1A"/>
    <w:rsid w:val="00FC7CE9"/>
    <w:rsid w:val="00FD107D"/>
    <w:rsid w:val="00FD718F"/>
    <w:rsid w:val="00FE2F41"/>
    <w:rsid w:val="00FE3A24"/>
    <w:rsid w:val="00FE3D1F"/>
    <w:rsid w:val="00FE5EEC"/>
    <w:rsid w:val="00FE7236"/>
    <w:rsid w:val="00FF0765"/>
    <w:rsid w:val="00FF204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o:colormenu v:ext="edit" fillcolor="none [1944]"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13C"/>
    <w:rPr>
      <w:sz w:val="22"/>
      <w:szCs w:val="24"/>
      <w:lang w:eastAsia="en-US"/>
    </w:rPr>
  </w:style>
  <w:style w:type="paragraph" w:styleId="Heading1">
    <w:name w:val="heading 1"/>
    <w:basedOn w:val="Normal"/>
    <w:next w:val="BodyText"/>
    <w:qFormat/>
    <w:rsid w:val="00CC3EDB"/>
    <w:pPr>
      <w:keepNext/>
      <w:numPr>
        <w:numId w:val="1"/>
      </w:numPr>
      <w:pBdr>
        <w:bottom w:val="single" w:sz="12" w:space="1" w:color="347FB9"/>
      </w:pBdr>
      <w:spacing w:after="360"/>
      <w:outlineLvl w:val="0"/>
    </w:pPr>
    <w:rPr>
      <w:rFonts w:ascii="Arial" w:hAnsi="Arial"/>
      <w:caps/>
      <w:sz w:val="32"/>
    </w:rPr>
  </w:style>
  <w:style w:type="paragraph" w:styleId="Heading2">
    <w:name w:val="heading 2"/>
    <w:basedOn w:val="Normal"/>
    <w:next w:val="BodyText"/>
    <w:qFormat/>
    <w:rsid w:val="00A0628E"/>
    <w:pPr>
      <w:keepNext/>
      <w:spacing w:before="240" w:after="240" w:line="260" w:lineRule="atLeast"/>
      <w:outlineLvl w:val="1"/>
    </w:pPr>
    <w:rPr>
      <w:rFonts w:ascii="Arial" w:hAnsi="Arial"/>
      <w:sz w:val="28"/>
      <w:szCs w:val="28"/>
    </w:rPr>
  </w:style>
  <w:style w:type="paragraph" w:styleId="Heading3">
    <w:name w:val="heading 3"/>
    <w:basedOn w:val="Normal"/>
    <w:next w:val="BodyText"/>
    <w:qFormat/>
    <w:rsid w:val="00A54297"/>
    <w:pPr>
      <w:keepNext/>
      <w:spacing w:before="120" w:line="260" w:lineRule="atLeast"/>
      <w:outlineLvl w:val="2"/>
    </w:pPr>
    <w:rPr>
      <w:rFonts w:ascii="Arial" w:hAnsi="Arial"/>
      <w:b/>
    </w:rPr>
  </w:style>
  <w:style w:type="paragraph" w:styleId="Heading4">
    <w:name w:val="heading 4"/>
    <w:basedOn w:val="BodyText"/>
    <w:next w:val="BodyText"/>
    <w:qFormat/>
    <w:rsid w:val="00B83046"/>
    <w:pPr>
      <w:keepNext/>
      <w:spacing w:before="120" w:after="0"/>
      <w:outlineLvl w:val="3"/>
    </w:pPr>
    <w:rPr>
      <w:b/>
    </w:rPr>
  </w:style>
  <w:style w:type="paragraph" w:styleId="Heading9">
    <w:name w:val="heading 9"/>
    <w:basedOn w:val="Normal"/>
    <w:qFormat/>
    <w:rsid w:val="00682791"/>
    <w:pPr>
      <w:outlineLvl w:val="8"/>
    </w:pPr>
    <w:rPr>
      <w:rFonts w:cs="Arial"/>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72D9"/>
    <w:pPr>
      <w:spacing w:after="240" w:line="260" w:lineRule="atLeast"/>
      <w:jc w:val="both"/>
    </w:pPr>
    <w:rPr>
      <w:szCs w:val="20"/>
    </w:rPr>
  </w:style>
  <w:style w:type="paragraph" w:customStyle="1" w:styleId="Bullet2nospace">
    <w:name w:val="Bullet 2 no space"/>
    <w:basedOn w:val="Bullet1"/>
    <w:rsid w:val="00E21B86"/>
    <w:pPr>
      <w:spacing w:after="0"/>
    </w:pPr>
  </w:style>
  <w:style w:type="paragraph" w:customStyle="1" w:styleId="Bullet1">
    <w:name w:val="Bullet 1"/>
    <w:basedOn w:val="BodyText"/>
    <w:rsid w:val="00411B40"/>
    <w:pPr>
      <w:numPr>
        <w:numId w:val="2"/>
      </w:numPr>
      <w:tabs>
        <w:tab w:val="left" w:pos="284"/>
      </w:tabs>
      <w:ind w:left="284" w:hanging="284"/>
    </w:pPr>
  </w:style>
  <w:style w:type="paragraph" w:styleId="Footer">
    <w:name w:val="footer"/>
    <w:basedOn w:val="Normal"/>
    <w:rsid w:val="00995115"/>
    <w:pPr>
      <w:tabs>
        <w:tab w:val="center" w:pos="4153"/>
        <w:tab w:val="right" w:pos="8306"/>
      </w:tabs>
    </w:pPr>
  </w:style>
  <w:style w:type="paragraph" w:styleId="FootnoteText">
    <w:name w:val="footnote text"/>
    <w:basedOn w:val="Normal"/>
    <w:semiHidden/>
    <w:rsid w:val="009A016F"/>
    <w:rPr>
      <w:sz w:val="14"/>
      <w:szCs w:val="20"/>
    </w:rPr>
  </w:style>
  <w:style w:type="paragraph" w:styleId="Header">
    <w:name w:val="header"/>
    <w:basedOn w:val="Normal"/>
    <w:rsid w:val="00C64698"/>
    <w:pPr>
      <w:tabs>
        <w:tab w:val="center" w:pos="4253"/>
        <w:tab w:val="right" w:pos="8505"/>
      </w:tabs>
      <w:spacing w:line="200" w:lineRule="atLeast"/>
    </w:pPr>
    <w:rPr>
      <w:sz w:val="16"/>
      <w:szCs w:val="20"/>
    </w:rPr>
  </w:style>
  <w:style w:type="character" w:styleId="Hyperlink">
    <w:name w:val="Hyperlink"/>
    <w:basedOn w:val="DefaultParagraphFont"/>
    <w:semiHidden/>
    <w:rsid w:val="004C2A26"/>
    <w:rPr>
      <w:color w:val="0000FF"/>
      <w:u w:val="single"/>
    </w:rPr>
  </w:style>
  <w:style w:type="paragraph" w:customStyle="1" w:styleId="Keypointtext">
    <w:name w:val="Key point text"/>
    <w:basedOn w:val="Normal"/>
    <w:rsid w:val="007B699A"/>
    <w:pPr>
      <w:spacing w:before="120" w:line="260" w:lineRule="atLeast"/>
    </w:pPr>
    <w:rPr>
      <w:rFonts w:ascii="Arial" w:hAnsi="Arial"/>
      <w:sz w:val="20"/>
    </w:rPr>
  </w:style>
  <w:style w:type="table" w:customStyle="1" w:styleId="TableMOE1">
    <w:name w:val="Table MOE 1"/>
    <w:basedOn w:val="TableNormal"/>
    <w:rsid w:val="00433E27"/>
    <w:pPr>
      <w:jc w:val="right"/>
    </w:pPr>
    <w:rPr>
      <w:rFonts w:ascii="Arial" w:hAnsi="Arial"/>
    </w:rPr>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table" w:styleId="TableGrid">
    <w:name w:val="Table Grid"/>
    <w:basedOn w:val="TableNormal"/>
    <w:rsid w:val="00615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A80F89"/>
    <w:rPr>
      <w:vertAlign w:val="superscript"/>
    </w:rPr>
  </w:style>
  <w:style w:type="paragraph" w:styleId="Caption">
    <w:name w:val="caption"/>
    <w:basedOn w:val="Normal"/>
    <w:next w:val="Normal"/>
    <w:qFormat/>
    <w:rsid w:val="006C3E92"/>
    <w:pPr>
      <w:keepNext/>
      <w:spacing w:line="220" w:lineRule="atLeast"/>
    </w:pPr>
    <w:rPr>
      <w:rFonts w:ascii="Arial" w:hAnsi="Arial" w:cs="Arial"/>
      <w:b/>
      <w:bCs/>
      <w:sz w:val="15"/>
      <w:szCs w:val="20"/>
    </w:rPr>
  </w:style>
  <w:style w:type="character" w:styleId="PageNumber">
    <w:name w:val="page number"/>
    <w:basedOn w:val="DefaultParagraphFont"/>
    <w:semiHidden/>
    <w:rsid w:val="009930F4"/>
    <w:rPr>
      <w:rFonts w:ascii="Arial" w:hAnsi="Arial"/>
      <w:sz w:val="18"/>
    </w:rPr>
  </w:style>
  <w:style w:type="paragraph" w:customStyle="1" w:styleId="Tabletext">
    <w:name w:val="Table text"/>
    <w:basedOn w:val="Normal"/>
    <w:rsid w:val="00F45EC2"/>
    <w:pPr>
      <w:spacing w:line="220" w:lineRule="atLeast"/>
    </w:pPr>
    <w:rPr>
      <w:rFonts w:ascii="Arial" w:hAnsi="Arial"/>
      <w:sz w:val="15"/>
    </w:rPr>
  </w:style>
  <w:style w:type="paragraph" w:styleId="BalloonText">
    <w:name w:val="Balloon Text"/>
    <w:basedOn w:val="Normal"/>
    <w:semiHidden/>
    <w:rsid w:val="002541DD"/>
    <w:rPr>
      <w:rFonts w:cs="Tahoma"/>
      <w:sz w:val="16"/>
      <w:szCs w:val="16"/>
    </w:rPr>
  </w:style>
  <w:style w:type="paragraph" w:customStyle="1" w:styleId="Tableheading">
    <w:name w:val="Table heading"/>
    <w:basedOn w:val="Tabletext"/>
    <w:rsid w:val="00D24A03"/>
    <w:pPr>
      <w:keepNext/>
      <w:jc w:val="center"/>
    </w:pPr>
    <w:rPr>
      <w:b/>
    </w:rPr>
  </w:style>
  <w:style w:type="paragraph" w:styleId="TOC1">
    <w:name w:val="toc 1"/>
    <w:basedOn w:val="BodyText"/>
    <w:next w:val="Normal"/>
    <w:semiHidden/>
    <w:rsid w:val="00177D52"/>
    <w:pPr>
      <w:tabs>
        <w:tab w:val="right" w:pos="8222"/>
      </w:tabs>
      <w:spacing w:before="240" w:after="80" w:line="240" w:lineRule="auto"/>
      <w:ind w:left="567" w:right="709" w:hanging="567"/>
    </w:pPr>
    <w:rPr>
      <w:rFonts w:ascii="Arial" w:hAnsi="Arial" w:cs="Arial"/>
      <w:noProof/>
      <w:sz w:val="20"/>
    </w:rPr>
  </w:style>
  <w:style w:type="paragraph" w:styleId="TOC2">
    <w:name w:val="toc 2"/>
    <w:basedOn w:val="Normal"/>
    <w:next w:val="Normal"/>
    <w:semiHidden/>
    <w:rsid w:val="00F009F0"/>
    <w:pPr>
      <w:tabs>
        <w:tab w:val="right" w:pos="8222"/>
      </w:tabs>
      <w:spacing w:after="80"/>
      <w:ind w:left="1134" w:right="709" w:hanging="567"/>
    </w:pPr>
    <w:rPr>
      <w:rFonts w:ascii="Arial" w:hAnsi="Arial"/>
      <w:noProof/>
      <w:sz w:val="20"/>
    </w:rPr>
  </w:style>
  <w:style w:type="paragraph" w:styleId="TableofFigures">
    <w:name w:val="table of figures"/>
    <w:basedOn w:val="BodyText"/>
    <w:next w:val="Normal"/>
    <w:uiPriority w:val="99"/>
    <w:semiHidden/>
    <w:rsid w:val="006B595C"/>
    <w:pPr>
      <w:tabs>
        <w:tab w:val="right" w:pos="7598"/>
      </w:tabs>
      <w:spacing w:before="240" w:after="120" w:line="260" w:lineRule="exact"/>
      <w:ind w:right="851"/>
      <w:jc w:val="left"/>
    </w:pPr>
    <w:rPr>
      <w:rFonts w:ascii="Arial" w:hAnsi="Arial" w:cs="Arial"/>
      <w:sz w:val="18"/>
    </w:rPr>
  </w:style>
  <w:style w:type="paragraph" w:customStyle="1" w:styleId="Note">
    <w:name w:val="Note"/>
    <w:basedOn w:val="Normal"/>
    <w:next w:val="BodyText"/>
    <w:rsid w:val="00B22C11"/>
    <w:pPr>
      <w:spacing w:before="120" w:after="240" w:line="180" w:lineRule="atLeast"/>
    </w:pPr>
    <w:rPr>
      <w:rFonts w:ascii="Arial" w:hAnsi="Arial"/>
      <w:sz w:val="14"/>
    </w:rPr>
  </w:style>
  <w:style w:type="paragraph" w:customStyle="1" w:styleId="Bullet1a">
    <w:name w:val="Bullet 1a"/>
    <w:basedOn w:val="Bullet1"/>
    <w:rsid w:val="00315AFE"/>
    <w:pPr>
      <w:tabs>
        <w:tab w:val="left" w:pos="567"/>
      </w:tabs>
      <w:ind w:left="568"/>
    </w:pPr>
  </w:style>
  <w:style w:type="paragraph" w:customStyle="1" w:styleId="Figurelabel">
    <w:name w:val="Figure label"/>
    <w:basedOn w:val="Caption"/>
    <w:next w:val="BodyText"/>
    <w:rsid w:val="009A7099"/>
    <w:pPr>
      <w:spacing w:after="120"/>
    </w:pPr>
    <w:rPr>
      <w:b w:val="0"/>
    </w:rPr>
  </w:style>
  <w:style w:type="paragraph" w:customStyle="1" w:styleId="Referencetext">
    <w:name w:val="Reference text"/>
    <w:basedOn w:val="BodyText"/>
    <w:qFormat/>
    <w:rsid w:val="00AD4BF0"/>
  </w:style>
  <w:style w:type="paragraph" w:styleId="Title">
    <w:name w:val="Title"/>
    <w:basedOn w:val="Normal"/>
    <w:qFormat/>
    <w:rsid w:val="00A0628E"/>
    <w:pPr>
      <w:spacing w:after="120" w:line="620" w:lineRule="exact"/>
      <w:ind w:left="2552"/>
      <w:jc w:val="right"/>
      <w:outlineLvl w:val="0"/>
    </w:pPr>
    <w:rPr>
      <w:rFonts w:ascii="Arial" w:hAnsi="Arial"/>
      <w:sz w:val="48"/>
    </w:rPr>
  </w:style>
  <w:style w:type="paragraph" w:customStyle="1" w:styleId="Insidecover">
    <w:name w:val="Inside cover"/>
    <w:basedOn w:val="Normal"/>
    <w:rsid w:val="004D1E17"/>
    <w:pPr>
      <w:ind w:left="-284"/>
    </w:pPr>
    <w:rPr>
      <w:rFonts w:ascii="Arial" w:hAnsi="Arial"/>
      <w:sz w:val="18"/>
    </w:rPr>
  </w:style>
  <w:style w:type="paragraph" w:customStyle="1" w:styleId="Heading">
    <w:name w:val="Heading"/>
    <w:basedOn w:val="Normal"/>
    <w:next w:val="BodyText"/>
    <w:rsid w:val="009E4CB6"/>
    <w:pPr>
      <w:keepNext/>
      <w:pBdr>
        <w:bottom w:val="single" w:sz="12" w:space="1" w:color="999999"/>
      </w:pBdr>
      <w:tabs>
        <w:tab w:val="left" w:pos="567"/>
      </w:tabs>
      <w:spacing w:after="360"/>
    </w:pPr>
    <w:rPr>
      <w:rFonts w:ascii="Arial" w:hAnsi="Arial"/>
      <w:caps/>
      <w:noProof/>
      <w:sz w:val="32"/>
    </w:rPr>
  </w:style>
  <w:style w:type="paragraph" w:customStyle="1" w:styleId="Keypointheading">
    <w:name w:val="Key point heading"/>
    <w:basedOn w:val="Normal"/>
    <w:next w:val="Keypointtext"/>
    <w:rsid w:val="007B699A"/>
    <w:pPr>
      <w:spacing w:before="120"/>
    </w:pPr>
    <w:rPr>
      <w:rFonts w:ascii="Arial" w:hAnsi="Arial"/>
      <w:caps/>
      <w:sz w:val="20"/>
    </w:rPr>
  </w:style>
  <w:style w:type="paragraph" w:customStyle="1" w:styleId="FooterEvenPage">
    <w:name w:val="Footer Even Page"/>
    <w:basedOn w:val="FooterOddPage"/>
    <w:rsid w:val="00D04922"/>
    <w:pPr>
      <w:ind w:left="851" w:right="0"/>
      <w:jc w:val="left"/>
    </w:pPr>
  </w:style>
  <w:style w:type="paragraph" w:customStyle="1" w:styleId="FooterOddPage">
    <w:name w:val="Footer Odd Page"/>
    <w:basedOn w:val="Normal"/>
    <w:rsid w:val="00995115"/>
    <w:pPr>
      <w:spacing w:line="200" w:lineRule="atLeast"/>
      <w:ind w:right="851"/>
      <w:jc w:val="right"/>
    </w:pPr>
    <w:rPr>
      <w:rFonts w:ascii="Arial" w:hAnsi="Arial"/>
      <w:sz w:val="16"/>
      <w:szCs w:val="18"/>
    </w:rPr>
  </w:style>
  <w:style w:type="paragraph" w:customStyle="1" w:styleId="Figure-Table">
    <w:name w:val="Figure-Table #"/>
    <w:basedOn w:val="Normal"/>
    <w:rsid w:val="009A33C6"/>
    <w:pPr>
      <w:spacing w:before="240" w:after="120" w:line="260" w:lineRule="exact"/>
    </w:pPr>
    <w:rPr>
      <w:rFonts w:ascii="Arial" w:hAnsi="Arial" w:cs="Arial"/>
      <w:b/>
      <w:sz w:val="18"/>
    </w:rPr>
  </w:style>
  <w:style w:type="paragraph" w:customStyle="1" w:styleId="Tablelabel">
    <w:name w:val="Table label"/>
    <w:basedOn w:val="Caption"/>
    <w:next w:val="Normal"/>
    <w:rsid w:val="009A7099"/>
    <w:pPr>
      <w:spacing w:after="120"/>
    </w:pPr>
    <w:rPr>
      <w:b w:val="0"/>
    </w:rPr>
  </w:style>
  <w:style w:type="paragraph" w:customStyle="1" w:styleId="Bullet2a">
    <w:name w:val="Bullet 2a"/>
    <w:basedOn w:val="Bullet2nospace"/>
    <w:rsid w:val="00315AFE"/>
    <w:pPr>
      <w:tabs>
        <w:tab w:val="left" w:pos="567"/>
      </w:tabs>
      <w:ind w:left="568"/>
    </w:pPr>
  </w:style>
  <w:style w:type="table" w:customStyle="1" w:styleId="TableMOE2">
    <w:name w:val="Table MOE 2"/>
    <w:basedOn w:val="TableMOE1"/>
    <w:rsid w:val="00433E27"/>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shd w:val="clear" w:color="auto" w:fill="C2D8EA"/>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paragraph" w:customStyle="1" w:styleId="Appendix">
    <w:name w:val="Appendix"/>
    <w:basedOn w:val="Heading1"/>
    <w:next w:val="BodyText"/>
    <w:rsid w:val="009D7E1B"/>
    <w:pPr>
      <w:numPr>
        <w:numId w:val="3"/>
      </w:numPr>
    </w:pPr>
  </w:style>
  <w:style w:type="table" w:customStyle="1" w:styleId="TableMOE3">
    <w:name w:val="Table MOE 3"/>
    <w:basedOn w:val="TableGrid"/>
    <w:rsid w:val="00433E27"/>
    <w:pPr>
      <w:jc w:val="right"/>
    </w:pPr>
    <w:rPr>
      <w:rFonts w:ascii="Arial" w:hAnsi="Arial"/>
    </w:rPr>
    <w:tblPr>
      <w:tblInd w:w="28" w:type="dxa"/>
      <w:tblBorders>
        <w:top w:val="single" w:sz="4" w:space="0" w:color="7F7F7F"/>
        <w:left w:val="single" w:sz="4" w:space="0" w:color="7F7F7F"/>
        <w:bottom w:val="single" w:sz="4" w:space="0" w:color="7F7F7F"/>
        <w:right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Titlesub">
    <w:name w:val="Title sub"/>
    <w:basedOn w:val="Title"/>
    <w:rsid w:val="004D7EC6"/>
    <w:pPr>
      <w:ind w:left="2835"/>
      <w:outlineLvl w:val="1"/>
    </w:pPr>
    <w:rPr>
      <w:i/>
      <w:sz w:val="40"/>
      <w:szCs w:val="40"/>
    </w:rPr>
  </w:style>
  <w:style w:type="paragraph" w:customStyle="1" w:styleId="Headingspaceafter">
    <w:name w:val="Heading (space after)"/>
    <w:basedOn w:val="Heading"/>
    <w:next w:val="BodyText"/>
    <w:rsid w:val="00BB72D9"/>
    <w:pPr>
      <w:spacing w:after="1200"/>
    </w:pPr>
    <w:rPr>
      <w:caps w:val="0"/>
      <w:sz w:val="36"/>
    </w:rPr>
  </w:style>
  <w:style w:type="table" w:customStyle="1" w:styleId="TableMOE4">
    <w:name w:val="Table MOE 4"/>
    <w:basedOn w:val="TableMOE3"/>
    <w:rsid w:val="005B2792"/>
    <w:tblPr>
      <w:tblInd w:w="28" w:type="dxa"/>
      <w:tblBorders>
        <w:top w:val="single" w:sz="4" w:space="0" w:color="7F7F7F"/>
        <w:left w:val="single" w:sz="4" w:space="0" w:color="7F7F7F"/>
        <w:bottom w:val="single" w:sz="4" w:space="0" w:color="7F7F7F"/>
        <w:right w:val="single" w:sz="4" w:space="0" w:color="7F7F7F"/>
        <w:insideH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Heading1A">
    <w:name w:val="Heading 1A"/>
    <w:basedOn w:val="Normal"/>
    <w:next w:val="BodyText"/>
    <w:rsid w:val="00CC3EDB"/>
    <w:pPr>
      <w:spacing w:after="240" w:line="260" w:lineRule="atLeast"/>
      <w:jc w:val="both"/>
    </w:pPr>
    <w:rPr>
      <w:rFonts w:ascii="Arial" w:hAnsi="Arial" w:cs="Arial"/>
      <w:color w:val="347FB9"/>
      <w:sz w:val="24"/>
    </w:rPr>
  </w:style>
  <w:style w:type="paragraph" w:customStyle="1" w:styleId="Heading1BnotinTOC">
    <w:name w:val="Heading 1B (not in TOC)"/>
    <w:basedOn w:val="Normal"/>
    <w:next w:val="BodyText"/>
    <w:rsid w:val="00720CBD"/>
    <w:pPr>
      <w:spacing w:after="240" w:line="260" w:lineRule="atLeast"/>
      <w:jc w:val="both"/>
    </w:pPr>
    <w:rPr>
      <w:rFonts w:ascii="Arial" w:hAnsi="Arial"/>
      <w:color w:val="347FB9"/>
      <w:sz w:val="24"/>
    </w:rPr>
  </w:style>
  <w:style w:type="paragraph" w:customStyle="1" w:styleId="AppendixSub">
    <w:name w:val="Appendix Sub"/>
    <w:basedOn w:val="Appendix"/>
    <w:next w:val="BodyText"/>
    <w:rsid w:val="00D04B97"/>
    <w:pPr>
      <w:numPr>
        <w:ilvl w:val="1"/>
      </w:numPr>
      <w:pBdr>
        <w:bottom w:val="none" w:sz="0" w:space="0" w:color="auto"/>
      </w:pBdr>
      <w:spacing w:before="240" w:after="240" w:line="260" w:lineRule="atLeast"/>
    </w:pPr>
    <w:rPr>
      <w:caps w:val="0"/>
      <w:sz w:val="28"/>
    </w:rPr>
  </w:style>
  <w:style w:type="paragraph" w:customStyle="1" w:styleId="Heading2a">
    <w:name w:val="Heading 2a"/>
    <w:basedOn w:val="Normal"/>
    <w:next w:val="BodyText"/>
    <w:rsid w:val="005A41A0"/>
    <w:pPr>
      <w:keepNext/>
      <w:numPr>
        <w:ilvl w:val="2"/>
        <w:numId w:val="1"/>
      </w:numPr>
      <w:spacing w:before="240" w:after="240" w:line="260" w:lineRule="atLeast"/>
    </w:pPr>
    <w:rPr>
      <w:rFonts w:ascii="Arial" w:hAnsi="Arial"/>
      <w:sz w:val="24"/>
    </w:rPr>
  </w:style>
  <w:style w:type="paragraph" w:styleId="TOC3">
    <w:name w:val="toc 3"/>
    <w:basedOn w:val="Normal"/>
    <w:next w:val="Normal"/>
    <w:autoRedefine/>
    <w:semiHidden/>
    <w:rsid w:val="00400AC4"/>
    <w:pPr>
      <w:ind w:left="440"/>
    </w:pPr>
  </w:style>
  <w:style w:type="paragraph" w:styleId="EndnoteText">
    <w:name w:val="endnote text"/>
    <w:basedOn w:val="Normal"/>
    <w:link w:val="EndnoteTextChar"/>
    <w:rsid w:val="00DF5A41"/>
    <w:rPr>
      <w:sz w:val="20"/>
      <w:szCs w:val="20"/>
    </w:rPr>
  </w:style>
  <w:style w:type="character" w:customStyle="1" w:styleId="EndnoteTextChar">
    <w:name w:val="Endnote Text Char"/>
    <w:basedOn w:val="DefaultParagraphFont"/>
    <w:link w:val="EndnoteText"/>
    <w:rsid w:val="00DF5A41"/>
    <w:rPr>
      <w:lang w:eastAsia="en-US"/>
    </w:rPr>
  </w:style>
  <w:style w:type="character" w:styleId="EndnoteReference">
    <w:name w:val="endnote reference"/>
    <w:basedOn w:val="DefaultParagraphFont"/>
    <w:rsid w:val="00DF5A41"/>
    <w:rPr>
      <w:vertAlign w:val="superscript"/>
    </w:rPr>
  </w:style>
  <w:style w:type="paragraph" w:styleId="ListBullet">
    <w:name w:val="List Bullet"/>
    <w:basedOn w:val="Normal"/>
    <w:rsid w:val="001C6F96"/>
    <w:pPr>
      <w:numPr>
        <w:numId w:val="12"/>
      </w:numPr>
      <w:contextualSpacing/>
    </w:pPr>
  </w:style>
  <w:style w:type="paragraph" w:styleId="NormalWeb">
    <w:name w:val="Normal (Web)"/>
    <w:basedOn w:val="Normal"/>
    <w:uiPriority w:val="99"/>
    <w:unhideWhenUsed/>
    <w:rsid w:val="00787772"/>
    <w:pPr>
      <w:spacing w:before="100" w:beforeAutospacing="1" w:after="100" w:afterAutospacing="1"/>
    </w:pPr>
    <w:rPr>
      <w:rFonts w:eastAsiaTheme="minorEastAsia"/>
      <w:sz w:val="24"/>
      <w:lang w:eastAsia="en-NZ"/>
    </w:rPr>
  </w:style>
</w:styles>
</file>

<file path=word/webSettings.xml><?xml version="1.0" encoding="utf-8"?>
<w:webSettings xmlns:r="http://schemas.openxmlformats.org/officeDocument/2006/relationships" xmlns:w="http://schemas.openxmlformats.org/wordprocessingml/2006/main">
  <w:divs>
    <w:div w:id="487022205">
      <w:bodyDiv w:val="1"/>
      <w:marLeft w:val="0"/>
      <w:marRight w:val="0"/>
      <w:marTop w:val="0"/>
      <w:marBottom w:val="0"/>
      <w:divBdr>
        <w:top w:val="none" w:sz="0" w:space="0" w:color="auto"/>
        <w:left w:val="none" w:sz="0" w:space="0" w:color="auto"/>
        <w:bottom w:val="none" w:sz="0" w:space="0" w:color="auto"/>
        <w:right w:val="none" w:sz="0" w:space="0" w:color="auto"/>
      </w:divBdr>
      <w:divsChild>
        <w:div w:id="406802302">
          <w:marLeft w:val="0"/>
          <w:marRight w:val="0"/>
          <w:marTop w:val="0"/>
          <w:marBottom w:val="0"/>
          <w:divBdr>
            <w:top w:val="none" w:sz="0" w:space="0" w:color="auto"/>
            <w:left w:val="none" w:sz="0" w:space="0" w:color="auto"/>
            <w:bottom w:val="none" w:sz="0" w:space="0" w:color="auto"/>
            <w:right w:val="none" w:sz="0" w:space="0" w:color="auto"/>
          </w:divBdr>
          <w:divsChild>
            <w:div w:id="1519268148">
              <w:marLeft w:val="0"/>
              <w:marRight w:val="0"/>
              <w:marTop w:val="0"/>
              <w:marBottom w:val="0"/>
              <w:divBdr>
                <w:top w:val="none" w:sz="0" w:space="0" w:color="auto"/>
                <w:left w:val="none" w:sz="0" w:space="0" w:color="auto"/>
                <w:bottom w:val="none" w:sz="0" w:space="0" w:color="auto"/>
                <w:right w:val="none" w:sz="0" w:space="0" w:color="auto"/>
              </w:divBdr>
              <w:divsChild>
                <w:div w:id="780682135">
                  <w:marLeft w:val="0"/>
                  <w:marRight w:val="0"/>
                  <w:marTop w:val="0"/>
                  <w:marBottom w:val="0"/>
                  <w:divBdr>
                    <w:top w:val="none" w:sz="0" w:space="0" w:color="auto"/>
                    <w:left w:val="none" w:sz="0" w:space="0" w:color="auto"/>
                    <w:bottom w:val="none" w:sz="0" w:space="0" w:color="auto"/>
                    <w:right w:val="none" w:sz="0" w:space="0" w:color="auto"/>
                  </w:divBdr>
                  <w:divsChild>
                    <w:div w:id="488060412">
                      <w:marLeft w:val="0"/>
                      <w:marRight w:val="0"/>
                      <w:marTop w:val="0"/>
                      <w:marBottom w:val="0"/>
                      <w:divBdr>
                        <w:top w:val="none" w:sz="0" w:space="0" w:color="auto"/>
                        <w:left w:val="none" w:sz="0" w:space="0" w:color="auto"/>
                        <w:bottom w:val="none" w:sz="0" w:space="0" w:color="auto"/>
                        <w:right w:val="none" w:sz="0" w:space="0" w:color="auto"/>
                      </w:divBdr>
                      <w:divsChild>
                        <w:div w:id="233007892">
                          <w:marLeft w:val="0"/>
                          <w:marRight w:val="0"/>
                          <w:marTop w:val="0"/>
                          <w:marBottom w:val="0"/>
                          <w:divBdr>
                            <w:top w:val="none" w:sz="0" w:space="0" w:color="auto"/>
                            <w:left w:val="none" w:sz="0" w:space="0" w:color="auto"/>
                            <w:bottom w:val="none" w:sz="0" w:space="0" w:color="auto"/>
                            <w:right w:val="none" w:sz="0" w:space="0" w:color="auto"/>
                          </w:divBdr>
                          <w:divsChild>
                            <w:div w:id="108008720">
                              <w:marLeft w:val="0"/>
                              <w:marRight w:val="0"/>
                              <w:marTop w:val="0"/>
                              <w:marBottom w:val="0"/>
                              <w:divBdr>
                                <w:top w:val="none" w:sz="0" w:space="0" w:color="auto"/>
                                <w:left w:val="none" w:sz="0" w:space="0" w:color="auto"/>
                                <w:bottom w:val="none" w:sz="0" w:space="0" w:color="auto"/>
                                <w:right w:val="none" w:sz="0" w:space="0" w:color="auto"/>
                              </w:divBdr>
                              <w:divsChild>
                                <w:div w:id="1601445195">
                                  <w:marLeft w:val="0"/>
                                  <w:marRight w:val="0"/>
                                  <w:marTop w:val="0"/>
                                  <w:marBottom w:val="0"/>
                                  <w:divBdr>
                                    <w:top w:val="none" w:sz="0" w:space="0" w:color="auto"/>
                                    <w:left w:val="none" w:sz="0" w:space="0" w:color="auto"/>
                                    <w:bottom w:val="none" w:sz="0" w:space="0" w:color="auto"/>
                                    <w:right w:val="none" w:sz="0" w:space="0" w:color="auto"/>
                                  </w:divBdr>
                                  <w:divsChild>
                                    <w:div w:id="804616324">
                                      <w:marLeft w:val="0"/>
                                      <w:marRight w:val="0"/>
                                      <w:marTop w:val="0"/>
                                      <w:marBottom w:val="0"/>
                                      <w:divBdr>
                                        <w:top w:val="none" w:sz="0" w:space="0" w:color="auto"/>
                                        <w:left w:val="none" w:sz="0" w:space="0" w:color="auto"/>
                                        <w:bottom w:val="none" w:sz="0" w:space="0" w:color="auto"/>
                                        <w:right w:val="none" w:sz="0" w:space="0" w:color="auto"/>
                                      </w:divBdr>
                                      <w:divsChild>
                                        <w:div w:id="49963342">
                                          <w:marLeft w:val="0"/>
                                          <w:marRight w:val="0"/>
                                          <w:marTop w:val="0"/>
                                          <w:marBottom w:val="0"/>
                                          <w:divBdr>
                                            <w:top w:val="none" w:sz="0" w:space="0" w:color="auto"/>
                                            <w:left w:val="none" w:sz="0" w:space="0" w:color="auto"/>
                                            <w:bottom w:val="none" w:sz="0" w:space="0" w:color="auto"/>
                                            <w:right w:val="none" w:sz="0" w:space="0" w:color="auto"/>
                                          </w:divBdr>
                                          <w:divsChild>
                                            <w:div w:id="1370181894">
                                              <w:marLeft w:val="0"/>
                                              <w:marRight w:val="0"/>
                                              <w:marTop w:val="0"/>
                                              <w:marBottom w:val="0"/>
                                              <w:divBdr>
                                                <w:top w:val="none" w:sz="0" w:space="0" w:color="auto"/>
                                                <w:left w:val="none" w:sz="0" w:space="0" w:color="auto"/>
                                                <w:bottom w:val="none" w:sz="0" w:space="0" w:color="auto"/>
                                                <w:right w:val="none" w:sz="0" w:space="0" w:color="auto"/>
                                              </w:divBdr>
                                              <w:divsChild>
                                                <w:div w:id="637689047">
                                                  <w:marLeft w:val="0"/>
                                                  <w:marRight w:val="0"/>
                                                  <w:marTop w:val="0"/>
                                                  <w:marBottom w:val="0"/>
                                                  <w:divBdr>
                                                    <w:top w:val="none" w:sz="0" w:space="0" w:color="auto"/>
                                                    <w:left w:val="none" w:sz="0" w:space="0" w:color="auto"/>
                                                    <w:bottom w:val="none" w:sz="0" w:space="0" w:color="auto"/>
                                                    <w:right w:val="none" w:sz="0" w:space="0" w:color="auto"/>
                                                  </w:divBdr>
                                                  <w:divsChild>
                                                    <w:div w:id="407460348">
                                                      <w:marLeft w:val="0"/>
                                                      <w:marRight w:val="0"/>
                                                      <w:marTop w:val="0"/>
                                                      <w:marBottom w:val="0"/>
                                                      <w:divBdr>
                                                        <w:top w:val="none" w:sz="0" w:space="0" w:color="auto"/>
                                                        <w:left w:val="none" w:sz="0" w:space="0" w:color="auto"/>
                                                        <w:bottom w:val="none" w:sz="0" w:space="0" w:color="auto"/>
                                                        <w:right w:val="none" w:sz="0" w:space="0" w:color="auto"/>
                                                      </w:divBdr>
                                                      <w:divsChild>
                                                        <w:div w:id="861550386">
                                                          <w:marLeft w:val="0"/>
                                                          <w:marRight w:val="0"/>
                                                          <w:marTop w:val="0"/>
                                                          <w:marBottom w:val="0"/>
                                                          <w:divBdr>
                                                            <w:top w:val="none" w:sz="0" w:space="0" w:color="auto"/>
                                                            <w:left w:val="none" w:sz="0" w:space="0" w:color="auto"/>
                                                            <w:bottom w:val="none" w:sz="0" w:space="0" w:color="auto"/>
                                                            <w:right w:val="none" w:sz="0" w:space="0" w:color="auto"/>
                                                          </w:divBdr>
                                                          <w:divsChild>
                                                            <w:div w:id="1549023600">
                                                              <w:marLeft w:val="0"/>
                                                              <w:marRight w:val="0"/>
                                                              <w:marTop w:val="0"/>
                                                              <w:marBottom w:val="0"/>
                                                              <w:divBdr>
                                                                <w:top w:val="none" w:sz="0" w:space="0" w:color="auto"/>
                                                                <w:left w:val="none" w:sz="0" w:space="0" w:color="auto"/>
                                                                <w:bottom w:val="none" w:sz="0" w:space="0" w:color="auto"/>
                                                                <w:right w:val="none" w:sz="0" w:space="0" w:color="auto"/>
                                                              </w:divBdr>
                                                              <w:divsChild>
                                                                <w:div w:id="540018363">
                                                                  <w:marLeft w:val="0"/>
                                                                  <w:marRight w:val="0"/>
                                                                  <w:marTop w:val="0"/>
                                                                  <w:marBottom w:val="0"/>
                                                                  <w:divBdr>
                                                                    <w:top w:val="none" w:sz="0" w:space="0" w:color="auto"/>
                                                                    <w:left w:val="none" w:sz="0" w:space="0" w:color="auto"/>
                                                                    <w:bottom w:val="none" w:sz="0" w:space="0" w:color="auto"/>
                                                                    <w:right w:val="none" w:sz="0" w:space="0" w:color="auto"/>
                                                                  </w:divBdr>
                                                                  <w:divsChild>
                                                                    <w:div w:id="940992903">
                                                                      <w:marLeft w:val="0"/>
                                                                      <w:marRight w:val="0"/>
                                                                      <w:marTop w:val="0"/>
                                                                      <w:marBottom w:val="0"/>
                                                                      <w:divBdr>
                                                                        <w:top w:val="none" w:sz="0" w:space="0" w:color="auto"/>
                                                                        <w:left w:val="none" w:sz="0" w:space="0" w:color="auto"/>
                                                                        <w:bottom w:val="none" w:sz="0" w:space="0" w:color="auto"/>
                                                                        <w:right w:val="none" w:sz="0" w:space="0" w:color="auto"/>
                                                                      </w:divBdr>
                                                                      <w:divsChild>
                                                                        <w:div w:id="1373268811">
                                                                          <w:marLeft w:val="0"/>
                                                                          <w:marRight w:val="0"/>
                                                                          <w:marTop w:val="0"/>
                                                                          <w:marBottom w:val="0"/>
                                                                          <w:divBdr>
                                                                            <w:top w:val="none" w:sz="0" w:space="0" w:color="auto"/>
                                                                            <w:left w:val="none" w:sz="0" w:space="0" w:color="auto"/>
                                                                            <w:bottom w:val="none" w:sz="0" w:space="0" w:color="auto"/>
                                                                            <w:right w:val="none" w:sz="0" w:space="0" w:color="auto"/>
                                                                          </w:divBdr>
                                                                          <w:divsChild>
                                                                            <w:div w:id="1535272061">
                                                                              <w:marLeft w:val="0"/>
                                                                              <w:marRight w:val="0"/>
                                                                              <w:marTop w:val="0"/>
                                                                              <w:marBottom w:val="0"/>
                                                                              <w:divBdr>
                                                                                <w:top w:val="none" w:sz="0" w:space="0" w:color="auto"/>
                                                                                <w:left w:val="none" w:sz="0" w:space="0" w:color="auto"/>
                                                                                <w:bottom w:val="none" w:sz="0" w:space="0" w:color="auto"/>
                                                                                <w:right w:val="none" w:sz="0" w:space="0" w:color="auto"/>
                                                                              </w:divBdr>
                                                                              <w:divsChild>
                                                                                <w:div w:id="2116826562">
                                                                                  <w:marLeft w:val="0"/>
                                                                                  <w:marRight w:val="0"/>
                                                                                  <w:marTop w:val="0"/>
                                                                                  <w:marBottom w:val="0"/>
                                                                                  <w:divBdr>
                                                                                    <w:top w:val="none" w:sz="0" w:space="0" w:color="auto"/>
                                                                                    <w:left w:val="none" w:sz="0" w:space="0" w:color="auto"/>
                                                                                    <w:bottom w:val="none" w:sz="0" w:space="0" w:color="auto"/>
                                                                                    <w:right w:val="none" w:sz="0" w:space="0" w:color="auto"/>
                                                                                  </w:divBdr>
                                                                                  <w:divsChild>
                                                                                    <w:div w:id="2035300234">
                                                                                      <w:marLeft w:val="0"/>
                                                                                      <w:marRight w:val="0"/>
                                                                                      <w:marTop w:val="0"/>
                                                                                      <w:marBottom w:val="0"/>
                                                                                      <w:divBdr>
                                                                                        <w:top w:val="none" w:sz="0" w:space="0" w:color="auto"/>
                                                                                        <w:left w:val="none" w:sz="0" w:space="0" w:color="auto"/>
                                                                                        <w:bottom w:val="none" w:sz="0" w:space="0" w:color="auto"/>
                                                                                        <w:right w:val="none" w:sz="0" w:space="0" w:color="auto"/>
                                                                                      </w:divBdr>
                                                                                      <w:divsChild>
                                                                                        <w:div w:id="2079546275">
                                                                                          <w:marLeft w:val="0"/>
                                                                                          <w:marRight w:val="0"/>
                                                                                          <w:marTop w:val="0"/>
                                                                                          <w:marBottom w:val="0"/>
                                                                                          <w:divBdr>
                                                                                            <w:top w:val="none" w:sz="0" w:space="0" w:color="auto"/>
                                                                                            <w:left w:val="none" w:sz="0" w:space="0" w:color="auto"/>
                                                                                            <w:bottom w:val="none" w:sz="0" w:space="0" w:color="auto"/>
                                                                                            <w:right w:val="none" w:sz="0" w:space="0" w:color="auto"/>
                                                                                          </w:divBdr>
                                                                                          <w:divsChild>
                                                                                            <w:div w:id="1135490207">
                                                                                              <w:marLeft w:val="0"/>
                                                                                              <w:marRight w:val="0"/>
                                                                                              <w:marTop w:val="0"/>
                                                                                              <w:marBottom w:val="0"/>
                                                                                              <w:divBdr>
                                                                                                <w:top w:val="none" w:sz="0" w:space="0" w:color="auto"/>
                                                                                                <w:left w:val="none" w:sz="0" w:space="0" w:color="auto"/>
                                                                                                <w:bottom w:val="none" w:sz="0" w:space="0" w:color="auto"/>
                                                                                                <w:right w:val="none" w:sz="0" w:space="0" w:color="auto"/>
                                                                                              </w:divBdr>
                                                                                              <w:divsChild>
                                                                                                <w:div w:id="641082658">
                                                                                                  <w:marLeft w:val="0"/>
                                                                                                  <w:marRight w:val="0"/>
                                                                                                  <w:marTop w:val="0"/>
                                                                                                  <w:marBottom w:val="0"/>
                                                                                                  <w:divBdr>
                                                                                                    <w:top w:val="none" w:sz="0" w:space="0" w:color="auto"/>
                                                                                                    <w:left w:val="none" w:sz="0" w:space="0" w:color="auto"/>
                                                                                                    <w:bottom w:val="none" w:sz="0" w:space="0" w:color="auto"/>
                                                                                                    <w:right w:val="none" w:sz="0" w:space="0" w:color="auto"/>
                                                                                                  </w:divBdr>
                                                                                                  <w:divsChild>
                                                                                                    <w:div w:id="713038325">
                                                                                                      <w:marLeft w:val="0"/>
                                                                                                      <w:marRight w:val="0"/>
                                                                                                      <w:marTop w:val="0"/>
                                                                                                      <w:marBottom w:val="0"/>
                                                                                                      <w:divBdr>
                                                                                                        <w:top w:val="none" w:sz="0" w:space="0" w:color="auto"/>
                                                                                                        <w:left w:val="none" w:sz="0" w:space="0" w:color="auto"/>
                                                                                                        <w:bottom w:val="none" w:sz="0" w:space="0" w:color="auto"/>
                                                                                                        <w:right w:val="none" w:sz="0" w:space="0" w:color="auto"/>
                                                                                                      </w:divBdr>
                                                                                                      <w:divsChild>
                                                                                                        <w:div w:id="1251502330">
                                                                                                          <w:marLeft w:val="0"/>
                                                                                                          <w:marRight w:val="0"/>
                                                                                                          <w:marTop w:val="0"/>
                                                                                                          <w:marBottom w:val="0"/>
                                                                                                          <w:divBdr>
                                                                                                            <w:top w:val="none" w:sz="0" w:space="0" w:color="auto"/>
                                                                                                            <w:left w:val="none" w:sz="0" w:space="0" w:color="auto"/>
                                                                                                            <w:bottom w:val="none" w:sz="0" w:space="0" w:color="auto"/>
                                                                                                            <w:right w:val="none" w:sz="0" w:space="0" w:color="auto"/>
                                                                                                          </w:divBdr>
                                                                                                          <w:divsChild>
                                                                                                            <w:div w:id="206451793">
                                                                                                              <w:marLeft w:val="0"/>
                                                                                                              <w:marRight w:val="0"/>
                                                                                                              <w:marTop w:val="0"/>
                                                                                                              <w:marBottom w:val="0"/>
                                                                                                              <w:divBdr>
                                                                                                                <w:top w:val="none" w:sz="0" w:space="0" w:color="auto"/>
                                                                                                                <w:left w:val="none" w:sz="0" w:space="0" w:color="auto"/>
                                                                                                                <w:bottom w:val="none" w:sz="0" w:space="0" w:color="auto"/>
                                                                                                                <w:right w:val="none" w:sz="0" w:space="0" w:color="auto"/>
                                                                                                              </w:divBdr>
                                                                                                              <w:divsChild>
                                                                                                                <w:div w:id="245380875">
                                                                                                                  <w:marLeft w:val="0"/>
                                                                                                                  <w:marRight w:val="0"/>
                                                                                                                  <w:marTop w:val="0"/>
                                                                                                                  <w:marBottom w:val="0"/>
                                                                                                                  <w:divBdr>
                                                                                                                    <w:top w:val="none" w:sz="0" w:space="0" w:color="auto"/>
                                                                                                                    <w:left w:val="none" w:sz="0" w:space="0" w:color="auto"/>
                                                                                                                    <w:bottom w:val="none" w:sz="0" w:space="0" w:color="auto"/>
                                                                                                                    <w:right w:val="none" w:sz="0" w:space="0" w:color="auto"/>
                                                                                                                  </w:divBdr>
                                                                                                                  <w:divsChild>
                                                                                                                    <w:div w:id="1249076257">
                                                                                                                      <w:marLeft w:val="0"/>
                                                                                                                      <w:marRight w:val="0"/>
                                                                                                                      <w:marTop w:val="0"/>
                                                                                                                      <w:marBottom w:val="0"/>
                                                                                                                      <w:divBdr>
                                                                                                                        <w:top w:val="none" w:sz="0" w:space="0" w:color="auto"/>
                                                                                                                        <w:left w:val="none" w:sz="0" w:space="0" w:color="auto"/>
                                                                                                                        <w:bottom w:val="none" w:sz="0" w:space="0" w:color="auto"/>
                                                                                                                        <w:right w:val="none" w:sz="0" w:space="0" w:color="auto"/>
                                                                                                                      </w:divBdr>
                                                                                                                      <w:divsChild>
                                                                                                                        <w:div w:id="88894429">
                                                                                                                          <w:marLeft w:val="0"/>
                                                                                                                          <w:marRight w:val="0"/>
                                                                                                                          <w:marTop w:val="0"/>
                                                                                                                          <w:marBottom w:val="0"/>
                                                                                                                          <w:divBdr>
                                                                                                                            <w:top w:val="none" w:sz="0" w:space="0" w:color="auto"/>
                                                                                                                            <w:left w:val="none" w:sz="0" w:space="0" w:color="auto"/>
                                                                                                                            <w:bottom w:val="none" w:sz="0" w:space="0" w:color="auto"/>
                                                                                                                            <w:right w:val="none" w:sz="0" w:space="0" w:color="auto"/>
                                                                                                                          </w:divBdr>
                                                                                                                          <w:divsChild>
                                                                                                                            <w:div w:id="1069423875">
                                                                                                                              <w:marLeft w:val="0"/>
                                                                                                                              <w:marRight w:val="0"/>
                                                                                                                              <w:marTop w:val="0"/>
                                                                                                                              <w:marBottom w:val="0"/>
                                                                                                                              <w:divBdr>
                                                                                                                                <w:top w:val="none" w:sz="0" w:space="0" w:color="auto"/>
                                                                                                                                <w:left w:val="none" w:sz="0" w:space="0" w:color="auto"/>
                                                                                                                                <w:bottom w:val="none" w:sz="0" w:space="0" w:color="auto"/>
                                                                                                                                <w:right w:val="none" w:sz="0" w:space="0" w:color="auto"/>
                                                                                                                              </w:divBdr>
                                                                                                                              <w:divsChild>
                                                                                                                                <w:div w:id="1236822033">
                                                                                                                                  <w:marLeft w:val="0"/>
                                                                                                                                  <w:marRight w:val="0"/>
                                                                                                                                  <w:marTop w:val="0"/>
                                                                                                                                  <w:marBottom w:val="0"/>
                                                                                                                                  <w:divBdr>
                                                                                                                                    <w:top w:val="none" w:sz="0" w:space="0" w:color="auto"/>
                                                                                                                                    <w:left w:val="none" w:sz="0" w:space="0" w:color="auto"/>
                                                                                                                                    <w:bottom w:val="none" w:sz="0" w:space="0" w:color="auto"/>
                                                                                                                                    <w:right w:val="none" w:sz="0" w:space="0" w:color="auto"/>
                                                                                                                                  </w:divBdr>
                                                                                                                                  <w:divsChild>
                                                                                                                                    <w:div w:id="2100565215">
                                                                                                                                      <w:marLeft w:val="0"/>
                                                                                                                                      <w:marRight w:val="0"/>
                                                                                                                                      <w:marTop w:val="0"/>
                                                                                                                                      <w:marBottom w:val="0"/>
                                                                                                                                      <w:divBdr>
                                                                                                                                        <w:top w:val="none" w:sz="0" w:space="0" w:color="auto"/>
                                                                                                                                        <w:left w:val="none" w:sz="0" w:space="0" w:color="auto"/>
                                                                                                                                        <w:bottom w:val="none" w:sz="0" w:space="0" w:color="auto"/>
                                                                                                                                        <w:right w:val="none" w:sz="0" w:space="0" w:color="auto"/>
                                                                                                                                      </w:divBdr>
                                                                                                                                      <w:divsChild>
                                                                                                                                        <w:div w:id="145517978">
                                                                                                                                          <w:marLeft w:val="0"/>
                                                                                                                                          <w:marRight w:val="0"/>
                                                                                                                                          <w:marTop w:val="0"/>
                                                                                                                                          <w:marBottom w:val="0"/>
                                                                                                                                          <w:divBdr>
                                                                                                                                            <w:top w:val="none" w:sz="0" w:space="0" w:color="auto"/>
                                                                                                                                            <w:left w:val="none" w:sz="0" w:space="0" w:color="auto"/>
                                                                                                                                            <w:bottom w:val="none" w:sz="0" w:space="0" w:color="auto"/>
                                                                                                                                            <w:right w:val="none" w:sz="0" w:space="0" w:color="auto"/>
                                                                                                                                          </w:divBdr>
                                                                                                                                          <w:divsChild>
                                                                                                                                            <w:div w:id="635840403">
                                                                                                                                              <w:marLeft w:val="0"/>
                                                                                                                                              <w:marRight w:val="0"/>
                                                                                                                                              <w:marTop w:val="0"/>
                                                                                                                                              <w:marBottom w:val="0"/>
                                                                                                                                              <w:divBdr>
                                                                                                                                                <w:top w:val="none" w:sz="0" w:space="0" w:color="auto"/>
                                                                                                                                                <w:left w:val="none" w:sz="0" w:space="0" w:color="auto"/>
                                                                                                                                                <w:bottom w:val="none" w:sz="0" w:space="0" w:color="auto"/>
                                                                                                                                                <w:right w:val="none" w:sz="0" w:space="0" w:color="auto"/>
                                                                                                                                              </w:divBdr>
                                                                                                                                              <w:divsChild>
                                                                                                                                                <w:div w:id="1003430743">
                                                                                                                                                  <w:marLeft w:val="0"/>
                                                                                                                                                  <w:marRight w:val="0"/>
                                                                                                                                                  <w:marTop w:val="0"/>
                                                                                                                                                  <w:marBottom w:val="0"/>
                                                                                                                                                  <w:divBdr>
                                                                                                                                                    <w:top w:val="none" w:sz="0" w:space="0" w:color="auto"/>
                                                                                                                                                    <w:left w:val="none" w:sz="0" w:space="0" w:color="auto"/>
                                                                                                                                                    <w:bottom w:val="none" w:sz="0" w:space="0" w:color="auto"/>
                                                                                                                                                    <w:right w:val="none" w:sz="0" w:space="0" w:color="auto"/>
                                                                                                                                                  </w:divBdr>
                                                                                                                                                  <w:divsChild>
                                                                                                                                                    <w:div w:id="5950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402493">
      <w:bodyDiv w:val="1"/>
      <w:marLeft w:val="0"/>
      <w:marRight w:val="0"/>
      <w:marTop w:val="0"/>
      <w:marBottom w:val="0"/>
      <w:divBdr>
        <w:top w:val="none" w:sz="0" w:space="0" w:color="auto"/>
        <w:left w:val="none" w:sz="0" w:space="0" w:color="auto"/>
        <w:bottom w:val="none" w:sz="0" w:space="0" w:color="auto"/>
        <w:right w:val="none" w:sz="0" w:space="0" w:color="auto"/>
      </w:divBdr>
      <w:divsChild>
        <w:div w:id="151533361">
          <w:marLeft w:val="0"/>
          <w:marRight w:val="0"/>
          <w:marTop w:val="0"/>
          <w:marBottom w:val="0"/>
          <w:divBdr>
            <w:top w:val="none" w:sz="0" w:space="0" w:color="auto"/>
            <w:left w:val="none" w:sz="0" w:space="0" w:color="auto"/>
            <w:bottom w:val="none" w:sz="0" w:space="0" w:color="auto"/>
            <w:right w:val="none" w:sz="0" w:space="0" w:color="auto"/>
          </w:divBdr>
        </w:div>
        <w:div w:id="627779753">
          <w:marLeft w:val="0"/>
          <w:marRight w:val="0"/>
          <w:marTop w:val="0"/>
          <w:marBottom w:val="0"/>
          <w:divBdr>
            <w:top w:val="none" w:sz="0" w:space="0" w:color="auto"/>
            <w:left w:val="none" w:sz="0" w:space="0" w:color="auto"/>
            <w:bottom w:val="none" w:sz="0" w:space="0" w:color="auto"/>
            <w:right w:val="none" w:sz="0" w:space="0" w:color="auto"/>
          </w:divBdr>
        </w:div>
        <w:div w:id="1903131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image" Target="media/image12.png"/><Relationship Id="rId39" Type="http://schemas.openxmlformats.org/officeDocument/2006/relationships/image" Target="media/image25.e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chart" Target="charts/chart1.xml"/><Relationship Id="rId50"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1.png"/><Relationship Id="rId33" Type="http://schemas.openxmlformats.org/officeDocument/2006/relationships/image" Target="media/image19.emf"/><Relationship Id="rId38" Type="http://schemas.openxmlformats.org/officeDocument/2006/relationships/image" Target="media/image24.wmf"/><Relationship Id="rId46" Type="http://schemas.openxmlformats.org/officeDocument/2006/relationships/image" Target="media/image32.wmf"/><Relationship Id="rId2" Type="http://schemas.openxmlformats.org/officeDocument/2006/relationships/customXml" Target="../customXml/item1.xml"/><Relationship Id="rId16" Type="http://schemas.openxmlformats.org/officeDocument/2006/relationships/hyperlink" Target="http://www.educationcounts.govt.nz/" TargetMode="External"/><Relationship Id="rId20" Type="http://schemas.openxmlformats.org/officeDocument/2006/relationships/image" Target="media/image6.wmf"/><Relationship Id="rId29" Type="http://schemas.openxmlformats.org/officeDocument/2006/relationships/image" Target="media/image15.wmf"/><Relationship Id="rId41" Type="http://schemas.openxmlformats.org/officeDocument/2006/relationships/image" Target="media/image2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8.emf"/><Relationship Id="rId37" Type="http://schemas.openxmlformats.org/officeDocument/2006/relationships/image" Target="media/image23.wmf"/><Relationship Id="rId40" Type="http://schemas.openxmlformats.org/officeDocument/2006/relationships/image" Target="media/image26.emf"/><Relationship Id="rId45" Type="http://schemas.openxmlformats.org/officeDocument/2006/relationships/image" Target="media/image31.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emf"/><Relationship Id="rId49"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wmf"/><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Hocfs02.moe.govt.nz\tspar\Learners\literacy-language-numeracy\2013\ALL%20and%20Assessment%20Tool\all%20levels%20analysi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NZ"/>
  <c:chart>
    <c:plotArea>
      <c:layout/>
      <c:barChart>
        <c:barDir val="col"/>
        <c:grouping val="stacked"/>
        <c:ser>
          <c:idx val="0"/>
          <c:order val="0"/>
          <c:tx>
            <c:strRef>
              <c:f>ALL!$A$238</c:f>
              <c:strCache>
                <c:ptCount val="1"/>
                <c:pt idx="0">
                  <c:v>1</c:v>
                </c:pt>
              </c:strCache>
            </c:strRef>
          </c:tx>
          <c:dLbls>
            <c:showSerName val="1"/>
          </c:dLbls>
          <c:cat>
            <c:multiLvlStrRef>
              <c:f>ALL!$F$236:$I$237</c:f>
              <c:multiLvlStrCache>
                <c:ptCount val="4"/>
                <c:lvl>
                  <c:pt idx="0">
                    <c:v>ALL</c:v>
                  </c:pt>
                  <c:pt idx="1">
                    <c:v>AT</c:v>
                  </c:pt>
                  <c:pt idx="2">
                    <c:v>ALL</c:v>
                  </c:pt>
                  <c:pt idx="3">
                    <c:v>AT</c:v>
                  </c:pt>
                </c:lvl>
                <c:lvl>
                  <c:pt idx="0">
                    <c:v>Reading/Document literacy</c:v>
                  </c:pt>
                  <c:pt idx="2">
                    <c:v>Numeracy</c:v>
                  </c:pt>
                </c:lvl>
              </c:multiLvlStrCache>
            </c:multiLvlStrRef>
          </c:cat>
          <c:val>
            <c:numRef>
              <c:f>ALL!$F$238:$I$238</c:f>
              <c:numCache>
                <c:formatCode>General</c:formatCode>
                <c:ptCount val="4"/>
                <c:pt idx="0">
                  <c:v>225</c:v>
                </c:pt>
                <c:pt idx="1">
                  <c:v>192.21199999999999</c:v>
                </c:pt>
                <c:pt idx="2">
                  <c:v>225</c:v>
                </c:pt>
                <c:pt idx="3">
                  <c:v>169.34399999999999</c:v>
                </c:pt>
              </c:numCache>
            </c:numRef>
          </c:val>
        </c:ser>
        <c:ser>
          <c:idx val="1"/>
          <c:order val="1"/>
          <c:tx>
            <c:strRef>
              <c:f>ALL!$A$239</c:f>
              <c:strCache>
                <c:ptCount val="1"/>
                <c:pt idx="0">
                  <c:v>2</c:v>
                </c:pt>
              </c:strCache>
            </c:strRef>
          </c:tx>
          <c:dLbls>
            <c:showSerName val="1"/>
          </c:dLbls>
          <c:cat>
            <c:multiLvlStrRef>
              <c:f>ALL!$F$236:$I$237</c:f>
              <c:multiLvlStrCache>
                <c:ptCount val="4"/>
                <c:lvl>
                  <c:pt idx="0">
                    <c:v>ALL</c:v>
                  </c:pt>
                  <c:pt idx="1">
                    <c:v>AT</c:v>
                  </c:pt>
                  <c:pt idx="2">
                    <c:v>ALL</c:v>
                  </c:pt>
                  <c:pt idx="3">
                    <c:v>AT</c:v>
                  </c:pt>
                </c:lvl>
                <c:lvl>
                  <c:pt idx="0">
                    <c:v>Reading/Document literacy</c:v>
                  </c:pt>
                  <c:pt idx="2">
                    <c:v>Numeracy</c:v>
                  </c:pt>
                </c:lvl>
              </c:multiLvlStrCache>
            </c:multiLvlStrRef>
          </c:cat>
          <c:val>
            <c:numRef>
              <c:f>ALL!$F$239:$I$239</c:f>
              <c:numCache>
                <c:formatCode>General</c:formatCode>
                <c:ptCount val="4"/>
                <c:pt idx="0">
                  <c:v>50</c:v>
                </c:pt>
                <c:pt idx="1">
                  <c:v>32.519000000000005</c:v>
                </c:pt>
                <c:pt idx="2">
                  <c:v>50</c:v>
                </c:pt>
                <c:pt idx="3">
                  <c:v>22.75200000000001</c:v>
                </c:pt>
              </c:numCache>
            </c:numRef>
          </c:val>
        </c:ser>
        <c:ser>
          <c:idx val="2"/>
          <c:order val="2"/>
          <c:tx>
            <c:strRef>
              <c:f>ALL!$A$240</c:f>
              <c:strCache>
                <c:ptCount val="1"/>
                <c:pt idx="0">
                  <c:v>3</c:v>
                </c:pt>
              </c:strCache>
            </c:strRef>
          </c:tx>
          <c:dLbls>
            <c:showSerName val="1"/>
          </c:dLbls>
          <c:cat>
            <c:multiLvlStrRef>
              <c:f>ALL!$F$236:$I$237</c:f>
              <c:multiLvlStrCache>
                <c:ptCount val="4"/>
                <c:lvl>
                  <c:pt idx="0">
                    <c:v>ALL</c:v>
                  </c:pt>
                  <c:pt idx="1">
                    <c:v>AT</c:v>
                  </c:pt>
                  <c:pt idx="2">
                    <c:v>ALL</c:v>
                  </c:pt>
                  <c:pt idx="3">
                    <c:v>AT</c:v>
                  </c:pt>
                </c:lvl>
                <c:lvl>
                  <c:pt idx="0">
                    <c:v>Reading/Document literacy</c:v>
                  </c:pt>
                  <c:pt idx="2">
                    <c:v>Numeracy</c:v>
                  </c:pt>
                </c:lvl>
              </c:multiLvlStrCache>
            </c:multiLvlStrRef>
          </c:cat>
          <c:val>
            <c:numRef>
              <c:f>ALL!$F$240:$I$240</c:f>
              <c:numCache>
                <c:formatCode>General</c:formatCode>
                <c:ptCount val="4"/>
                <c:pt idx="0">
                  <c:v>50</c:v>
                </c:pt>
                <c:pt idx="1">
                  <c:v>30.045000000000016</c:v>
                </c:pt>
                <c:pt idx="2">
                  <c:v>50</c:v>
                </c:pt>
                <c:pt idx="3">
                  <c:v>21.413999999999987</c:v>
                </c:pt>
              </c:numCache>
            </c:numRef>
          </c:val>
        </c:ser>
        <c:ser>
          <c:idx val="3"/>
          <c:order val="3"/>
          <c:tx>
            <c:strRef>
              <c:f>ALL!$A$241</c:f>
              <c:strCache>
                <c:ptCount val="1"/>
                <c:pt idx="0">
                  <c:v>4</c:v>
                </c:pt>
              </c:strCache>
            </c:strRef>
          </c:tx>
          <c:dLbls>
            <c:showSerName val="1"/>
          </c:dLbls>
          <c:cat>
            <c:multiLvlStrRef>
              <c:f>ALL!$F$236:$I$237</c:f>
              <c:multiLvlStrCache>
                <c:ptCount val="4"/>
                <c:lvl>
                  <c:pt idx="0">
                    <c:v>ALL</c:v>
                  </c:pt>
                  <c:pt idx="1">
                    <c:v>AT</c:v>
                  </c:pt>
                  <c:pt idx="2">
                    <c:v>ALL</c:v>
                  </c:pt>
                  <c:pt idx="3">
                    <c:v>AT</c:v>
                  </c:pt>
                </c:lvl>
                <c:lvl>
                  <c:pt idx="0">
                    <c:v>Reading/Document literacy</c:v>
                  </c:pt>
                  <c:pt idx="2">
                    <c:v>Numeracy</c:v>
                  </c:pt>
                </c:lvl>
              </c:multiLvlStrCache>
            </c:multiLvlStrRef>
          </c:cat>
          <c:val>
            <c:numRef>
              <c:f>ALL!$F$241:$I$241</c:f>
              <c:numCache>
                <c:formatCode>General</c:formatCode>
                <c:ptCount val="4"/>
                <c:pt idx="0">
                  <c:v>50</c:v>
                </c:pt>
                <c:pt idx="1">
                  <c:v>25.802999999999987</c:v>
                </c:pt>
                <c:pt idx="2">
                  <c:v>50</c:v>
                </c:pt>
                <c:pt idx="3">
                  <c:v>25.09400000000003</c:v>
                </c:pt>
              </c:numCache>
            </c:numRef>
          </c:val>
        </c:ser>
        <c:ser>
          <c:idx val="4"/>
          <c:order val="4"/>
          <c:tx>
            <c:strRef>
              <c:f>ALL!$A$242</c:f>
              <c:strCache>
                <c:ptCount val="1"/>
                <c:pt idx="0">
                  <c:v>5</c:v>
                </c:pt>
              </c:strCache>
            </c:strRef>
          </c:tx>
          <c:dLbls>
            <c:dLbl>
              <c:idx val="0"/>
              <c:dLblPos val="inBase"/>
              <c:showSerName val="1"/>
            </c:dLbl>
            <c:dLbl>
              <c:idx val="2"/>
              <c:dLblPos val="inBase"/>
              <c:showSerName val="1"/>
            </c:dLbl>
            <c:showSerName val="1"/>
          </c:dLbls>
          <c:cat>
            <c:multiLvlStrRef>
              <c:f>ALL!$F$236:$I$237</c:f>
              <c:multiLvlStrCache>
                <c:ptCount val="4"/>
                <c:lvl>
                  <c:pt idx="0">
                    <c:v>ALL</c:v>
                  </c:pt>
                  <c:pt idx="1">
                    <c:v>AT</c:v>
                  </c:pt>
                  <c:pt idx="2">
                    <c:v>ALL</c:v>
                  </c:pt>
                  <c:pt idx="3">
                    <c:v>AT</c:v>
                  </c:pt>
                </c:lvl>
                <c:lvl>
                  <c:pt idx="0">
                    <c:v>Reading/Document literacy</c:v>
                  </c:pt>
                  <c:pt idx="2">
                    <c:v>Numeracy</c:v>
                  </c:pt>
                </c:lvl>
              </c:multiLvlStrCache>
            </c:multiLvlStrRef>
          </c:cat>
          <c:val>
            <c:numRef>
              <c:f>ALL!$F$242:$I$242</c:f>
              <c:numCache>
                <c:formatCode>General</c:formatCode>
                <c:ptCount val="4"/>
                <c:pt idx="0">
                  <c:v>125</c:v>
                </c:pt>
                <c:pt idx="1">
                  <c:v>20.147999999999968</c:v>
                </c:pt>
                <c:pt idx="2">
                  <c:v>125</c:v>
                </c:pt>
                <c:pt idx="3">
                  <c:v>28.775000000000006</c:v>
                </c:pt>
              </c:numCache>
            </c:numRef>
          </c:val>
        </c:ser>
        <c:ser>
          <c:idx val="5"/>
          <c:order val="5"/>
          <c:tx>
            <c:strRef>
              <c:f>ALL!$A$243</c:f>
              <c:strCache>
                <c:ptCount val="1"/>
                <c:pt idx="0">
                  <c:v>6</c:v>
                </c:pt>
              </c:strCache>
            </c:strRef>
          </c:tx>
          <c:dLbls>
            <c:dLblPos val="inBase"/>
            <c:showSerName val="1"/>
          </c:dLbls>
          <c:cat>
            <c:multiLvlStrRef>
              <c:f>ALL!$F$236:$I$237</c:f>
              <c:multiLvlStrCache>
                <c:ptCount val="4"/>
                <c:lvl>
                  <c:pt idx="0">
                    <c:v>ALL</c:v>
                  </c:pt>
                  <c:pt idx="1">
                    <c:v>AT</c:v>
                  </c:pt>
                  <c:pt idx="2">
                    <c:v>ALL</c:v>
                  </c:pt>
                  <c:pt idx="3">
                    <c:v>AT</c:v>
                  </c:pt>
                </c:lvl>
                <c:lvl>
                  <c:pt idx="0">
                    <c:v>Reading/Document literacy</c:v>
                  </c:pt>
                  <c:pt idx="2">
                    <c:v>Numeracy</c:v>
                  </c:pt>
                </c:lvl>
              </c:multiLvlStrCache>
            </c:multiLvlStrRef>
          </c:cat>
          <c:val>
            <c:numRef>
              <c:f>ALL!$F$243:$I$243</c:f>
              <c:numCache>
                <c:formatCode>General</c:formatCode>
                <c:ptCount val="4"/>
                <c:pt idx="0">
                  <c:v>0</c:v>
                </c:pt>
                <c:pt idx="1">
                  <c:v>199.27299999999997</c:v>
                </c:pt>
                <c:pt idx="2">
                  <c:v>0</c:v>
                </c:pt>
                <c:pt idx="3">
                  <c:v>232.62100000000001</c:v>
                </c:pt>
              </c:numCache>
            </c:numRef>
          </c:val>
        </c:ser>
        <c:dLbls>
          <c:showVal val="1"/>
        </c:dLbls>
        <c:overlap val="100"/>
        <c:axId val="79251328"/>
        <c:axId val="79252864"/>
      </c:barChart>
      <c:catAx>
        <c:axId val="79251328"/>
        <c:scaling>
          <c:orientation val="minMax"/>
        </c:scaling>
        <c:axPos val="b"/>
        <c:numFmt formatCode="General" sourceLinked="1"/>
        <c:tickLblPos val="nextTo"/>
        <c:crossAx val="79252864"/>
        <c:crosses val="autoZero"/>
        <c:auto val="1"/>
        <c:lblAlgn val="ctr"/>
        <c:lblOffset val="100"/>
      </c:catAx>
      <c:valAx>
        <c:axId val="79252864"/>
        <c:scaling>
          <c:orientation val="minMax"/>
          <c:max val="400"/>
          <c:min val="150"/>
        </c:scaling>
        <c:axPos val="l"/>
        <c:title>
          <c:tx>
            <c:rich>
              <a:bodyPr rot="-5400000" vert="horz"/>
              <a:lstStyle/>
              <a:p>
                <a:pPr>
                  <a:defRPr b="0"/>
                </a:pPr>
                <a:r>
                  <a:rPr lang="en-NZ" b="0"/>
                  <a:t>ALL scale</a:t>
                </a:r>
              </a:p>
            </c:rich>
          </c:tx>
        </c:title>
        <c:numFmt formatCode="General" sourceLinked="1"/>
        <c:tickLblPos val="nextTo"/>
        <c:crossAx val="79251328"/>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E6D2B-A9DC-4AE6-8D5B-43D90B87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5765</Words>
  <Characters>67869</Characters>
  <Application>Microsoft Office Word</Application>
  <DocSecurity>0</DocSecurity>
  <Lines>565</Lines>
  <Paragraphs>146</Paragraphs>
  <ScaleCrop>false</ScaleCrop>
  <HeadingPairs>
    <vt:vector size="2" baseType="variant">
      <vt:variant>
        <vt:lpstr>Title</vt:lpstr>
      </vt:variant>
      <vt:variant>
        <vt:i4>1</vt:i4>
      </vt:variant>
    </vt:vector>
  </HeadingPairs>
  <TitlesOfParts>
    <vt:vector size="1" baseType="lpstr">
      <vt:lpstr>Report</vt:lpstr>
    </vt:vector>
  </TitlesOfParts>
  <Company>Ministry of Education</Company>
  <LinksUpToDate>false</LinksUpToDate>
  <CharactersWithSpaces>73488</CharactersWithSpaces>
  <SharedDoc>false</SharedDoc>
  <HLinks>
    <vt:vector size="6" baseType="variant">
      <vt:variant>
        <vt:i4>6946933</vt:i4>
      </vt:variant>
      <vt:variant>
        <vt:i4>0</vt:i4>
      </vt:variant>
      <vt:variant>
        <vt:i4>0</vt:i4>
      </vt:variant>
      <vt:variant>
        <vt:i4>5</vt:i4>
      </vt:variant>
      <vt:variant>
        <vt:lpwstr>http://www.educationcounts.govt.nz/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Ministry of Education</dc:creator>
  <dc:description>Developed by Airplane Studios/Edocs</dc:description>
  <cp:lastModifiedBy>Louise Howie</cp:lastModifiedBy>
  <cp:revision>4</cp:revision>
  <cp:lastPrinted>2014-03-05T00:47:00Z</cp:lastPrinted>
  <dcterms:created xsi:type="dcterms:W3CDTF">2014-06-16T20:40:00Z</dcterms:created>
  <dcterms:modified xsi:type="dcterms:W3CDTF">2014-06-17T22:57:00Z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Mendeley Document_1">
    <vt:lpwstr>True</vt:lpwstr>
  </property>
  <property fmtid="{D5CDD505-2E9C-101B-9397-08002B2CF9AE}" pid="11" name="Mendeley User Name_1">
    <vt:lpwstr>davidearlenz@gmail.com@www.mendeley.com</vt:lpwstr>
  </property>
  <property fmtid="{D5CDD505-2E9C-101B-9397-08002B2CF9AE}" pid="12" name="Mendeley Citation Style_1">
    <vt:lpwstr>http://www.zotero.org/styles/apa</vt:lpwstr>
  </property>
  <property fmtid="{D5CDD505-2E9C-101B-9397-08002B2CF9AE}" pid="13" name="Mendeley Recent Style Id 0_1">
    <vt:lpwstr>http://www.zotero.org/styles/american-medical-association</vt:lpwstr>
  </property>
  <property fmtid="{D5CDD505-2E9C-101B-9397-08002B2CF9AE}" pid="14" name="Mendeley Recent Style Name 0_1">
    <vt:lpwstr>American Medical Association</vt:lpwstr>
  </property>
  <property fmtid="{D5CDD505-2E9C-101B-9397-08002B2CF9AE}" pid="15" name="Mendeley Recent Style Id 1_1">
    <vt:lpwstr>http://www.zotero.org/styles/american-political-science-association</vt:lpwstr>
  </property>
  <property fmtid="{D5CDD505-2E9C-101B-9397-08002B2CF9AE}" pid="16" name="Mendeley Recent Style Name 1_1">
    <vt:lpwstr>American Political Science Association</vt:lpwstr>
  </property>
  <property fmtid="{D5CDD505-2E9C-101B-9397-08002B2CF9AE}" pid="17" name="Mendeley Recent Style Id 2_1">
    <vt:lpwstr>http://www.zotero.org/styles/apa</vt:lpwstr>
  </property>
  <property fmtid="{D5CDD505-2E9C-101B-9397-08002B2CF9AE}" pid="18" name="Mendeley Recent Style Name 2_1">
    <vt:lpwstr>American Psychological Association 6th edition</vt:lpwstr>
  </property>
  <property fmtid="{D5CDD505-2E9C-101B-9397-08002B2CF9AE}" pid="19" name="Mendeley Recent Style Id 3_1">
    <vt:lpwstr>http://www.zotero.org/styles/american-sociological-association</vt:lpwstr>
  </property>
  <property fmtid="{D5CDD505-2E9C-101B-9397-08002B2CF9AE}" pid="20" name="Mendeley Recent Style Name 3_1">
    <vt:lpwstr>American Sociological Association</vt:lpwstr>
  </property>
  <property fmtid="{D5CDD505-2E9C-101B-9397-08002B2CF9AE}" pid="21" name="Mendeley Recent Style Id 4_1">
    <vt:lpwstr>http://www.zotero.org/styles/chicago-author-date</vt:lpwstr>
  </property>
  <property fmtid="{D5CDD505-2E9C-101B-9397-08002B2CF9AE}" pid="22" name="Mendeley Recent Style Name 4_1">
    <vt:lpwstr>Chicago Manual of Style 16th edition (author-date)</vt:lpwstr>
  </property>
  <property fmtid="{D5CDD505-2E9C-101B-9397-08002B2CF9AE}" pid="23" name="Mendeley Recent Style Id 5_1">
    <vt:lpwstr>http://www.zotero.org/styles/harvard1</vt:lpwstr>
  </property>
  <property fmtid="{D5CDD505-2E9C-101B-9397-08002B2CF9AE}" pid="24" name="Mendeley Recent Style Name 5_1">
    <vt:lpwstr>Harvard Reference format 1 (author-date)</vt:lpwstr>
  </property>
  <property fmtid="{D5CDD505-2E9C-101B-9397-08002B2CF9AE}" pid="25" name="Mendeley Recent Style Id 6_1">
    <vt:lpwstr>http://www.zotero.org/styles/ieee</vt:lpwstr>
  </property>
  <property fmtid="{D5CDD505-2E9C-101B-9397-08002B2CF9AE}" pid="26" name="Mendeley Recent Style Name 6_1">
    <vt:lpwstr>IEEE</vt:lpwstr>
  </property>
  <property fmtid="{D5CDD505-2E9C-101B-9397-08002B2CF9AE}" pid="27" name="Mendeley Recent Style Id 7_1">
    <vt:lpwstr>http://www.zotero.org/styles/modern-humanities-research-association</vt:lpwstr>
  </property>
  <property fmtid="{D5CDD505-2E9C-101B-9397-08002B2CF9AE}" pid="28" name="Mendeley Recent Style Name 7_1">
    <vt:lpwstr>Modern Humanities Research Association 3rd edition (note with bibliography)</vt:lpwstr>
  </property>
  <property fmtid="{D5CDD505-2E9C-101B-9397-08002B2CF9AE}" pid="29" name="Mendeley Recent Style Id 8_1">
    <vt:lpwstr>http://www.zotero.org/styles/modern-language-association</vt:lpwstr>
  </property>
  <property fmtid="{D5CDD505-2E9C-101B-9397-08002B2CF9AE}" pid="30" name="Mendeley Recent Style Name 8_1">
    <vt:lpwstr>Modern Language Association 7th edition</vt:lpwstr>
  </property>
  <property fmtid="{D5CDD505-2E9C-101B-9397-08002B2CF9AE}" pid="31" name="Mendeley Recent Style Id 9_1">
    <vt:lpwstr>http://www.zotero.org/styles/nature</vt:lpwstr>
  </property>
  <property fmtid="{D5CDD505-2E9C-101B-9397-08002B2CF9AE}" pid="32" name="Mendeley Recent Style Name 9_1">
    <vt:lpwstr>Nature</vt:lpwstr>
  </property>
</Properties>
</file>