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942" w:rsidRDefault="000C5942" w:rsidP="00072166">
      <w:pPr>
        <w:pStyle w:val="Title"/>
      </w:pPr>
      <w:r>
        <w:t>Extramural students’ participation and achievement</w:t>
      </w:r>
    </w:p>
    <w:p w:rsidR="000C5942" w:rsidRPr="000045D2" w:rsidRDefault="000C5942" w:rsidP="00072166">
      <w:pPr>
        <w:pStyle w:val="Titlesub"/>
      </w:pPr>
      <w:r>
        <w:t>Trends, pattern</w:t>
      </w:r>
      <w:r w:rsidRPr="007F7C5C">
        <w:t>s</w:t>
      </w:r>
      <w:r>
        <w:t xml:space="preserve"> and highlights</w:t>
      </w:r>
    </w:p>
    <w:p w:rsidR="000C5942" w:rsidRPr="000045D2" w:rsidRDefault="000C5942" w:rsidP="002F7F68"/>
    <w:p w:rsidR="000C5942" w:rsidRDefault="000C5942" w:rsidP="00B675AF">
      <w:pPr>
        <w:sectPr w:rsidR="000C5942" w:rsidSect="00832F8A">
          <w:headerReference w:type="default" r:id="rId8"/>
          <w:type w:val="continuous"/>
          <w:pgSz w:w="11906" w:h="16838" w:code="9"/>
          <w:pgMar w:top="1418" w:right="624" w:bottom="4536" w:left="1701" w:header="709" w:footer="709" w:gutter="0"/>
          <w:pgNumType w:start="1"/>
          <w:cols w:space="708"/>
          <w:vAlign w:val="bottom"/>
          <w:docGrid w:linePitch="360"/>
        </w:sectPr>
      </w:pPr>
    </w:p>
    <w:p w:rsidR="000C5942" w:rsidRPr="004D1E17" w:rsidRDefault="000C5942" w:rsidP="002017C1">
      <w:pPr>
        <w:pStyle w:val="Insidecover"/>
      </w:pPr>
      <w:r w:rsidRPr="004D1E17">
        <w:lastRenderedPageBreak/>
        <w:t xml:space="preserve">This report forms part of a series called Learners in tertiary education.  </w:t>
      </w:r>
    </w:p>
    <w:p w:rsidR="000C5942" w:rsidRPr="006511DE" w:rsidRDefault="000C5942" w:rsidP="004D1E17">
      <w:pPr>
        <w:pStyle w:val="Insidecover"/>
      </w:pPr>
      <w:r w:rsidRPr="006511DE">
        <w:t>Other topics covered by the series are access, pathways, support,</w:t>
      </w:r>
      <w:r>
        <w:t xml:space="preserve"> </w:t>
      </w:r>
      <w:r w:rsidRPr="006511DE">
        <w:t>participation, retention and qualification completions.</w:t>
      </w:r>
    </w:p>
    <w:p w:rsidR="000C5942" w:rsidRDefault="000C5942" w:rsidP="00B675AF">
      <w:pPr>
        <w:pStyle w:val="Insidecover"/>
        <w:spacing w:before="200"/>
      </w:pPr>
      <w:r w:rsidRPr="006511DE">
        <w:rPr>
          <w:b/>
        </w:rPr>
        <w:t>Author</w:t>
      </w:r>
    </w:p>
    <w:p w:rsidR="000C5942" w:rsidRDefault="000C5942" w:rsidP="004D1E17">
      <w:pPr>
        <w:pStyle w:val="Insidecover"/>
      </w:pPr>
      <w:r>
        <w:t>Peter Guiney, Analyst</w:t>
      </w:r>
    </w:p>
    <w:p w:rsidR="000C5942" w:rsidRPr="008C48F6" w:rsidRDefault="000C5942" w:rsidP="004D1E17">
      <w:pPr>
        <w:pStyle w:val="Insidecover"/>
        <w:rPr>
          <w:lang w:val="en-GB"/>
        </w:rPr>
      </w:pPr>
      <w:r w:rsidRPr="008C48F6">
        <w:rPr>
          <w:lang w:val="en-GB"/>
        </w:rPr>
        <w:t xml:space="preserve">Email: </w:t>
      </w:r>
      <w:r>
        <w:rPr>
          <w:lang w:val="en-GB"/>
        </w:rPr>
        <w:t>peter.guiney</w:t>
      </w:r>
      <w:r w:rsidRPr="008C48F6">
        <w:rPr>
          <w:lang w:val="en-GB"/>
        </w:rPr>
        <w:t xml:space="preserve">@minedu.govt.nz   </w:t>
      </w:r>
    </w:p>
    <w:p w:rsidR="000C5942" w:rsidRPr="008C48F6" w:rsidRDefault="00B43FD8" w:rsidP="004D1E17">
      <w:pPr>
        <w:pStyle w:val="Insidecover"/>
        <w:rPr>
          <w:lang w:val="en-GB"/>
        </w:rPr>
      </w:pPr>
      <w:r>
        <w:rPr>
          <w:lang w:val="en-GB"/>
        </w:rPr>
        <w:t xml:space="preserve">Telephone: </w:t>
      </w:r>
      <w:r w:rsidR="000C5942" w:rsidRPr="008C48F6">
        <w:rPr>
          <w:lang w:val="en-GB"/>
        </w:rPr>
        <w:t>04-</w:t>
      </w:r>
      <w:r w:rsidR="000C5942" w:rsidRPr="008C6F7B">
        <w:rPr>
          <w:lang w:val="en-GB"/>
        </w:rPr>
        <w:t>463</w:t>
      </w:r>
      <w:r w:rsidR="008C6F7B">
        <w:rPr>
          <w:lang w:val="en-GB"/>
        </w:rPr>
        <w:t>-</w:t>
      </w:r>
      <w:r w:rsidR="000C5942" w:rsidRPr="008C6F7B">
        <w:rPr>
          <w:lang w:val="en-GB"/>
        </w:rPr>
        <w:t>7557</w:t>
      </w:r>
    </w:p>
    <w:p w:rsidR="000C5942" w:rsidRPr="008C48F6" w:rsidRDefault="00B43FD8" w:rsidP="004D1E17">
      <w:pPr>
        <w:pStyle w:val="Insidecover"/>
        <w:rPr>
          <w:lang w:val="en-GB"/>
        </w:rPr>
      </w:pPr>
      <w:r>
        <w:rPr>
          <w:lang w:val="en-GB"/>
        </w:rPr>
        <w:t xml:space="preserve">Fax: </w:t>
      </w:r>
      <w:r w:rsidR="000C5942" w:rsidRPr="008C48F6">
        <w:rPr>
          <w:lang w:val="en-GB"/>
        </w:rPr>
        <w:t>04-</w:t>
      </w:r>
      <w:r w:rsidR="000C5942">
        <w:rPr>
          <w:lang w:val="en-GB"/>
        </w:rPr>
        <w:t>463</w:t>
      </w:r>
      <w:r w:rsidR="00392B82">
        <w:rPr>
          <w:lang w:val="en-GB"/>
        </w:rPr>
        <w:t>-</w:t>
      </w:r>
      <w:r w:rsidR="000C5942">
        <w:rPr>
          <w:lang w:val="en-GB"/>
        </w:rPr>
        <w:t>8713</w:t>
      </w:r>
    </w:p>
    <w:p w:rsidR="000C5942" w:rsidRDefault="000C5942" w:rsidP="00B675AF">
      <w:pPr>
        <w:pStyle w:val="Insidecover"/>
        <w:spacing w:before="200"/>
      </w:pPr>
      <w:r w:rsidRPr="006511DE">
        <w:rPr>
          <w:b/>
        </w:rPr>
        <w:t>Acknowledgements</w:t>
      </w:r>
    </w:p>
    <w:p w:rsidR="000C5942" w:rsidRPr="006511DE" w:rsidRDefault="000C5942" w:rsidP="004D1E17">
      <w:pPr>
        <w:pStyle w:val="Insidecover"/>
      </w:pPr>
      <w:r w:rsidRPr="006511DE">
        <w:t xml:space="preserve">The author gratefully acknowledges comments provided by </w:t>
      </w:r>
      <w:r w:rsidR="003638F4">
        <w:t xml:space="preserve">Massey University, </w:t>
      </w:r>
      <w:r w:rsidR="00392B82">
        <w:t>T</w:t>
      </w:r>
      <w:r w:rsidR="003638F4">
        <w:t xml:space="preserve">he Open Polytechnic of New Zealand, the Southern Institute of Technology, Andrew Higgins, </w:t>
      </w:r>
      <w:r w:rsidR="009764C9">
        <w:t xml:space="preserve">Nyk Huntington, Jyotika Krishna, </w:t>
      </w:r>
      <w:r w:rsidR="003638F4">
        <w:t>Ralf Engler, Zaneta Park and Colleen Slagter</w:t>
      </w:r>
      <w:r w:rsidR="00586956">
        <w:t>.</w:t>
      </w:r>
      <w:r w:rsidR="003638F4">
        <w:t xml:space="preserve"> </w:t>
      </w:r>
      <w:r w:rsidRPr="006511DE">
        <w:t xml:space="preserve">The author also gratefully acknowledges the assistance provided by </w:t>
      </w:r>
      <w:r>
        <w:t>Roger Smyth</w:t>
      </w:r>
      <w:r w:rsidRPr="006511DE">
        <w:t>. The author also gratefully acknowledges</w:t>
      </w:r>
      <w:r>
        <w:t xml:space="preserve"> </w:t>
      </w:r>
      <w:r w:rsidR="009764C9">
        <w:t>Alison Lipski</w:t>
      </w:r>
      <w:r w:rsidR="00146B54">
        <w:t>,</w:t>
      </w:r>
      <w:r w:rsidRPr="006511DE">
        <w:t xml:space="preserve"> who proof-read this report.</w:t>
      </w:r>
    </w:p>
    <w:p w:rsidR="000C5942" w:rsidRPr="006511DE" w:rsidRDefault="000C5942" w:rsidP="00B675AF">
      <w:pPr>
        <w:pStyle w:val="Insidecover"/>
        <w:spacing w:before="200"/>
      </w:pPr>
      <w:r w:rsidRPr="006511DE">
        <w:t>All views expressed in this report, and any remaining errors or omissions, remain the responsibility of the author.</w:t>
      </w:r>
    </w:p>
    <w:p w:rsidR="000C5942" w:rsidRDefault="000C5942" w:rsidP="00B675AF">
      <w:pPr>
        <w:pStyle w:val="Insidecover"/>
        <w:spacing w:before="200"/>
      </w:pPr>
      <w:r w:rsidRPr="006511DE">
        <w:rPr>
          <w:b/>
        </w:rPr>
        <w:t>Published by</w:t>
      </w:r>
    </w:p>
    <w:p w:rsidR="000C5942" w:rsidRDefault="000C5942" w:rsidP="004D1E17">
      <w:pPr>
        <w:pStyle w:val="Insidecover"/>
      </w:pPr>
      <w:r w:rsidRPr="006511DE">
        <w:t>Tertiary Sector Pe</w:t>
      </w:r>
      <w:r>
        <w:t>rformance Analysis</w:t>
      </w:r>
    </w:p>
    <w:p w:rsidR="000C5942" w:rsidRDefault="000C5942" w:rsidP="004D1E17">
      <w:pPr>
        <w:pStyle w:val="Insidecover"/>
      </w:pPr>
      <w:r w:rsidRPr="006511DE">
        <w:t>Strategy and System Performance</w:t>
      </w:r>
    </w:p>
    <w:p w:rsidR="000C5942" w:rsidRPr="006511DE" w:rsidRDefault="000C5942" w:rsidP="004D1E17">
      <w:pPr>
        <w:pStyle w:val="Insidecover"/>
      </w:pPr>
      <w:r w:rsidRPr="006511DE">
        <w:t>MINISTRY OF EDUCATION</w:t>
      </w:r>
    </w:p>
    <w:p w:rsidR="000C5942" w:rsidRDefault="000C5942" w:rsidP="00B01B45">
      <w:pPr>
        <w:pStyle w:val="Insidecover"/>
        <w:spacing w:before="200"/>
      </w:pPr>
      <w:r>
        <w:t>© Crown Copyright</w:t>
      </w:r>
    </w:p>
    <w:p w:rsidR="000C5942" w:rsidRDefault="000C5942" w:rsidP="00B01B45">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0C5942" w:rsidRDefault="000C5942" w:rsidP="00B01B45">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by/3.0/nz/.</w:t>
      </w:r>
    </w:p>
    <w:p w:rsidR="000C5942" w:rsidRDefault="000C5942" w:rsidP="00B01B45">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9" w:history="1">
        <w:r w:rsidRPr="00B01B45">
          <w:rPr>
            <w:rFonts w:ascii="Arial" w:hAnsi="Arial"/>
            <w:sz w:val="18"/>
          </w:rPr>
          <w:t>www.educationcounts.govt.nz</w:t>
        </w:r>
      </w:hyperlink>
      <w:r w:rsidRPr="00B01B45">
        <w:rPr>
          <w:rFonts w:ascii="Arial" w:hAnsi="Arial"/>
          <w:sz w:val="18"/>
        </w:rPr>
        <w:t>.</w:t>
      </w:r>
    </w:p>
    <w:p w:rsidR="000C5942" w:rsidRPr="006511DE" w:rsidRDefault="007D757A" w:rsidP="00B675AF">
      <w:pPr>
        <w:pStyle w:val="Insidecover"/>
        <w:spacing w:before="200" w:after="200"/>
      </w:pPr>
      <w:r>
        <w:t>February</w:t>
      </w:r>
      <w:r w:rsidR="008C1232">
        <w:t xml:space="preserve"> 2014</w:t>
      </w:r>
    </w:p>
    <w:p w:rsidR="000C5942" w:rsidRPr="00BA2059" w:rsidRDefault="000C5942" w:rsidP="004D1E17">
      <w:pPr>
        <w:pStyle w:val="Insidecover"/>
      </w:pPr>
      <w:r w:rsidRPr="00BA2059">
        <w:t>ISBN (web)</w:t>
      </w:r>
      <w:r w:rsidR="00F8354D">
        <w:t xml:space="preserve"> </w:t>
      </w:r>
      <w:r w:rsidR="00F8354D" w:rsidRPr="00F8354D">
        <w:t>978-0-478-42215-3</w:t>
      </w:r>
      <w:r w:rsidRPr="00BA2059">
        <w:tab/>
      </w:r>
      <w:r>
        <w:t xml:space="preserve"> </w:t>
      </w:r>
    </w:p>
    <w:p w:rsidR="000C5942" w:rsidRDefault="000C5942" w:rsidP="00B675AF">
      <w:pPr>
        <w:pStyle w:val="Insidecover"/>
        <w:sectPr w:rsidR="000C5942" w:rsidSect="00832F8A">
          <w:headerReference w:type="default" r:id="rId10"/>
          <w:type w:val="evenPage"/>
          <w:pgSz w:w="11906" w:h="16838" w:code="9"/>
          <w:pgMar w:top="1418" w:right="1701" w:bottom="1418" w:left="1701" w:header="709" w:footer="709" w:gutter="0"/>
          <w:pgNumType w:start="1"/>
          <w:cols w:space="708"/>
          <w:vAlign w:val="bottom"/>
          <w:docGrid w:linePitch="360"/>
        </w:sectPr>
      </w:pPr>
    </w:p>
    <w:p w:rsidR="000C5942" w:rsidRDefault="000C5942" w:rsidP="00A9006A">
      <w:pPr>
        <w:pStyle w:val="Heading"/>
        <w:rPr>
          <w:noProof/>
        </w:rPr>
      </w:pPr>
      <w:r>
        <w:lastRenderedPageBreak/>
        <w:t>Extramural Students</w:t>
      </w:r>
      <w:r>
        <w:rPr>
          <w:noProof/>
        </w:rPr>
        <w:t>’ Participation and Achievement</w:t>
      </w:r>
    </w:p>
    <w:p w:rsidR="00A36F63" w:rsidRDefault="00804971">
      <w:pPr>
        <w:pStyle w:val="TOC1"/>
        <w:rPr>
          <w:rFonts w:asciiTheme="minorHAnsi" w:eastAsiaTheme="minorEastAsia" w:hAnsiTheme="minorHAnsi" w:cstheme="minorBidi"/>
          <w:sz w:val="22"/>
          <w:szCs w:val="22"/>
          <w:lang w:eastAsia="en-NZ"/>
        </w:rPr>
      </w:pPr>
      <w:r w:rsidRPr="00804971">
        <w:fldChar w:fldCharType="begin"/>
      </w:r>
      <w:r w:rsidR="000C5942">
        <w:instrText xml:space="preserve"> TOC \h \z \t "Heading 1,1,Heading 2,2,Appendix,1,Heading 1A,2,Appendix Sub,2,Heading 2a,2" </w:instrText>
      </w:r>
      <w:r w:rsidRPr="00804971">
        <w:fldChar w:fldCharType="separate"/>
      </w:r>
      <w:hyperlink w:anchor="_Toc379545904" w:history="1">
        <w:r w:rsidR="00A36F63" w:rsidRPr="00953109">
          <w:rPr>
            <w:rStyle w:val="Hyperlink"/>
          </w:rPr>
          <w:t>Summary</w:t>
        </w:r>
        <w:r w:rsidR="00A36F63">
          <w:rPr>
            <w:webHidden/>
          </w:rPr>
          <w:tab/>
        </w:r>
        <w:r w:rsidR="00A36F63">
          <w:rPr>
            <w:webHidden/>
          </w:rPr>
          <w:fldChar w:fldCharType="begin"/>
        </w:r>
        <w:r w:rsidR="00A36F63">
          <w:rPr>
            <w:webHidden/>
          </w:rPr>
          <w:instrText xml:space="preserve"> PAGEREF _Toc379545904 \h </w:instrText>
        </w:r>
        <w:r w:rsidR="00A36F63">
          <w:rPr>
            <w:webHidden/>
          </w:rPr>
        </w:r>
        <w:r w:rsidR="00A36F63">
          <w:rPr>
            <w:webHidden/>
          </w:rPr>
          <w:fldChar w:fldCharType="separate"/>
        </w:r>
        <w:r w:rsidR="00A36F63">
          <w:rPr>
            <w:webHidden/>
          </w:rPr>
          <w:t>4</w:t>
        </w:r>
        <w:r w:rsidR="00A36F63">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05" w:history="1">
        <w:r w:rsidRPr="00953109">
          <w:rPr>
            <w:rStyle w:val="Hyperlink"/>
          </w:rPr>
          <w:t>1</w:t>
        </w:r>
        <w:r>
          <w:rPr>
            <w:rFonts w:asciiTheme="minorHAnsi" w:eastAsiaTheme="minorEastAsia" w:hAnsiTheme="minorHAnsi" w:cstheme="minorBidi"/>
            <w:sz w:val="22"/>
            <w:szCs w:val="22"/>
            <w:lang w:eastAsia="en-NZ"/>
          </w:rPr>
          <w:tab/>
        </w:r>
        <w:r w:rsidRPr="00953109">
          <w:rPr>
            <w:rStyle w:val="Hyperlink"/>
          </w:rPr>
          <w:t>Introduction</w:t>
        </w:r>
        <w:r>
          <w:rPr>
            <w:webHidden/>
          </w:rPr>
          <w:tab/>
        </w:r>
        <w:r>
          <w:rPr>
            <w:webHidden/>
          </w:rPr>
          <w:fldChar w:fldCharType="begin"/>
        </w:r>
        <w:r>
          <w:rPr>
            <w:webHidden/>
          </w:rPr>
          <w:instrText xml:space="preserve"> PAGEREF _Toc379545905 \h </w:instrText>
        </w:r>
        <w:r>
          <w:rPr>
            <w:webHidden/>
          </w:rPr>
        </w:r>
        <w:r>
          <w:rPr>
            <w:webHidden/>
          </w:rPr>
          <w:fldChar w:fldCharType="separate"/>
        </w:r>
        <w:r>
          <w:rPr>
            <w:webHidden/>
          </w:rPr>
          <w:t>5</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06" w:history="1">
        <w:r w:rsidRPr="00953109">
          <w:rPr>
            <w:rStyle w:val="Hyperlink"/>
          </w:rPr>
          <w:t>2</w:t>
        </w:r>
        <w:r>
          <w:rPr>
            <w:rFonts w:asciiTheme="minorHAnsi" w:eastAsiaTheme="minorEastAsia" w:hAnsiTheme="minorHAnsi" w:cstheme="minorBidi"/>
            <w:sz w:val="22"/>
            <w:szCs w:val="22"/>
            <w:lang w:eastAsia="en-NZ"/>
          </w:rPr>
          <w:tab/>
        </w:r>
        <w:r w:rsidRPr="00953109">
          <w:rPr>
            <w:rStyle w:val="Hyperlink"/>
          </w:rPr>
          <w:t>Definitions and data</w:t>
        </w:r>
        <w:r>
          <w:rPr>
            <w:webHidden/>
          </w:rPr>
          <w:tab/>
        </w:r>
        <w:r>
          <w:rPr>
            <w:webHidden/>
          </w:rPr>
          <w:fldChar w:fldCharType="begin"/>
        </w:r>
        <w:r>
          <w:rPr>
            <w:webHidden/>
          </w:rPr>
          <w:instrText xml:space="preserve"> PAGEREF _Toc379545906 \h </w:instrText>
        </w:r>
        <w:r>
          <w:rPr>
            <w:webHidden/>
          </w:rPr>
        </w:r>
        <w:r>
          <w:rPr>
            <w:webHidden/>
          </w:rPr>
          <w:fldChar w:fldCharType="separate"/>
        </w:r>
        <w:r>
          <w:rPr>
            <w:webHidden/>
          </w:rPr>
          <w:t>8</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07" w:history="1">
        <w:r w:rsidRPr="00953109">
          <w:rPr>
            <w:rStyle w:val="Hyperlink"/>
          </w:rPr>
          <w:t>2.1</w:t>
        </w:r>
        <w:r>
          <w:rPr>
            <w:rFonts w:asciiTheme="minorHAnsi" w:eastAsiaTheme="minorEastAsia" w:hAnsiTheme="minorHAnsi" w:cstheme="minorBidi"/>
            <w:sz w:val="22"/>
            <w:szCs w:val="22"/>
            <w:lang w:eastAsia="en-NZ"/>
          </w:rPr>
          <w:tab/>
        </w:r>
        <w:r w:rsidRPr="00953109">
          <w:rPr>
            <w:rStyle w:val="Hyperlink"/>
          </w:rPr>
          <w:t>Extramural study data and definition</w:t>
        </w:r>
        <w:r>
          <w:rPr>
            <w:webHidden/>
          </w:rPr>
          <w:tab/>
        </w:r>
        <w:r>
          <w:rPr>
            <w:webHidden/>
          </w:rPr>
          <w:fldChar w:fldCharType="begin"/>
        </w:r>
        <w:r>
          <w:rPr>
            <w:webHidden/>
          </w:rPr>
          <w:instrText xml:space="preserve"> PAGEREF _Toc379545907 \h </w:instrText>
        </w:r>
        <w:r>
          <w:rPr>
            <w:webHidden/>
          </w:rPr>
        </w:r>
        <w:r>
          <w:rPr>
            <w:webHidden/>
          </w:rPr>
          <w:fldChar w:fldCharType="separate"/>
        </w:r>
        <w:r>
          <w:rPr>
            <w:webHidden/>
          </w:rPr>
          <w:t>8</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08" w:history="1">
        <w:r w:rsidRPr="00953109">
          <w:rPr>
            <w:rStyle w:val="Hyperlink"/>
            <w:lang w:val="en-GB" w:eastAsia="en-GB"/>
          </w:rPr>
          <w:t>2.2</w:t>
        </w:r>
        <w:r>
          <w:rPr>
            <w:rFonts w:asciiTheme="minorHAnsi" w:eastAsiaTheme="minorEastAsia" w:hAnsiTheme="minorHAnsi" w:cstheme="minorBidi"/>
            <w:sz w:val="22"/>
            <w:szCs w:val="22"/>
            <w:lang w:eastAsia="en-NZ"/>
          </w:rPr>
          <w:tab/>
        </w:r>
        <w:r w:rsidRPr="00953109">
          <w:rPr>
            <w:rStyle w:val="Hyperlink"/>
            <w:lang w:val="en-GB" w:eastAsia="en-GB"/>
          </w:rPr>
          <w:t>Extramural student profile</w:t>
        </w:r>
        <w:r>
          <w:rPr>
            <w:webHidden/>
          </w:rPr>
          <w:tab/>
        </w:r>
        <w:r>
          <w:rPr>
            <w:webHidden/>
          </w:rPr>
          <w:fldChar w:fldCharType="begin"/>
        </w:r>
        <w:r>
          <w:rPr>
            <w:webHidden/>
          </w:rPr>
          <w:instrText xml:space="preserve"> PAGEREF _Toc379545908 \h </w:instrText>
        </w:r>
        <w:r>
          <w:rPr>
            <w:webHidden/>
          </w:rPr>
        </w:r>
        <w:r>
          <w:rPr>
            <w:webHidden/>
          </w:rPr>
          <w:fldChar w:fldCharType="separate"/>
        </w:r>
        <w:r>
          <w:rPr>
            <w:webHidden/>
          </w:rPr>
          <w:t>8</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09" w:history="1">
        <w:r w:rsidRPr="00953109">
          <w:rPr>
            <w:rStyle w:val="Hyperlink"/>
          </w:rPr>
          <w:t>2.3</w:t>
        </w:r>
        <w:r>
          <w:rPr>
            <w:rFonts w:asciiTheme="minorHAnsi" w:eastAsiaTheme="minorEastAsia" w:hAnsiTheme="minorHAnsi" w:cstheme="minorBidi"/>
            <w:sz w:val="22"/>
            <w:szCs w:val="22"/>
            <w:lang w:eastAsia="en-NZ"/>
          </w:rPr>
          <w:tab/>
        </w:r>
        <w:r w:rsidRPr="00953109">
          <w:rPr>
            <w:rStyle w:val="Hyperlink"/>
          </w:rPr>
          <w:t>E-learning definition and data</w:t>
        </w:r>
        <w:r>
          <w:rPr>
            <w:webHidden/>
          </w:rPr>
          <w:tab/>
        </w:r>
        <w:r>
          <w:rPr>
            <w:webHidden/>
          </w:rPr>
          <w:fldChar w:fldCharType="begin"/>
        </w:r>
        <w:r>
          <w:rPr>
            <w:webHidden/>
          </w:rPr>
          <w:instrText xml:space="preserve"> PAGEREF _Toc379545909 \h </w:instrText>
        </w:r>
        <w:r>
          <w:rPr>
            <w:webHidden/>
          </w:rPr>
        </w:r>
        <w:r>
          <w:rPr>
            <w:webHidden/>
          </w:rPr>
          <w:fldChar w:fldCharType="separate"/>
        </w:r>
        <w:r>
          <w:rPr>
            <w:webHidden/>
          </w:rPr>
          <w:t>9</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10" w:history="1">
        <w:r w:rsidRPr="00953109">
          <w:rPr>
            <w:rStyle w:val="Hyperlink"/>
          </w:rPr>
          <w:t>3</w:t>
        </w:r>
        <w:r>
          <w:rPr>
            <w:rFonts w:asciiTheme="minorHAnsi" w:eastAsiaTheme="minorEastAsia" w:hAnsiTheme="minorHAnsi" w:cstheme="minorBidi"/>
            <w:sz w:val="22"/>
            <w:szCs w:val="22"/>
            <w:lang w:eastAsia="en-NZ"/>
          </w:rPr>
          <w:tab/>
        </w:r>
        <w:r w:rsidRPr="00953109">
          <w:rPr>
            <w:rStyle w:val="Hyperlink"/>
          </w:rPr>
          <w:t>Extramural and Intramural provision and achievement by mode of delivery</w:t>
        </w:r>
        <w:r>
          <w:rPr>
            <w:webHidden/>
          </w:rPr>
          <w:tab/>
        </w:r>
        <w:r>
          <w:rPr>
            <w:webHidden/>
          </w:rPr>
          <w:fldChar w:fldCharType="begin"/>
        </w:r>
        <w:r>
          <w:rPr>
            <w:webHidden/>
          </w:rPr>
          <w:instrText xml:space="preserve"> PAGEREF _Toc379545910 \h </w:instrText>
        </w:r>
        <w:r>
          <w:rPr>
            <w:webHidden/>
          </w:rPr>
        </w:r>
        <w:r>
          <w:rPr>
            <w:webHidden/>
          </w:rPr>
          <w:fldChar w:fldCharType="separate"/>
        </w:r>
        <w:r>
          <w:rPr>
            <w:webHidden/>
          </w:rPr>
          <w:t>10</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11" w:history="1">
        <w:r w:rsidRPr="00953109">
          <w:rPr>
            <w:rStyle w:val="Hyperlink"/>
          </w:rPr>
          <w:t>4</w:t>
        </w:r>
        <w:r>
          <w:rPr>
            <w:rFonts w:asciiTheme="minorHAnsi" w:eastAsiaTheme="minorEastAsia" w:hAnsiTheme="minorHAnsi" w:cstheme="minorBidi"/>
            <w:sz w:val="22"/>
            <w:szCs w:val="22"/>
            <w:lang w:eastAsia="en-NZ"/>
          </w:rPr>
          <w:tab/>
        </w:r>
        <w:r w:rsidRPr="00953109">
          <w:rPr>
            <w:rStyle w:val="Hyperlink"/>
          </w:rPr>
          <w:t>Extramural and Intramural students’ participation and achievement by     demographic characteristics</w:t>
        </w:r>
        <w:r>
          <w:rPr>
            <w:webHidden/>
          </w:rPr>
          <w:tab/>
        </w:r>
        <w:r>
          <w:rPr>
            <w:webHidden/>
          </w:rPr>
          <w:fldChar w:fldCharType="begin"/>
        </w:r>
        <w:r>
          <w:rPr>
            <w:webHidden/>
          </w:rPr>
          <w:instrText xml:space="preserve"> PAGEREF _Toc379545911 \h </w:instrText>
        </w:r>
        <w:r>
          <w:rPr>
            <w:webHidden/>
          </w:rPr>
        </w:r>
        <w:r>
          <w:rPr>
            <w:webHidden/>
          </w:rPr>
          <w:fldChar w:fldCharType="separate"/>
        </w:r>
        <w:r>
          <w:rPr>
            <w:webHidden/>
          </w:rPr>
          <w:t>13</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2" w:history="1">
        <w:r w:rsidRPr="00953109">
          <w:rPr>
            <w:rStyle w:val="Hyperlink"/>
          </w:rPr>
          <w:t>4.1</w:t>
        </w:r>
        <w:r>
          <w:rPr>
            <w:rFonts w:asciiTheme="minorHAnsi" w:eastAsiaTheme="minorEastAsia" w:hAnsiTheme="minorHAnsi" w:cstheme="minorBidi"/>
            <w:sz w:val="22"/>
            <w:szCs w:val="22"/>
            <w:lang w:eastAsia="en-NZ"/>
          </w:rPr>
          <w:tab/>
        </w:r>
        <w:r w:rsidRPr="00953109">
          <w:rPr>
            <w:rStyle w:val="Hyperlink"/>
          </w:rPr>
          <w:t>Gender</w:t>
        </w:r>
        <w:r>
          <w:rPr>
            <w:webHidden/>
          </w:rPr>
          <w:tab/>
        </w:r>
        <w:r>
          <w:rPr>
            <w:webHidden/>
          </w:rPr>
          <w:fldChar w:fldCharType="begin"/>
        </w:r>
        <w:r>
          <w:rPr>
            <w:webHidden/>
          </w:rPr>
          <w:instrText xml:space="preserve"> PAGEREF _Toc379545912 \h </w:instrText>
        </w:r>
        <w:r>
          <w:rPr>
            <w:webHidden/>
          </w:rPr>
        </w:r>
        <w:r>
          <w:rPr>
            <w:webHidden/>
          </w:rPr>
          <w:fldChar w:fldCharType="separate"/>
        </w:r>
        <w:r>
          <w:rPr>
            <w:webHidden/>
          </w:rPr>
          <w:t>13</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3" w:history="1">
        <w:r w:rsidRPr="00953109">
          <w:rPr>
            <w:rStyle w:val="Hyperlink"/>
          </w:rPr>
          <w:t>4.2</w:t>
        </w:r>
        <w:r>
          <w:rPr>
            <w:rFonts w:asciiTheme="minorHAnsi" w:eastAsiaTheme="minorEastAsia" w:hAnsiTheme="minorHAnsi" w:cstheme="minorBidi"/>
            <w:sz w:val="22"/>
            <w:szCs w:val="22"/>
            <w:lang w:eastAsia="en-NZ"/>
          </w:rPr>
          <w:tab/>
        </w:r>
        <w:r w:rsidRPr="00953109">
          <w:rPr>
            <w:rStyle w:val="Hyperlink"/>
          </w:rPr>
          <w:t>Age</w:t>
        </w:r>
        <w:r>
          <w:rPr>
            <w:webHidden/>
          </w:rPr>
          <w:tab/>
        </w:r>
        <w:r>
          <w:rPr>
            <w:webHidden/>
          </w:rPr>
          <w:fldChar w:fldCharType="begin"/>
        </w:r>
        <w:r>
          <w:rPr>
            <w:webHidden/>
          </w:rPr>
          <w:instrText xml:space="preserve"> PAGEREF _Toc379545913 \h </w:instrText>
        </w:r>
        <w:r>
          <w:rPr>
            <w:webHidden/>
          </w:rPr>
        </w:r>
        <w:r>
          <w:rPr>
            <w:webHidden/>
          </w:rPr>
          <w:fldChar w:fldCharType="separate"/>
        </w:r>
        <w:r>
          <w:rPr>
            <w:webHidden/>
          </w:rPr>
          <w:t>15</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4" w:history="1">
        <w:r w:rsidRPr="00953109">
          <w:rPr>
            <w:rStyle w:val="Hyperlink"/>
          </w:rPr>
          <w:t>4.3</w:t>
        </w:r>
        <w:r>
          <w:rPr>
            <w:rFonts w:asciiTheme="minorHAnsi" w:eastAsiaTheme="minorEastAsia" w:hAnsiTheme="minorHAnsi" w:cstheme="minorBidi"/>
            <w:sz w:val="22"/>
            <w:szCs w:val="22"/>
            <w:lang w:eastAsia="en-NZ"/>
          </w:rPr>
          <w:tab/>
        </w:r>
        <w:r w:rsidRPr="00953109">
          <w:rPr>
            <w:rStyle w:val="Hyperlink"/>
          </w:rPr>
          <w:t>Ethnicity</w:t>
        </w:r>
        <w:r>
          <w:rPr>
            <w:webHidden/>
          </w:rPr>
          <w:tab/>
        </w:r>
        <w:r>
          <w:rPr>
            <w:webHidden/>
          </w:rPr>
          <w:fldChar w:fldCharType="begin"/>
        </w:r>
        <w:r>
          <w:rPr>
            <w:webHidden/>
          </w:rPr>
          <w:instrText xml:space="preserve"> PAGEREF _Toc379545914 \h </w:instrText>
        </w:r>
        <w:r>
          <w:rPr>
            <w:webHidden/>
          </w:rPr>
        </w:r>
        <w:r>
          <w:rPr>
            <w:webHidden/>
          </w:rPr>
          <w:fldChar w:fldCharType="separate"/>
        </w:r>
        <w:r>
          <w:rPr>
            <w:webHidden/>
          </w:rPr>
          <w:t>18</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5" w:history="1">
        <w:r w:rsidRPr="00953109">
          <w:rPr>
            <w:rStyle w:val="Hyperlink"/>
          </w:rPr>
          <w:t>4.4</w:t>
        </w:r>
        <w:r>
          <w:rPr>
            <w:rFonts w:asciiTheme="minorHAnsi" w:eastAsiaTheme="minorEastAsia" w:hAnsiTheme="minorHAnsi" w:cstheme="minorBidi"/>
            <w:sz w:val="22"/>
            <w:szCs w:val="22"/>
            <w:lang w:eastAsia="en-NZ"/>
          </w:rPr>
          <w:tab/>
        </w:r>
        <w:r w:rsidRPr="00953109">
          <w:rPr>
            <w:rStyle w:val="Hyperlink"/>
          </w:rPr>
          <w:t>Pre-enrolment activity</w:t>
        </w:r>
        <w:r>
          <w:rPr>
            <w:webHidden/>
          </w:rPr>
          <w:tab/>
        </w:r>
        <w:r>
          <w:rPr>
            <w:webHidden/>
          </w:rPr>
          <w:fldChar w:fldCharType="begin"/>
        </w:r>
        <w:r>
          <w:rPr>
            <w:webHidden/>
          </w:rPr>
          <w:instrText xml:space="preserve"> PAGEREF _Toc379545915 \h </w:instrText>
        </w:r>
        <w:r>
          <w:rPr>
            <w:webHidden/>
          </w:rPr>
        </w:r>
        <w:r>
          <w:rPr>
            <w:webHidden/>
          </w:rPr>
          <w:fldChar w:fldCharType="separate"/>
        </w:r>
        <w:r>
          <w:rPr>
            <w:webHidden/>
          </w:rPr>
          <w:t>20</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16" w:history="1">
        <w:r w:rsidRPr="00953109">
          <w:rPr>
            <w:rStyle w:val="Hyperlink"/>
          </w:rPr>
          <w:t>5</w:t>
        </w:r>
        <w:r>
          <w:rPr>
            <w:rFonts w:asciiTheme="minorHAnsi" w:eastAsiaTheme="minorEastAsia" w:hAnsiTheme="minorHAnsi" w:cstheme="minorBidi"/>
            <w:sz w:val="22"/>
            <w:szCs w:val="22"/>
            <w:lang w:eastAsia="en-NZ"/>
          </w:rPr>
          <w:tab/>
        </w:r>
        <w:r w:rsidRPr="00953109">
          <w:rPr>
            <w:rStyle w:val="Hyperlink"/>
          </w:rPr>
          <w:t xml:space="preserve">Extramural and Intramural students’ participation and achievement by       </w:t>
        </w:r>
        <w:r>
          <w:rPr>
            <w:rStyle w:val="Hyperlink"/>
          </w:rPr>
          <w:t xml:space="preserve">   </w:t>
        </w:r>
        <w:r w:rsidRPr="00953109">
          <w:rPr>
            <w:rStyle w:val="Hyperlink"/>
          </w:rPr>
          <w:t>study-related characteristics</w:t>
        </w:r>
        <w:r>
          <w:rPr>
            <w:webHidden/>
          </w:rPr>
          <w:tab/>
        </w:r>
        <w:r>
          <w:rPr>
            <w:webHidden/>
          </w:rPr>
          <w:fldChar w:fldCharType="begin"/>
        </w:r>
        <w:r>
          <w:rPr>
            <w:webHidden/>
          </w:rPr>
          <w:instrText xml:space="preserve"> PAGEREF _Toc379545916 \h </w:instrText>
        </w:r>
        <w:r>
          <w:rPr>
            <w:webHidden/>
          </w:rPr>
        </w:r>
        <w:r>
          <w:rPr>
            <w:webHidden/>
          </w:rPr>
          <w:fldChar w:fldCharType="separate"/>
        </w:r>
        <w:r>
          <w:rPr>
            <w:webHidden/>
          </w:rPr>
          <w:t>23</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7" w:history="1">
        <w:r w:rsidRPr="00953109">
          <w:rPr>
            <w:rStyle w:val="Hyperlink"/>
          </w:rPr>
          <w:t>5.1</w:t>
        </w:r>
        <w:r>
          <w:rPr>
            <w:rFonts w:asciiTheme="minorHAnsi" w:eastAsiaTheme="minorEastAsia" w:hAnsiTheme="minorHAnsi" w:cstheme="minorBidi"/>
            <w:sz w:val="22"/>
            <w:szCs w:val="22"/>
            <w:lang w:eastAsia="en-NZ"/>
          </w:rPr>
          <w:tab/>
        </w:r>
        <w:r w:rsidRPr="00953109">
          <w:rPr>
            <w:rStyle w:val="Hyperlink"/>
          </w:rPr>
          <w:t>Full-time and part-time status</w:t>
        </w:r>
        <w:r>
          <w:rPr>
            <w:webHidden/>
          </w:rPr>
          <w:tab/>
        </w:r>
        <w:r>
          <w:rPr>
            <w:webHidden/>
          </w:rPr>
          <w:fldChar w:fldCharType="begin"/>
        </w:r>
        <w:r>
          <w:rPr>
            <w:webHidden/>
          </w:rPr>
          <w:instrText xml:space="preserve"> PAGEREF _Toc379545917 \h </w:instrText>
        </w:r>
        <w:r>
          <w:rPr>
            <w:webHidden/>
          </w:rPr>
        </w:r>
        <w:r>
          <w:rPr>
            <w:webHidden/>
          </w:rPr>
          <w:fldChar w:fldCharType="separate"/>
        </w:r>
        <w:r>
          <w:rPr>
            <w:webHidden/>
          </w:rPr>
          <w:t>23</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8" w:history="1">
        <w:r w:rsidRPr="00953109">
          <w:rPr>
            <w:rStyle w:val="Hyperlink"/>
          </w:rPr>
          <w:t>5.2</w:t>
        </w:r>
        <w:r>
          <w:rPr>
            <w:rFonts w:asciiTheme="minorHAnsi" w:eastAsiaTheme="minorEastAsia" w:hAnsiTheme="minorHAnsi" w:cstheme="minorBidi"/>
            <w:sz w:val="22"/>
            <w:szCs w:val="22"/>
            <w:lang w:eastAsia="en-NZ"/>
          </w:rPr>
          <w:tab/>
        </w:r>
        <w:r w:rsidRPr="00953109">
          <w:rPr>
            <w:rStyle w:val="Hyperlink"/>
          </w:rPr>
          <w:t>Sub-sector</w:t>
        </w:r>
        <w:r>
          <w:rPr>
            <w:webHidden/>
          </w:rPr>
          <w:tab/>
        </w:r>
        <w:r>
          <w:rPr>
            <w:webHidden/>
          </w:rPr>
          <w:fldChar w:fldCharType="begin"/>
        </w:r>
        <w:r>
          <w:rPr>
            <w:webHidden/>
          </w:rPr>
          <w:instrText xml:space="preserve"> PAGEREF _Toc379545918 \h </w:instrText>
        </w:r>
        <w:r>
          <w:rPr>
            <w:webHidden/>
          </w:rPr>
        </w:r>
        <w:r>
          <w:rPr>
            <w:webHidden/>
          </w:rPr>
          <w:fldChar w:fldCharType="separate"/>
        </w:r>
        <w:r>
          <w:rPr>
            <w:webHidden/>
          </w:rPr>
          <w:t>25</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19" w:history="1">
        <w:r w:rsidRPr="00953109">
          <w:rPr>
            <w:rStyle w:val="Hyperlink"/>
          </w:rPr>
          <w:t>5.3</w:t>
        </w:r>
        <w:r>
          <w:rPr>
            <w:rFonts w:asciiTheme="minorHAnsi" w:eastAsiaTheme="minorEastAsia" w:hAnsiTheme="minorHAnsi" w:cstheme="minorBidi"/>
            <w:sz w:val="22"/>
            <w:szCs w:val="22"/>
            <w:lang w:eastAsia="en-NZ"/>
          </w:rPr>
          <w:tab/>
        </w:r>
        <w:r w:rsidRPr="00953109">
          <w:rPr>
            <w:rStyle w:val="Hyperlink"/>
          </w:rPr>
          <w:t>Institutional provision and achievement</w:t>
        </w:r>
        <w:r>
          <w:rPr>
            <w:webHidden/>
          </w:rPr>
          <w:tab/>
        </w:r>
        <w:r>
          <w:rPr>
            <w:webHidden/>
          </w:rPr>
          <w:fldChar w:fldCharType="begin"/>
        </w:r>
        <w:r>
          <w:rPr>
            <w:webHidden/>
          </w:rPr>
          <w:instrText xml:space="preserve"> PAGEREF _Toc379545919 \h </w:instrText>
        </w:r>
        <w:r>
          <w:rPr>
            <w:webHidden/>
          </w:rPr>
        </w:r>
        <w:r>
          <w:rPr>
            <w:webHidden/>
          </w:rPr>
          <w:fldChar w:fldCharType="separate"/>
        </w:r>
        <w:r>
          <w:rPr>
            <w:webHidden/>
          </w:rPr>
          <w:t>27</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20" w:history="1">
        <w:r w:rsidRPr="00953109">
          <w:rPr>
            <w:rStyle w:val="Hyperlink"/>
          </w:rPr>
          <w:t>5.4</w:t>
        </w:r>
        <w:r>
          <w:rPr>
            <w:rFonts w:asciiTheme="minorHAnsi" w:eastAsiaTheme="minorEastAsia" w:hAnsiTheme="minorHAnsi" w:cstheme="minorBidi"/>
            <w:sz w:val="22"/>
            <w:szCs w:val="22"/>
            <w:lang w:eastAsia="en-NZ"/>
          </w:rPr>
          <w:tab/>
        </w:r>
        <w:r w:rsidRPr="00953109">
          <w:rPr>
            <w:rStyle w:val="Hyperlink"/>
          </w:rPr>
          <w:t>Course level</w:t>
        </w:r>
        <w:r>
          <w:rPr>
            <w:webHidden/>
          </w:rPr>
          <w:tab/>
        </w:r>
        <w:r>
          <w:rPr>
            <w:webHidden/>
          </w:rPr>
          <w:fldChar w:fldCharType="begin"/>
        </w:r>
        <w:r>
          <w:rPr>
            <w:webHidden/>
          </w:rPr>
          <w:instrText xml:space="preserve"> PAGEREF _Toc379545920 \h </w:instrText>
        </w:r>
        <w:r>
          <w:rPr>
            <w:webHidden/>
          </w:rPr>
        </w:r>
        <w:r>
          <w:rPr>
            <w:webHidden/>
          </w:rPr>
          <w:fldChar w:fldCharType="separate"/>
        </w:r>
        <w:r>
          <w:rPr>
            <w:webHidden/>
          </w:rPr>
          <w:t>31</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21" w:history="1">
        <w:r w:rsidRPr="00953109">
          <w:rPr>
            <w:rStyle w:val="Hyperlink"/>
          </w:rPr>
          <w:t>5.5</w:t>
        </w:r>
        <w:r>
          <w:rPr>
            <w:rFonts w:asciiTheme="minorHAnsi" w:eastAsiaTheme="minorEastAsia" w:hAnsiTheme="minorHAnsi" w:cstheme="minorBidi"/>
            <w:sz w:val="22"/>
            <w:szCs w:val="22"/>
            <w:lang w:eastAsia="en-NZ"/>
          </w:rPr>
          <w:tab/>
        </w:r>
        <w:r w:rsidRPr="00953109">
          <w:rPr>
            <w:rStyle w:val="Hyperlink"/>
          </w:rPr>
          <w:t>Field of study</w:t>
        </w:r>
        <w:r>
          <w:rPr>
            <w:webHidden/>
          </w:rPr>
          <w:tab/>
        </w:r>
        <w:r>
          <w:rPr>
            <w:webHidden/>
          </w:rPr>
          <w:fldChar w:fldCharType="begin"/>
        </w:r>
        <w:r>
          <w:rPr>
            <w:webHidden/>
          </w:rPr>
          <w:instrText xml:space="preserve"> PAGEREF _Toc379545921 \h </w:instrText>
        </w:r>
        <w:r>
          <w:rPr>
            <w:webHidden/>
          </w:rPr>
        </w:r>
        <w:r>
          <w:rPr>
            <w:webHidden/>
          </w:rPr>
          <w:fldChar w:fldCharType="separate"/>
        </w:r>
        <w:r>
          <w:rPr>
            <w:webHidden/>
          </w:rPr>
          <w:t>33</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22" w:history="1">
        <w:r w:rsidRPr="00953109">
          <w:rPr>
            <w:rStyle w:val="Hyperlink"/>
          </w:rPr>
          <w:t>6</w:t>
        </w:r>
        <w:r>
          <w:rPr>
            <w:rFonts w:asciiTheme="minorHAnsi" w:eastAsiaTheme="minorEastAsia" w:hAnsiTheme="minorHAnsi" w:cstheme="minorBidi"/>
            <w:sz w:val="22"/>
            <w:szCs w:val="22"/>
            <w:lang w:eastAsia="en-NZ"/>
          </w:rPr>
          <w:tab/>
        </w:r>
        <w:r w:rsidRPr="00953109">
          <w:rPr>
            <w:rStyle w:val="Hyperlink"/>
          </w:rPr>
          <w:t>Conclusions</w:t>
        </w:r>
        <w:r>
          <w:rPr>
            <w:webHidden/>
          </w:rPr>
          <w:tab/>
        </w:r>
        <w:r>
          <w:rPr>
            <w:webHidden/>
          </w:rPr>
          <w:fldChar w:fldCharType="begin"/>
        </w:r>
        <w:r>
          <w:rPr>
            <w:webHidden/>
          </w:rPr>
          <w:instrText xml:space="preserve"> PAGEREF _Toc379545922 \h </w:instrText>
        </w:r>
        <w:r>
          <w:rPr>
            <w:webHidden/>
          </w:rPr>
        </w:r>
        <w:r>
          <w:rPr>
            <w:webHidden/>
          </w:rPr>
          <w:fldChar w:fldCharType="separate"/>
        </w:r>
        <w:r>
          <w:rPr>
            <w:webHidden/>
          </w:rPr>
          <w:t>37</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23" w:history="1">
        <w:r w:rsidRPr="00953109">
          <w:rPr>
            <w:rStyle w:val="Hyperlink"/>
          </w:rPr>
          <w:t>6.1</w:t>
        </w:r>
        <w:r>
          <w:rPr>
            <w:rFonts w:asciiTheme="minorHAnsi" w:eastAsiaTheme="minorEastAsia" w:hAnsiTheme="minorHAnsi" w:cstheme="minorBidi"/>
            <w:sz w:val="22"/>
            <w:szCs w:val="22"/>
            <w:lang w:eastAsia="en-NZ"/>
          </w:rPr>
          <w:tab/>
        </w:r>
        <w:r w:rsidRPr="00953109">
          <w:rPr>
            <w:rStyle w:val="Hyperlink"/>
          </w:rPr>
          <w:t>Extramural provision and participation</w:t>
        </w:r>
        <w:r>
          <w:rPr>
            <w:webHidden/>
          </w:rPr>
          <w:tab/>
        </w:r>
        <w:r>
          <w:rPr>
            <w:webHidden/>
          </w:rPr>
          <w:fldChar w:fldCharType="begin"/>
        </w:r>
        <w:r>
          <w:rPr>
            <w:webHidden/>
          </w:rPr>
          <w:instrText xml:space="preserve"> PAGEREF _Toc379545923 \h </w:instrText>
        </w:r>
        <w:r>
          <w:rPr>
            <w:webHidden/>
          </w:rPr>
        </w:r>
        <w:r>
          <w:rPr>
            <w:webHidden/>
          </w:rPr>
          <w:fldChar w:fldCharType="separate"/>
        </w:r>
        <w:r>
          <w:rPr>
            <w:webHidden/>
          </w:rPr>
          <w:t>37</w:t>
        </w:r>
        <w:r>
          <w:rPr>
            <w:webHidden/>
          </w:rPr>
          <w:fldChar w:fldCharType="end"/>
        </w:r>
      </w:hyperlink>
    </w:p>
    <w:p w:rsidR="00A36F63" w:rsidRDefault="00A36F63">
      <w:pPr>
        <w:pStyle w:val="TOC2"/>
        <w:tabs>
          <w:tab w:val="left" w:pos="1134"/>
        </w:tabs>
        <w:rPr>
          <w:rFonts w:asciiTheme="minorHAnsi" w:eastAsiaTheme="minorEastAsia" w:hAnsiTheme="minorHAnsi" w:cstheme="minorBidi"/>
          <w:sz w:val="22"/>
          <w:szCs w:val="22"/>
          <w:lang w:eastAsia="en-NZ"/>
        </w:rPr>
      </w:pPr>
      <w:hyperlink w:anchor="_Toc379545924" w:history="1">
        <w:r w:rsidRPr="00953109">
          <w:rPr>
            <w:rStyle w:val="Hyperlink"/>
          </w:rPr>
          <w:t>6.2</w:t>
        </w:r>
        <w:r>
          <w:rPr>
            <w:rFonts w:asciiTheme="minorHAnsi" w:eastAsiaTheme="minorEastAsia" w:hAnsiTheme="minorHAnsi" w:cstheme="minorBidi"/>
            <w:sz w:val="22"/>
            <w:szCs w:val="22"/>
            <w:lang w:eastAsia="en-NZ"/>
          </w:rPr>
          <w:tab/>
        </w:r>
        <w:r w:rsidRPr="00953109">
          <w:rPr>
            <w:rStyle w:val="Hyperlink"/>
          </w:rPr>
          <w:t>Extramural achievement</w:t>
        </w:r>
        <w:r>
          <w:rPr>
            <w:webHidden/>
          </w:rPr>
          <w:tab/>
        </w:r>
        <w:r>
          <w:rPr>
            <w:webHidden/>
          </w:rPr>
          <w:fldChar w:fldCharType="begin"/>
        </w:r>
        <w:r>
          <w:rPr>
            <w:webHidden/>
          </w:rPr>
          <w:instrText xml:space="preserve"> PAGEREF _Toc379545924 \h </w:instrText>
        </w:r>
        <w:r>
          <w:rPr>
            <w:webHidden/>
          </w:rPr>
        </w:r>
        <w:r>
          <w:rPr>
            <w:webHidden/>
          </w:rPr>
          <w:fldChar w:fldCharType="separate"/>
        </w:r>
        <w:r>
          <w:rPr>
            <w:webHidden/>
          </w:rPr>
          <w:t>37</w:t>
        </w:r>
        <w:r>
          <w:rPr>
            <w:webHidden/>
          </w:rPr>
          <w:fldChar w:fldCharType="end"/>
        </w:r>
      </w:hyperlink>
    </w:p>
    <w:p w:rsidR="00A36F63" w:rsidRDefault="00A36F63">
      <w:pPr>
        <w:pStyle w:val="TOC1"/>
        <w:tabs>
          <w:tab w:val="left" w:pos="1320"/>
        </w:tabs>
        <w:rPr>
          <w:rFonts w:asciiTheme="minorHAnsi" w:eastAsiaTheme="minorEastAsia" w:hAnsiTheme="minorHAnsi" w:cstheme="minorBidi"/>
          <w:sz w:val="22"/>
          <w:szCs w:val="22"/>
          <w:lang w:eastAsia="en-NZ"/>
        </w:rPr>
      </w:pPr>
      <w:hyperlink w:anchor="_Toc379545925" w:history="1">
        <w:r w:rsidRPr="00953109">
          <w:rPr>
            <w:rStyle w:val="Hyperlink"/>
          </w:rPr>
          <w:t>Appendix A</w:t>
        </w:r>
        <w:r>
          <w:rPr>
            <w:rFonts w:asciiTheme="minorHAnsi" w:eastAsiaTheme="minorEastAsia" w:hAnsiTheme="minorHAnsi" w:cstheme="minorBidi"/>
            <w:sz w:val="22"/>
            <w:szCs w:val="22"/>
            <w:lang w:eastAsia="en-NZ"/>
          </w:rPr>
          <w:tab/>
        </w:r>
        <w:r w:rsidRPr="00953109">
          <w:rPr>
            <w:rStyle w:val="Hyperlink"/>
          </w:rPr>
          <w:t>E-learning category analysis</w:t>
        </w:r>
        <w:r>
          <w:rPr>
            <w:webHidden/>
          </w:rPr>
          <w:tab/>
        </w:r>
        <w:r>
          <w:rPr>
            <w:webHidden/>
          </w:rPr>
          <w:fldChar w:fldCharType="begin"/>
        </w:r>
        <w:r>
          <w:rPr>
            <w:webHidden/>
          </w:rPr>
          <w:instrText xml:space="preserve"> PAGEREF _Toc379545925 \h </w:instrText>
        </w:r>
        <w:r>
          <w:rPr>
            <w:webHidden/>
          </w:rPr>
        </w:r>
        <w:r>
          <w:rPr>
            <w:webHidden/>
          </w:rPr>
          <w:fldChar w:fldCharType="separate"/>
        </w:r>
        <w:r>
          <w:rPr>
            <w:webHidden/>
          </w:rPr>
          <w:t>39</w:t>
        </w:r>
        <w:r>
          <w:rPr>
            <w:webHidden/>
          </w:rPr>
          <w:fldChar w:fldCharType="end"/>
        </w:r>
      </w:hyperlink>
    </w:p>
    <w:p w:rsidR="00A36F63" w:rsidRDefault="00A36F63">
      <w:pPr>
        <w:pStyle w:val="TOC1"/>
        <w:tabs>
          <w:tab w:val="left" w:pos="1320"/>
        </w:tabs>
        <w:rPr>
          <w:rFonts w:asciiTheme="minorHAnsi" w:eastAsiaTheme="minorEastAsia" w:hAnsiTheme="minorHAnsi" w:cstheme="minorBidi"/>
          <w:sz w:val="22"/>
          <w:szCs w:val="22"/>
          <w:lang w:eastAsia="en-NZ"/>
        </w:rPr>
      </w:pPr>
      <w:hyperlink w:anchor="_Toc379545926" w:history="1">
        <w:r w:rsidRPr="00953109">
          <w:rPr>
            <w:rStyle w:val="Hyperlink"/>
          </w:rPr>
          <w:t>Appendix B</w:t>
        </w:r>
        <w:r>
          <w:rPr>
            <w:rFonts w:asciiTheme="minorHAnsi" w:eastAsiaTheme="minorEastAsia" w:hAnsiTheme="minorHAnsi" w:cstheme="minorBidi"/>
            <w:sz w:val="22"/>
            <w:szCs w:val="22"/>
            <w:lang w:eastAsia="en-NZ"/>
          </w:rPr>
          <w:tab/>
        </w:r>
        <w:r w:rsidRPr="00953109">
          <w:rPr>
            <w:rStyle w:val="Hyperlink"/>
          </w:rPr>
          <w:t>The Open Polytechnic of New Zealand case study</w:t>
        </w:r>
        <w:r>
          <w:rPr>
            <w:webHidden/>
          </w:rPr>
          <w:tab/>
        </w:r>
        <w:r>
          <w:rPr>
            <w:webHidden/>
          </w:rPr>
          <w:fldChar w:fldCharType="begin"/>
        </w:r>
        <w:r>
          <w:rPr>
            <w:webHidden/>
          </w:rPr>
          <w:instrText xml:space="preserve"> PAGEREF _Toc379545926 \h </w:instrText>
        </w:r>
        <w:r>
          <w:rPr>
            <w:webHidden/>
          </w:rPr>
        </w:r>
        <w:r>
          <w:rPr>
            <w:webHidden/>
          </w:rPr>
          <w:fldChar w:fldCharType="separate"/>
        </w:r>
        <w:r>
          <w:rPr>
            <w:webHidden/>
          </w:rPr>
          <w:t>40</w:t>
        </w:r>
        <w:r>
          <w:rPr>
            <w:webHidden/>
          </w:rPr>
          <w:fldChar w:fldCharType="end"/>
        </w:r>
      </w:hyperlink>
    </w:p>
    <w:p w:rsidR="00A36F63" w:rsidRDefault="00A36F63">
      <w:pPr>
        <w:pStyle w:val="TOC1"/>
        <w:rPr>
          <w:rFonts w:asciiTheme="minorHAnsi" w:eastAsiaTheme="minorEastAsia" w:hAnsiTheme="minorHAnsi" w:cstheme="minorBidi"/>
          <w:sz w:val="22"/>
          <w:szCs w:val="22"/>
          <w:lang w:eastAsia="en-NZ"/>
        </w:rPr>
      </w:pPr>
      <w:hyperlink w:anchor="_Toc379545927" w:history="1">
        <w:r w:rsidRPr="00953109">
          <w:rPr>
            <w:rStyle w:val="Hyperlink"/>
          </w:rPr>
          <w:t>References</w:t>
        </w:r>
        <w:r>
          <w:rPr>
            <w:webHidden/>
          </w:rPr>
          <w:tab/>
        </w:r>
        <w:r>
          <w:rPr>
            <w:webHidden/>
          </w:rPr>
          <w:fldChar w:fldCharType="begin"/>
        </w:r>
        <w:r>
          <w:rPr>
            <w:webHidden/>
          </w:rPr>
          <w:instrText xml:space="preserve"> PAGEREF _Toc379545927 \h </w:instrText>
        </w:r>
        <w:r>
          <w:rPr>
            <w:webHidden/>
          </w:rPr>
        </w:r>
        <w:r>
          <w:rPr>
            <w:webHidden/>
          </w:rPr>
          <w:fldChar w:fldCharType="separate"/>
        </w:r>
        <w:r>
          <w:rPr>
            <w:webHidden/>
          </w:rPr>
          <w:t>47</w:t>
        </w:r>
        <w:r>
          <w:rPr>
            <w:webHidden/>
          </w:rPr>
          <w:fldChar w:fldCharType="end"/>
        </w:r>
      </w:hyperlink>
    </w:p>
    <w:p w:rsidR="000C5942" w:rsidRDefault="00804971" w:rsidP="009A78FC">
      <w:pPr>
        <w:rPr>
          <w:noProof/>
        </w:rPr>
      </w:pPr>
      <w:r>
        <w:fldChar w:fldCharType="end"/>
      </w:r>
    </w:p>
    <w:p w:rsidR="000C5942" w:rsidRDefault="000C5942" w:rsidP="00326930">
      <w:pPr>
        <w:pStyle w:val="Heading"/>
      </w:pPr>
      <w:r>
        <w:br w:type="page"/>
      </w:r>
      <w:r w:rsidRPr="00FA7235">
        <w:lastRenderedPageBreak/>
        <w:t>Figures</w:t>
      </w:r>
      <w:r>
        <w:t xml:space="preserve"> </w:t>
      </w:r>
    </w:p>
    <w:tbl>
      <w:tblPr>
        <w:tblW w:w="8732" w:type="dxa"/>
        <w:tblLayout w:type="fixed"/>
        <w:tblLook w:val="01E0"/>
      </w:tblPr>
      <w:tblGrid>
        <w:gridCol w:w="680"/>
        <w:gridCol w:w="8052"/>
      </w:tblGrid>
      <w:tr w:rsidR="000C5942" w:rsidTr="001B633B">
        <w:tc>
          <w:tcPr>
            <w:tcW w:w="680" w:type="dxa"/>
          </w:tcPr>
          <w:p w:rsidR="000C5942" w:rsidRDefault="000C5942" w:rsidP="009A33C6">
            <w:pPr>
              <w:pStyle w:val="Figure-Table"/>
            </w:pPr>
            <w:r>
              <w:t xml:space="preserve">1 </w:t>
            </w:r>
          </w:p>
          <w:p w:rsidR="000C5942" w:rsidRDefault="000C5942" w:rsidP="009A33C6">
            <w:pPr>
              <w:pStyle w:val="Figure-Table"/>
            </w:pPr>
            <w:r>
              <w:t>2</w:t>
            </w:r>
          </w:p>
          <w:p w:rsidR="000C5942" w:rsidRDefault="000C5942" w:rsidP="009A33C6">
            <w:pPr>
              <w:pStyle w:val="Figure-Table"/>
            </w:pPr>
            <w:r>
              <w:t xml:space="preserve">        3</w:t>
            </w:r>
          </w:p>
          <w:p w:rsidR="000C5942" w:rsidRDefault="000C5942" w:rsidP="009A33C6">
            <w:pPr>
              <w:pStyle w:val="Figure-Table"/>
            </w:pPr>
            <w:r>
              <w:t xml:space="preserve">        4</w:t>
            </w:r>
          </w:p>
          <w:p w:rsidR="000C5942" w:rsidRDefault="000C5942" w:rsidP="009A33C6">
            <w:pPr>
              <w:pStyle w:val="Figure-Table"/>
            </w:pPr>
            <w:r>
              <w:t>5</w:t>
            </w:r>
          </w:p>
          <w:p w:rsidR="000C5942" w:rsidRDefault="000C5942" w:rsidP="009A33C6">
            <w:pPr>
              <w:pStyle w:val="Figure-Table"/>
            </w:pPr>
            <w:r>
              <w:t xml:space="preserve">        6</w:t>
            </w:r>
          </w:p>
          <w:p w:rsidR="000C5942" w:rsidRDefault="000C5942" w:rsidP="009A33C6">
            <w:pPr>
              <w:pStyle w:val="Figure-Table"/>
            </w:pPr>
            <w:r>
              <w:t xml:space="preserve">        7</w:t>
            </w:r>
          </w:p>
          <w:p w:rsidR="000C5942" w:rsidRDefault="000C5942" w:rsidP="009A33C6">
            <w:pPr>
              <w:pStyle w:val="Figure-Table"/>
            </w:pPr>
            <w:r>
              <w:t xml:space="preserve">        8</w:t>
            </w:r>
          </w:p>
          <w:p w:rsidR="000C5942" w:rsidRDefault="000C5942" w:rsidP="009A33C6">
            <w:pPr>
              <w:pStyle w:val="Figure-Table"/>
            </w:pPr>
            <w:r>
              <w:t xml:space="preserve">        9</w:t>
            </w:r>
          </w:p>
          <w:p w:rsidR="000C5942" w:rsidRDefault="000C5942" w:rsidP="009A33C6">
            <w:pPr>
              <w:pStyle w:val="Figure-Table"/>
            </w:pPr>
            <w:r>
              <w:t xml:space="preserve">      10</w:t>
            </w:r>
          </w:p>
          <w:p w:rsidR="000C5942" w:rsidRDefault="000C5942" w:rsidP="009A33C6">
            <w:pPr>
              <w:pStyle w:val="Figure-Table"/>
            </w:pPr>
            <w:r>
              <w:t>11</w:t>
            </w:r>
          </w:p>
          <w:p w:rsidR="000C5942" w:rsidRDefault="000C5942" w:rsidP="009A33C6">
            <w:pPr>
              <w:pStyle w:val="Figure-Table"/>
            </w:pPr>
            <w:r>
              <w:t xml:space="preserve">      12</w:t>
            </w:r>
          </w:p>
          <w:p w:rsidR="000C5942" w:rsidRDefault="000C5942" w:rsidP="009A33C6">
            <w:pPr>
              <w:pStyle w:val="Figure-Table"/>
            </w:pPr>
            <w:r>
              <w:t xml:space="preserve">      13</w:t>
            </w:r>
          </w:p>
          <w:p w:rsidR="000C5942" w:rsidRDefault="000C5942" w:rsidP="009A33C6">
            <w:pPr>
              <w:pStyle w:val="Figure-Table"/>
            </w:pPr>
            <w:r>
              <w:t>14</w:t>
            </w:r>
          </w:p>
          <w:p w:rsidR="000C5942" w:rsidRDefault="000C5942" w:rsidP="009A33C6">
            <w:pPr>
              <w:pStyle w:val="Figure-Table"/>
            </w:pPr>
            <w:r>
              <w:t xml:space="preserve">      15</w:t>
            </w:r>
          </w:p>
          <w:p w:rsidR="000C5942" w:rsidRDefault="000C5942" w:rsidP="009A33C6">
            <w:pPr>
              <w:pStyle w:val="Figure-Table"/>
            </w:pPr>
            <w:r>
              <w:t xml:space="preserve">      16</w:t>
            </w:r>
          </w:p>
          <w:p w:rsidR="000C5942" w:rsidRDefault="000C5942" w:rsidP="009A33C6">
            <w:pPr>
              <w:pStyle w:val="Figure-Table"/>
            </w:pPr>
            <w:r>
              <w:t>17</w:t>
            </w:r>
          </w:p>
          <w:p w:rsidR="000C5942" w:rsidRDefault="000C5942" w:rsidP="009A33C6">
            <w:pPr>
              <w:pStyle w:val="Figure-Table"/>
            </w:pPr>
            <w:r>
              <w:t xml:space="preserve">      18</w:t>
            </w:r>
          </w:p>
          <w:p w:rsidR="000C5942" w:rsidRDefault="000C5942" w:rsidP="00042107">
            <w:pPr>
              <w:pStyle w:val="Figure-Table"/>
            </w:pPr>
            <w:r>
              <w:t xml:space="preserve">      19</w:t>
            </w:r>
          </w:p>
          <w:p w:rsidR="0072231D" w:rsidRDefault="000C5942" w:rsidP="00042107">
            <w:pPr>
              <w:pStyle w:val="Figure-Table"/>
            </w:pPr>
            <w:r>
              <w:lastRenderedPageBreak/>
              <w:t xml:space="preserve">20         </w:t>
            </w:r>
          </w:p>
          <w:p w:rsidR="000C5942" w:rsidRDefault="000C5942" w:rsidP="00042107">
            <w:pPr>
              <w:pStyle w:val="Figure-Table"/>
            </w:pPr>
            <w:r>
              <w:t>21</w:t>
            </w:r>
          </w:p>
          <w:p w:rsidR="000C5942" w:rsidRDefault="000C5942" w:rsidP="00042107">
            <w:pPr>
              <w:pStyle w:val="Figure-Table"/>
            </w:pPr>
            <w:r>
              <w:t xml:space="preserve">               22</w:t>
            </w:r>
          </w:p>
          <w:p w:rsidR="000C5942" w:rsidRDefault="0072231D" w:rsidP="00042107">
            <w:pPr>
              <w:pStyle w:val="Figure-Table"/>
            </w:pPr>
            <w:r>
              <w:t xml:space="preserve">      </w:t>
            </w:r>
            <w:r w:rsidR="000C5942">
              <w:t>23</w:t>
            </w:r>
          </w:p>
          <w:p w:rsidR="000B43B5" w:rsidRDefault="000C5942" w:rsidP="00042107">
            <w:pPr>
              <w:pStyle w:val="Figure-Table"/>
            </w:pPr>
            <w:r>
              <w:t xml:space="preserve">      24</w:t>
            </w:r>
          </w:p>
          <w:p w:rsidR="0072231D" w:rsidRDefault="000C5942" w:rsidP="00042107">
            <w:pPr>
              <w:pStyle w:val="Figure-Table"/>
            </w:pPr>
            <w:r>
              <w:t>25</w:t>
            </w:r>
          </w:p>
          <w:p w:rsidR="000B43B5" w:rsidRDefault="000B43B5" w:rsidP="00042107">
            <w:pPr>
              <w:pStyle w:val="Figure-Table"/>
            </w:pPr>
            <w:r>
              <w:t xml:space="preserve">      </w:t>
            </w:r>
            <w:r w:rsidR="000C5942">
              <w:t>26</w:t>
            </w:r>
          </w:p>
          <w:p w:rsidR="000C5942" w:rsidRDefault="000C5942" w:rsidP="00042107">
            <w:pPr>
              <w:pStyle w:val="Figure-Table"/>
            </w:pPr>
            <w:r>
              <w:t>27</w:t>
            </w:r>
          </w:p>
          <w:p w:rsidR="002D7CC9" w:rsidRDefault="009F2DE8" w:rsidP="0072231D">
            <w:pPr>
              <w:pStyle w:val="Figure-Table"/>
            </w:pPr>
            <w:r>
              <w:t>28</w:t>
            </w:r>
          </w:p>
          <w:p w:rsidR="000C5942" w:rsidRDefault="000C5942" w:rsidP="0072231D">
            <w:pPr>
              <w:pStyle w:val="Figure-Table"/>
            </w:pPr>
            <w:r>
              <w:t xml:space="preserve">    </w:t>
            </w:r>
          </w:p>
        </w:tc>
        <w:tc>
          <w:tcPr>
            <w:tcW w:w="8052" w:type="dxa"/>
          </w:tcPr>
          <w:p w:rsidR="005B36E2" w:rsidRDefault="00804971">
            <w:pPr>
              <w:pStyle w:val="TableofFigures"/>
              <w:rPr>
                <w:rFonts w:asciiTheme="minorHAnsi" w:eastAsiaTheme="minorEastAsia" w:hAnsiTheme="minorHAnsi" w:cstheme="minorBidi"/>
                <w:noProof/>
                <w:sz w:val="22"/>
                <w:szCs w:val="22"/>
                <w:lang w:eastAsia="en-NZ"/>
              </w:rPr>
            </w:pPr>
            <w:r w:rsidRPr="00804971">
              <w:lastRenderedPageBreak/>
              <w:fldChar w:fldCharType="begin"/>
            </w:r>
            <w:r w:rsidR="000C5942">
              <w:instrText xml:space="preserve"> TOC \h \z \t "Figure label" \c </w:instrText>
            </w:r>
            <w:r w:rsidRPr="00804971">
              <w:fldChar w:fldCharType="separate"/>
            </w:r>
            <w:hyperlink w:anchor="_Toc379545994" w:history="1">
              <w:r w:rsidR="005B36E2" w:rsidRPr="00D85B45">
                <w:rPr>
                  <w:rStyle w:val="Hyperlink"/>
                  <w:noProof/>
                </w:rPr>
                <w:t>Proportion of the total course EFTS in extramural and intramural courses</w:t>
              </w:r>
              <w:r w:rsidR="005B36E2">
                <w:rPr>
                  <w:noProof/>
                  <w:webHidden/>
                </w:rPr>
                <w:tab/>
              </w:r>
              <w:r w:rsidR="005B36E2">
                <w:rPr>
                  <w:noProof/>
                  <w:webHidden/>
                </w:rPr>
                <w:fldChar w:fldCharType="begin"/>
              </w:r>
              <w:r w:rsidR="005B36E2">
                <w:rPr>
                  <w:noProof/>
                  <w:webHidden/>
                </w:rPr>
                <w:instrText xml:space="preserve"> PAGEREF _Toc379545994 \h </w:instrText>
              </w:r>
              <w:r w:rsidR="005B36E2">
                <w:rPr>
                  <w:noProof/>
                  <w:webHidden/>
                </w:rPr>
              </w:r>
              <w:r w:rsidR="005B36E2">
                <w:rPr>
                  <w:noProof/>
                  <w:webHidden/>
                </w:rPr>
                <w:fldChar w:fldCharType="separate"/>
              </w:r>
              <w:r w:rsidR="005B36E2">
                <w:rPr>
                  <w:noProof/>
                  <w:webHidden/>
                </w:rPr>
                <w:t>10</w:t>
              </w:r>
              <w:r w:rsidR="005B36E2">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5995" w:history="1">
              <w:r w:rsidRPr="00D85B45">
                <w:rPr>
                  <w:rStyle w:val="Hyperlink"/>
                  <w:noProof/>
                </w:rPr>
                <w:t>Proportion of the total extramural and intramural course EFTS in the e-learning delivery mode</w:t>
              </w:r>
              <w:r>
                <w:rPr>
                  <w:noProof/>
                  <w:webHidden/>
                </w:rPr>
                <w:tab/>
              </w:r>
              <w:r>
                <w:rPr>
                  <w:noProof/>
                  <w:webHidden/>
                </w:rPr>
                <w:fldChar w:fldCharType="begin"/>
              </w:r>
              <w:r>
                <w:rPr>
                  <w:noProof/>
                  <w:webHidden/>
                </w:rPr>
                <w:instrText xml:space="preserve"> PAGEREF _Toc379545995 \h </w:instrText>
              </w:r>
              <w:r>
                <w:rPr>
                  <w:noProof/>
                  <w:webHidden/>
                </w:rPr>
              </w:r>
              <w:r>
                <w:rPr>
                  <w:noProof/>
                  <w:webHidden/>
                </w:rPr>
                <w:fldChar w:fldCharType="separate"/>
              </w:r>
              <w:r>
                <w:rPr>
                  <w:noProof/>
                  <w:webHidden/>
                </w:rPr>
                <w:t>10</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5996" w:history="1">
              <w:r w:rsidRPr="00D85B45">
                <w:rPr>
                  <w:rStyle w:val="Hyperlink"/>
                  <w:noProof/>
                </w:rPr>
                <w:t>System-level extramural and intramural course completion rates 2004-2011 in the No ICT and e-learning delivery modes</w:t>
              </w:r>
              <w:r>
                <w:rPr>
                  <w:noProof/>
                  <w:webHidden/>
                </w:rPr>
                <w:tab/>
              </w:r>
              <w:r>
                <w:rPr>
                  <w:noProof/>
                  <w:webHidden/>
                </w:rPr>
                <w:fldChar w:fldCharType="begin"/>
              </w:r>
              <w:r>
                <w:rPr>
                  <w:noProof/>
                  <w:webHidden/>
                </w:rPr>
                <w:instrText xml:space="preserve"> PAGEREF _Toc379545996 \h </w:instrText>
              </w:r>
              <w:r>
                <w:rPr>
                  <w:noProof/>
                  <w:webHidden/>
                </w:rPr>
              </w:r>
              <w:r>
                <w:rPr>
                  <w:noProof/>
                  <w:webHidden/>
                </w:rPr>
                <w:fldChar w:fldCharType="separate"/>
              </w:r>
              <w:r>
                <w:rPr>
                  <w:noProof/>
                  <w:webHidden/>
                </w:rPr>
                <w:t>11</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5997" w:history="1">
              <w:r w:rsidRPr="00D85B45">
                <w:rPr>
                  <w:rStyle w:val="Hyperlink"/>
                  <w:noProof/>
                </w:rPr>
                <w:t>Proportion of the total female and male EFTS in extramural and intramural</w:t>
              </w:r>
              <w:r>
                <w:rPr>
                  <w:noProof/>
                  <w:webHidden/>
                </w:rPr>
                <w:tab/>
              </w:r>
              <w:r>
                <w:rPr>
                  <w:noProof/>
                  <w:webHidden/>
                </w:rPr>
                <w:fldChar w:fldCharType="begin"/>
              </w:r>
              <w:r>
                <w:rPr>
                  <w:noProof/>
                  <w:webHidden/>
                </w:rPr>
                <w:instrText xml:space="preserve"> PAGEREF _Toc379545997 \h </w:instrText>
              </w:r>
              <w:r>
                <w:rPr>
                  <w:noProof/>
                  <w:webHidden/>
                </w:rPr>
              </w:r>
              <w:r>
                <w:rPr>
                  <w:noProof/>
                  <w:webHidden/>
                </w:rPr>
                <w:fldChar w:fldCharType="separate"/>
              </w:r>
              <w:r>
                <w:rPr>
                  <w:noProof/>
                  <w:webHidden/>
                </w:rPr>
                <w:t>13</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5998" w:history="1">
              <w:r w:rsidRPr="00D85B45">
                <w:rPr>
                  <w:rStyle w:val="Hyperlink"/>
                  <w:noProof/>
                </w:rPr>
                <w:t>Proportion of the total female and male extramural and intramural EFTS in the No ICT and e-learning delivery modes</w:t>
              </w:r>
              <w:r>
                <w:rPr>
                  <w:noProof/>
                  <w:webHidden/>
                </w:rPr>
                <w:tab/>
              </w:r>
              <w:r>
                <w:rPr>
                  <w:noProof/>
                  <w:webHidden/>
                </w:rPr>
                <w:fldChar w:fldCharType="begin"/>
              </w:r>
              <w:r>
                <w:rPr>
                  <w:noProof/>
                  <w:webHidden/>
                </w:rPr>
                <w:instrText xml:space="preserve"> PAGEREF _Toc379545998 \h </w:instrText>
              </w:r>
              <w:r>
                <w:rPr>
                  <w:noProof/>
                  <w:webHidden/>
                </w:rPr>
              </w:r>
              <w:r>
                <w:rPr>
                  <w:noProof/>
                  <w:webHidden/>
                </w:rPr>
                <w:fldChar w:fldCharType="separate"/>
              </w:r>
              <w:r>
                <w:rPr>
                  <w:noProof/>
                  <w:webHidden/>
                </w:rPr>
                <w:t>14</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5999" w:history="1">
              <w:r w:rsidRPr="00D85B45">
                <w:rPr>
                  <w:rStyle w:val="Hyperlink"/>
                  <w:noProof/>
                </w:rPr>
                <w:t>Female and male extramural and intramural course completion rates in the No ICT and e-learning delivery modes</w:t>
              </w:r>
              <w:r>
                <w:rPr>
                  <w:noProof/>
                  <w:webHidden/>
                </w:rPr>
                <w:tab/>
              </w:r>
              <w:r>
                <w:rPr>
                  <w:noProof/>
                  <w:webHidden/>
                </w:rPr>
                <w:fldChar w:fldCharType="begin"/>
              </w:r>
              <w:r>
                <w:rPr>
                  <w:noProof/>
                  <w:webHidden/>
                </w:rPr>
                <w:instrText xml:space="preserve"> PAGEREF _Toc379545999 \h </w:instrText>
              </w:r>
              <w:r>
                <w:rPr>
                  <w:noProof/>
                  <w:webHidden/>
                </w:rPr>
              </w:r>
              <w:r>
                <w:rPr>
                  <w:noProof/>
                  <w:webHidden/>
                </w:rPr>
                <w:fldChar w:fldCharType="separate"/>
              </w:r>
              <w:r>
                <w:rPr>
                  <w:noProof/>
                  <w:webHidden/>
                </w:rPr>
                <w:t>15</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0" w:history="1">
              <w:r w:rsidRPr="00D85B45">
                <w:rPr>
                  <w:rStyle w:val="Hyperlink"/>
                  <w:noProof/>
                </w:rPr>
                <w:t>Proportion of the under 25 year olds, 25-39 year olds and 40+ age groups’ EFTS in extramural and intramural courses</w:t>
              </w:r>
              <w:r>
                <w:rPr>
                  <w:noProof/>
                  <w:webHidden/>
                </w:rPr>
                <w:tab/>
              </w:r>
              <w:r>
                <w:rPr>
                  <w:noProof/>
                  <w:webHidden/>
                </w:rPr>
                <w:fldChar w:fldCharType="begin"/>
              </w:r>
              <w:r>
                <w:rPr>
                  <w:noProof/>
                  <w:webHidden/>
                </w:rPr>
                <w:instrText xml:space="preserve"> PAGEREF _Toc379546000 \h </w:instrText>
              </w:r>
              <w:r>
                <w:rPr>
                  <w:noProof/>
                  <w:webHidden/>
                </w:rPr>
              </w:r>
              <w:r>
                <w:rPr>
                  <w:noProof/>
                  <w:webHidden/>
                </w:rPr>
                <w:fldChar w:fldCharType="separate"/>
              </w:r>
              <w:r>
                <w:rPr>
                  <w:noProof/>
                  <w:webHidden/>
                </w:rPr>
                <w:t>16</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1" w:history="1">
              <w:r w:rsidRPr="00D85B45">
                <w:rPr>
                  <w:rStyle w:val="Hyperlink"/>
                  <w:noProof/>
                </w:rPr>
                <w:t>Proportion of under 25 year olds, 25-39 year olds and 40+ age groups’ extramural and intramural EFTS in the No ICT and e-learning delivery modes</w:t>
              </w:r>
              <w:r>
                <w:rPr>
                  <w:noProof/>
                  <w:webHidden/>
                </w:rPr>
                <w:tab/>
              </w:r>
              <w:r>
                <w:rPr>
                  <w:noProof/>
                  <w:webHidden/>
                </w:rPr>
                <w:fldChar w:fldCharType="begin"/>
              </w:r>
              <w:r>
                <w:rPr>
                  <w:noProof/>
                  <w:webHidden/>
                </w:rPr>
                <w:instrText xml:space="preserve"> PAGEREF _Toc379546001 \h </w:instrText>
              </w:r>
              <w:r>
                <w:rPr>
                  <w:noProof/>
                  <w:webHidden/>
                </w:rPr>
              </w:r>
              <w:r>
                <w:rPr>
                  <w:noProof/>
                  <w:webHidden/>
                </w:rPr>
                <w:fldChar w:fldCharType="separate"/>
              </w:r>
              <w:r>
                <w:rPr>
                  <w:noProof/>
                  <w:webHidden/>
                </w:rPr>
                <w:t>17</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2" w:history="1">
              <w:r w:rsidRPr="00D85B45">
                <w:rPr>
                  <w:rStyle w:val="Hyperlink"/>
                  <w:noProof/>
                </w:rPr>
                <w:t>Under 25 year olds, 25-39 year olds and 40+ age groups’ extramural and intramural course completion rates in the No ICT and e-learning delivery modes</w:t>
              </w:r>
              <w:r>
                <w:rPr>
                  <w:noProof/>
                  <w:webHidden/>
                </w:rPr>
                <w:tab/>
              </w:r>
              <w:r>
                <w:rPr>
                  <w:noProof/>
                  <w:webHidden/>
                </w:rPr>
                <w:fldChar w:fldCharType="begin"/>
              </w:r>
              <w:r>
                <w:rPr>
                  <w:noProof/>
                  <w:webHidden/>
                </w:rPr>
                <w:instrText xml:space="preserve"> PAGEREF _Toc379546002 \h </w:instrText>
              </w:r>
              <w:r>
                <w:rPr>
                  <w:noProof/>
                  <w:webHidden/>
                </w:rPr>
              </w:r>
              <w:r>
                <w:rPr>
                  <w:noProof/>
                  <w:webHidden/>
                </w:rPr>
                <w:fldChar w:fldCharType="separate"/>
              </w:r>
              <w:r>
                <w:rPr>
                  <w:noProof/>
                  <w:webHidden/>
                </w:rPr>
                <w:t>17</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3" w:history="1">
              <w:r w:rsidRPr="00D85B45">
                <w:rPr>
                  <w:rStyle w:val="Hyperlink"/>
                  <w:noProof/>
                </w:rPr>
                <w:t>Proportion of each ethnic group’s total EFTS in extramural</w:t>
              </w:r>
              <w:r>
                <w:rPr>
                  <w:noProof/>
                  <w:webHidden/>
                </w:rPr>
                <w:tab/>
              </w:r>
              <w:r>
                <w:rPr>
                  <w:noProof/>
                  <w:webHidden/>
                </w:rPr>
                <w:fldChar w:fldCharType="begin"/>
              </w:r>
              <w:r>
                <w:rPr>
                  <w:noProof/>
                  <w:webHidden/>
                </w:rPr>
                <w:instrText xml:space="preserve"> PAGEREF _Toc379546003 \h </w:instrText>
              </w:r>
              <w:r>
                <w:rPr>
                  <w:noProof/>
                  <w:webHidden/>
                </w:rPr>
              </w:r>
              <w:r>
                <w:rPr>
                  <w:noProof/>
                  <w:webHidden/>
                </w:rPr>
                <w:fldChar w:fldCharType="separate"/>
              </w:r>
              <w:r>
                <w:rPr>
                  <w:noProof/>
                  <w:webHidden/>
                </w:rPr>
                <w:t>18</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4" w:history="1">
              <w:r w:rsidRPr="00D85B45">
                <w:rPr>
                  <w:rStyle w:val="Hyperlink"/>
                  <w:noProof/>
                </w:rPr>
                <w:t>Proportion of the ethnic groups’ total extramural and intramural EFTS in the e-learning delivery mode</w:t>
              </w:r>
              <w:r>
                <w:rPr>
                  <w:noProof/>
                  <w:webHidden/>
                </w:rPr>
                <w:tab/>
              </w:r>
              <w:r>
                <w:rPr>
                  <w:noProof/>
                  <w:webHidden/>
                </w:rPr>
                <w:fldChar w:fldCharType="begin"/>
              </w:r>
              <w:r>
                <w:rPr>
                  <w:noProof/>
                  <w:webHidden/>
                </w:rPr>
                <w:instrText xml:space="preserve"> PAGEREF _Toc379546004 \h </w:instrText>
              </w:r>
              <w:r>
                <w:rPr>
                  <w:noProof/>
                  <w:webHidden/>
                </w:rPr>
              </w:r>
              <w:r>
                <w:rPr>
                  <w:noProof/>
                  <w:webHidden/>
                </w:rPr>
                <w:fldChar w:fldCharType="separate"/>
              </w:r>
              <w:r>
                <w:rPr>
                  <w:noProof/>
                  <w:webHidden/>
                </w:rPr>
                <w:t>19</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5" w:history="1">
              <w:r w:rsidRPr="00D85B45">
                <w:rPr>
                  <w:rStyle w:val="Hyperlink"/>
                  <w:noProof/>
                </w:rPr>
                <w:t xml:space="preserve">Ethnicity extramural and intramural course completion rates in the No ICT and </w:t>
              </w:r>
              <w:r>
                <w:rPr>
                  <w:rStyle w:val="Hyperlink"/>
                  <w:noProof/>
                </w:rPr>
                <w:t xml:space="preserve">            </w:t>
              </w:r>
              <w:r w:rsidRPr="00D85B45">
                <w:rPr>
                  <w:rStyle w:val="Hyperlink"/>
                  <w:noProof/>
                </w:rPr>
                <w:t>e-learning delivery modes</w:t>
              </w:r>
              <w:r>
                <w:rPr>
                  <w:noProof/>
                  <w:webHidden/>
                </w:rPr>
                <w:tab/>
              </w:r>
              <w:r>
                <w:rPr>
                  <w:noProof/>
                  <w:webHidden/>
                </w:rPr>
                <w:fldChar w:fldCharType="begin"/>
              </w:r>
              <w:r>
                <w:rPr>
                  <w:noProof/>
                  <w:webHidden/>
                </w:rPr>
                <w:instrText xml:space="preserve"> PAGEREF _Toc379546005 \h </w:instrText>
              </w:r>
              <w:r>
                <w:rPr>
                  <w:noProof/>
                  <w:webHidden/>
                </w:rPr>
              </w:r>
              <w:r>
                <w:rPr>
                  <w:noProof/>
                  <w:webHidden/>
                </w:rPr>
                <w:fldChar w:fldCharType="separate"/>
              </w:r>
              <w:r>
                <w:rPr>
                  <w:noProof/>
                  <w:webHidden/>
                </w:rPr>
                <w:t>19</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6" w:history="1">
              <w:r w:rsidRPr="00D85B45">
                <w:rPr>
                  <w:rStyle w:val="Hyperlink"/>
                  <w:noProof/>
                </w:rPr>
                <w:t>Proportion of the prior activity total EFTS in extramural</w:t>
              </w:r>
              <w:r>
                <w:rPr>
                  <w:noProof/>
                  <w:webHidden/>
                </w:rPr>
                <w:tab/>
              </w:r>
              <w:r>
                <w:rPr>
                  <w:noProof/>
                  <w:webHidden/>
                </w:rPr>
                <w:fldChar w:fldCharType="begin"/>
              </w:r>
              <w:r>
                <w:rPr>
                  <w:noProof/>
                  <w:webHidden/>
                </w:rPr>
                <w:instrText xml:space="preserve"> PAGEREF _Toc379546006 \h </w:instrText>
              </w:r>
              <w:r>
                <w:rPr>
                  <w:noProof/>
                  <w:webHidden/>
                </w:rPr>
              </w:r>
              <w:r>
                <w:rPr>
                  <w:noProof/>
                  <w:webHidden/>
                </w:rPr>
                <w:fldChar w:fldCharType="separate"/>
              </w:r>
              <w:r>
                <w:rPr>
                  <w:noProof/>
                  <w:webHidden/>
                </w:rPr>
                <w:t>20</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7" w:history="1">
              <w:r w:rsidRPr="00D85B45">
                <w:rPr>
                  <w:rStyle w:val="Hyperlink"/>
                  <w:noProof/>
                </w:rPr>
                <w:t>Proportion of the prior activity total extramural EFTS in the No ICT and e-learning delivery modes</w:t>
              </w:r>
              <w:r>
                <w:rPr>
                  <w:noProof/>
                  <w:webHidden/>
                </w:rPr>
                <w:tab/>
              </w:r>
              <w:r>
                <w:rPr>
                  <w:noProof/>
                  <w:webHidden/>
                </w:rPr>
                <w:fldChar w:fldCharType="begin"/>
              </w:r>
              <w:r>
                <w:rPr>
                  <w:noProof/>
                  <w:webHidden/>
                </w:rPr>
                <w:instrText xml:space="preserve"> PAGEREF _Toc379546007 \h </w:instrText>
              </w:r>
              <w:r>
                <w:rPr>
                  <w:noProof/>
                  <w:webHidden/>
                </w:rPr>
              </w:r>
              <w:r>
                <w:rPr>
                  <w:noProof/>
                  <w:webHidden/>
                </w:rPr>
                <w:fldChar w:fldCharType="separate"/>
              </w:r>
              <w:r>
                <w:rPr>
                  <w:noProof/>
                  <w:webHidden/>
                </w:rPr>
                <w:t>21</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8" w:history="1">
              <w:r w:rsidRPr="00D85B45">
                <w:rPr>
                  <w:rStyle w:val="Hyperlink"/>
                  <w:noProof/>
                </w:rPr>
                <w:t xml:space="preserve">Prior activity extramural and intramural course completion rates in the No ICT and </w:t>
              </w:r>
              <w:r>
                <w:rPr>
                  <w:rStyle w:val="Hyperlink"/>
                  <w:noProof/>
                </w:rPr>
                <w:t xml:space="preserve">      </w:t>
              </w:r>
              <w:r w:rsidRPr="00D85B45">
                <w:rPr>
                  <w:rStyle w:val="Hyperlink"/>
                  <w:noProof/>
                </w:rPr>
                <w:t>e-learning delivery modes</w:t>
              </w:r>
              <w:r>
                <w:rPr>
                  <w:noProof/>
                  <w:webHidden/>
                </w:rPr>
                <w:tab/>
              </w:r>
              <w:r>
                <w:rPr>
                  <w:noProof/>
                  <w:webHidden/>
                </w:rPr>
                <w:fldChar w:fldCharType="begin"/>
              </w:r>
              <w:r>
                <w:rPr>
                  <w:noProof/>
                  <w:webHidden/>
                </w:rPr>
                <w:instrText xml:space="preserve"> PAGEREF _Toc379546008 \h </w:instrText>
              </w:r>
              <w:r>
                <w:rPr>
                  <w:noProof/>
                  <w:webHidden/>
                </w:rPr>
              </w:r>
              <w:r>
                <w:rPr>
                  <w:noProof/>
                  <w:webHidden/>
                </w:rPr>
                <w:fldChar w:fldCharType="separate"/>
              </w:r>
              <w:r>
                <w:rPr>
                  <w:noProof/>
                  <w:webHidden/>
                </w:rPr>
                <w:t>21</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09" w:history="1">
              <w:r w:rsidRPr="00D85B45">
                <w:rPr>
                  <w:rStyle w:val="Hyperlink"/>
                  <w:noProof/>
                </w:rPr>
                <w:t>Proportion of full-time and part-time EFTS in extramural and intramural courses</w:t>
              </w:r>
              <w:r>
                <w:rPr>
                  <w:noProof/>
                  <w:webHidden/>
                </w:rPr>
                <w:tab/>
              </w:r>
              <w:r>
                <w:rPr>
                  <w:noProof/>
                  <w:webHidden/>
                </w:rPr>
                <w:fldChar w:fldCharType="begin"/>
              </w:r>
              <w:r>
                <w:rPr>
                  <w:noProof/>
                  <w:webHidden/>
                </w:rPr>
                <w:instrText xml:space="preserve"> PAGEREF _Toc379546009 \h </w:instrText>
              </w:r>
              <w:r>
                <w:rPr>
                  <w:noProof/>
                  <w:webHidden/>
                </w:rPr>
              </w:r>
              <w:r>
                <w:rPr>
                  <w:noProof/>
                  <w:webHidden/>
                </w:rPr>
                <w:fldChar w:fldCharType="separate"/>
              </w:r>
              <w:r>
                <w:rPr>
                  <w:noProof/>
                  <w:webHidden/>
                </w:rPr>
                <w:t>23</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0" w:history="1">
              <w:r w:rsidRPr="00D85B45">
                <w:rPr>
                  <w:rStyle w:val="Hyperlink"/>
                  <w:noProof/>
                </w:rPr>
                <w:t xml:space="preserve">Proportion of the total full-time and part-time extramural EFTS in the No ICT and </w:t>
              </w:r>
              <w:r>
                <w:rPr>
                  <w:rStyle w:val="Hyperlink"/>
                  <w:noProof/>
                </w:rPr>
                <w:t xml:space="preserve">        </w:t>
              </w:r>
              <w:r w:rsidRPr="00D85B45">
                <w:rPr>
                  <w:rStyle w:val="Hyperlink"/>
                  <w:noProof/>
                </w:rPr>
                <w:t>e-learning delivery modes</w:t>
              </w:r>
              <w:r>
                <w:rPr>
                  <w:noProof/>
                  <w:webHidden/>
                </w:rPr>
                <w:tab/>
              </w:r>
              <w:r>
                <w:rPr>
                  <w:noProof/>
                  <w:webHidden/>
                </w:rPr>
                <w:fldChar w:fldCharType="begin"/>
              </w:r>
              <w:r>
                <w:rPr>
                  <w:noProof/>
                  <w:webHidden/>
                </w:rPr>
                <w:instrText xml:space="preserve"> PAGEREF _Toc379546010 \h </w:instrText>
              </w:r>
              <w:r>
                <w:rPr>
                  <w:noProof/>
                  <w:webHidden/>
                </w:rPr>
              </w:r>
              <w:r>
                <w:rPr>
                  <w:noProof/>
                  <w:webHidden/>
                </w:rPr>
                <w:fldChar w:fldCharType="separate"/>
              </w:r>
              <w:r>
                <w:rPr>
                  <w:noProof/>
                  <w:webHidden/>
                </w:rPr>
                <w:t>24</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1" w:history="1">
              <w:r w:rsidRPr="00D85B45">
                <w:rPr>
                  <w:rStyle w:val="Hyperlink"/>
                  <w:noProof/>
                </w:rPr>
                <w:t>Full-time and part-time students’ extramural and intramural course completion rates in the No ICT and e-learning delivery modes</w:t>
              </w:r>
              <w:r>
                <w:rPr>
                  <w:noProof/>
                  <w:webHidden/>
                </w:rPr>
                <w:tab/>
              </w:r>
              <w:r>
                <w:rPr>
                  <w:noProof/>
                  <w:webHidden/>
                </w:rPr>
                <w:fldChar w:fldCharType="begin"/>
              </w:r>
              <w:r>
                <w:rPr>
                  <w:noProof/>
                  <w:webHidden/>
                </w:rPr>
                <w:instrText xml:space="preserve"> PAGEREF _Toc379546011 \h </w:instrText>
              </w:r>
              <w:r>
                <w:rPr>
                  <w:noProof/>
                  <w:webHidden/>
                </w:rPr>
              </w:r>
              <w:r>
                <w:rPr>
                  <w:noProof/>
                  <w:webHidden/>
                </w:rPr>
                <w:fldChar w:fldCharType="separate"/>
              </w:r>
              <w:r>
                <w:rPr>
                  <w:noProof/>
                  <w:webHidden/>
                </w:rPr>
                <w:t>24</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2" w:history="1">
              <w:r w:rsidRPr="00D85B45">
                <w:rPr>
                  <w:rStyle w:val="Hyperlink"/>
                  <w:noProof/>
                </w:rPr>
                <w:t>Proportion of sub-sector EFTS in extramural</w:t>
              </w:r>
              <w:r>
                <w:rPr>
                  <w:noProof/>
                  <w:webHidden/>
                </w:rPr>
                <w:tab/>
              </w:r>
              <w:r>
                <w:rPr>
                  <w:noProof/>
                  <w:webHidden/>
                </w:rPr>
                <w:fldChar w:fldCharType="begin"/>
              </w:r>
              <w:r>
                <w:rPr>
                  <w:noProof/>
                  <w:webHidden/>
                </w:rPr>
                <w:instrText xml:space="preserve"> PAGEREF _Toc379546012 \h </w:instrText>
              </w:r>
              <w:r>
                <w:rPr>
                  <w:noProof/>
                  <w:webHidden/>
                </w:rPr>
              </w:r>
              <w:r>
                <w:rPr>
                  <w:noProof/>
                  <w:webHidden/>
                </w:rPr>
                <w:fldChar w:fldCharType="separate"/>
              </w:r>
              <w:r>
                <w:rPr>
                  <w:noProof/>
                  <w:webHidden/>
                </w:rPr>
                <w:t>25</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3" w:history="1">
              <w:r w:rsidRPr="00D85B45">
                <w:rPr>
                  <w:rStyle w:val="Hyperlink"/>
                  <w:noProof/>
                </w:rPr>
                <w:t>Proportion of sub-sector extramural EFTS in the No ICT and e-learning delivery modes</w:t>
              </w:r>
              <w:r>
                <w:rPr>
                  <w:noProof/>
                  <w:webHidden/>
                </w:rPr>
                <w:tab/>
              </w:r>
              <w:r>
                <w:rPr>
                  <w:noProof/>
                  <w:webHidden/>
                </w:rPr>
                <w:fldChar w:fldCharType="begin"/>
              </w:r>
              <w:r>
                <w:rPr>
                  <w:noProof/>
                  <w:webHidden/>
                </w:rPr>
                <w:instrText xml:space="preserve"> PAGEREF _Toc379546013 \h </w:instrText>
              </w:r>
              <w:r>
                <w:rPr>
                  <w:noProof/>
                  <w:webHidden/>
                </w:rPr>
              </w:r>
              <w:r>
                <w:rPr>
                  <w:noProof/>
                  <w:webHidden/>
                </w:rPr>
                <w:fldChar w:fldCharType="separate"/>
              </w:r>
              <w:r>
                <w:rPr>
                  <w:noProof/>
                  <w:webHidden/>
                </w:rPr>
                <w:t>26</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4" w:history="1">
              <w:r w:rsidRPr="00D85B45">
                <w:rPr>
                  <w:rStyle w:val="Hyperlink"/>
                  <w:noProof/>
                </w:rPr>
                <w:t xml:space="preserve">Sub-sector extramural and intramural course completion rates in the No ICT and </w:t>
              </w:r>
              <w:r>
                <w:rPr>
                  <w:rStyle w:val="Hyperlink"/>
                  <w:noProof/>
                </w:rPr>
                <w:t xml:space="preserve">        </w:t>
              </w:r>
              <w:r w:rsidRPr="00D85B45">
                <w:rPr>
                  <w:rStyle w:val="Hyperlink"/>
                  <w:noProof/>
                </w:rPr>
                <w:t>e-learning delivery modes</w:t>
              </w:r>
              <w:r>
                <w:rPr>
                  <w:noProof/>
                  <w:webHidden/>
                </w:rPr>
                <w:tab/>
              </w:r>
              <w:r>
                <w:rPr>
                  <w:noProof/>
                  <w:webHidden/>
                </w:rPr>
                <w:fldChar w:fldCharType="begin"/>
              </w:r>
              <w:r>
                <w:rPr>
                  <w:noProof/>
                  <w:webHidden/>
                </w:rPr>
                <w:instrText xml:space="preserve"> PAGEREF _Toc379546014 \h </w:instrText>
              </w:r>
              <w:r>
                <w:rPr>
                  <w:noProof/>
                  <w:webHidden/>
                </w:rPr>
              </w:r>
              <w:r>
                <w:rPr>
                  <w:noProof/>
                  <w:webHidden/>
                </w:rPr>
                <w:fldChar w:fldCharType="separate"/>
              </w:r>
              <w:r>
                <w:rPr>
                  <w:noProof/>
                  <w:webHidden/>
                </w:rPr>
                <w:t>26</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5" w:history="1">
              <w:r w:rsidRPr="00D85B45">
                <w:rPr>
                  <w:rStyle w:val="Hyperlink"/>
                  <w:noProof/>
                </w:rPr>
                <w:t>Proportion of Massey University, The Open Polytechnic of New Zealand and Open University EFTS in extramural and intramural courses</w:t>
              </w:r>
              <w:r>
                <w:rPr>
                  <w:noProof/>
                  <w:webHidden/>
                </w:rPr>
                <w:tab/>
              </w:r>
              <w:r>
                <w:rPr>
                  <w:noProof/>
                  <w:webHidden/>
                </w:rPr>
                <w:fldChar w:fldCharType="begin"/>
              </w:r>
              <w:r>
                <w:rPr>
                  <w:noProof/>
                  <w:webHidden/>
                </w:rPr>
                <w:instrText xml:space="preserve"> PAGEREF _Toc379546015 \h </w:instrText>
              </w:r>
              <w:r>
                <w:rPr>
                  <w:noProof/>
                  <w:webHidden/>
                </w:rPr>
              </w:r>
              <w:r>
                <w:rPr>
                  <w:noProof/>
                  <w:webHidden/>
                </w:rPr>
                <w:fldChar w:fldCharType="separate"/>
              </w:r>
              <w:r>
                <w:rPr>
                  <w:noProof/>
                  <w:webHidden/>
                </w:rPr>
                <w:t>27</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6" w:history="1">
              <w:r w:rsidRPr="00D85B45">
                <w:rPr>
                  <w:rStyle w:val="Hyperlink"/>
                  <w:noProof/>
                </w:rPr>
                <w:t>Proportion of Massey University and The Open Polytechnic of New Zealand extramural and intramural EFTS in the e-learning delivery mode</w:t>
              </w:r>
              <w:r>
                <w:rPr>
                  <w:noProof/>
                  <w:webHidden/>
                </w:rPr>
                <w:tab/>
              </w:r>
              <w:r>
                <w:rPr>
                  <w:noProof/>
                  <w:webHidden/>
                </w:rPr>
                <w:fldChar w:fldCharType="begin"/>
              </w:r>
              <w:r>
                <w:rPr>
                  <w:noProof/>
                  <w:webHidden/>
                </w:rPr>
                <w:instrText xml:space="preserve"> PAGEREF _Toc379546016 \h </w:instrText>
              </w:r>
              <w:r>
                <w:rPr>
                  <w:noProof/>
                  <w:webHidden/>
                </w:rPr>
              </w:r>
              <w:r>
                <w:rPr>
                  <w:noProof/>
                  <w:webHidden/>
                </w:rPr>
                <w:fldChar w:fldCharType="separate"/>
              </w:r>
              <w:r>
                <w:rPr>
                  <w:noProof/>
                  <w:webHidden/>
                </w:rPr>
                <w:t>28</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7" w:history="1">
              <w:r w:rsidRPr="00D85B45">
                <w:rPr>
                  <w:rStyle w:val="Hyperlink"/>
                  <w:noProof/>
                </w:rPr>
                <w:t>Open University course completion rates</w:t>
              </w:r>
              <w:r>
                <w:rPr>
                  <w:noProof/>
                  <w:webHidden/>
                </w:rPr>
                <w:tab/>
              </w:r>
              <w:r>
                <w:rPr>
                  <w:noProof/>
                  <w:webHidden/>
                </w:rPr>
                <w:fldChar w:fldCharType="begin"/>
              </w:r>
              <w:r>
                <w:rPr>
                  <w:noProof/>
                  <w:webHidden/>
                </w:rPr>
                <w:instrText xml:space="preserve"> PAGEREF _Toc379546017 \h </w:instrText>
              </w:r>
              <w:r>
                <w:rPr>
                  <w:noProof/>
                  <w:webHidden/>
                </w:rPr>
              </w:r>
              <w:r>
                <w:rPr>
                  <w:noProof/>
                  <w:webHidden/>
                </w:rPr>
                <w:fldChar w:fldCharType="separate"/>
              </w:r>
              <w:r>
                <w:rPr>
                  <w:noProof/>
                  <w:webHidden/>
                </w:rPr>
                <w:t>29</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8" w:history="1">
              <w:r w:rsidRPr="00D85B45">
                <w:rPr>
                  <w:rStyle w:val="Hyperlink"/>
                  <w:noProof/>
                </w:rPr>
                <w:t>Part-time bachelors degree extramural course completion rates for Open University and Massey University</w:t>
              </w:r>
              <w:r>
                <w:rPr>
                  <w:noProof/>
                  <w:webHidden/>
                </w:rPr>
                <w:tab/>
              </w:r>
              <w:r>
                <w:rPr>
                  <w:noProof/>
                  <w:webHidden/>
                </w:rPr>
                <w:fldChar w:fldCharType="begin"/>
              </w:r>
              <w:r>
                <w:rPr>
                  <w:noProof/>
                  <w:webHidden/>
                </w:rPr>
                <w:instrText xml:space="preserve"> PAGEREF _Toc379546018 \h </w:instrText>
              </w:r>
              <w:r>
                <w:rPr>
                  <w:noProof/>
                  <w:webHidden/>
                </w:rPr>
              </w:r>
              <w:r>
                <w:rPr>
                  <w:noProof/>
                  <w:webHidden/>
                </w:rPr>
                <w:fldChar w:fldCharType="separate"/>
              </w:r>
              <w:r>
                <w:rPr>
                  <w:noProof/>
                  <w:webHidden/>
                </w:rPr>
                <w:t>30</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19" w:history="1">
              <w:r w:rsidRPr="00D85B45">
                <w:rPr>
                  <w:rStyle w:val="Hyperlink"/>
                  <w:noProof/>
                </w:rPr>
                <w:t>The Open Polytechnic of New Zealand course completion rates</w:t>
              </w:r>
              <w:r>
                <w:rPr>
                  <w:noProof/>
                  <w:webHidden/>
                </w:rPr>
                <w:tab/>
              </w:r>
              <w:r>
                <w:rPr>
                  <w:noProof/>
                  <w:webHidden/>
                </w:rPr>
                <w:fldChar w:fldCharType="begin"/>
              </w:r>
              <w:r>
                <w:rPr>
                  <w:noProof/>
                  <w:webHidden/>
                </w:rPr>
                <w:instrText xml:space="preserve"> PAGEREF _Toc379546019 \h </w:instrText>
              </w:r>
              <w:r>
                <w:rPr>
                  <w:noProof/>
                  <w:webHidden/>
                </w:rPr>
              </w:r>
              <w:r>
                <w:rPr>
                  <w:noProof/>
                  <w:webHidden/>
                </w:rPr>
                <w:fldChar w:fldCharType="separate"/>
              </w:r>
              <w:r>
                <w:rPr>
                  <w:noProof/>
                  <w:webHidden/>
                </w:rPr>
                <w:t>31</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20" w:history="1">
              <w:r w:rsidRPr="00D85B45">
                <w:rPr>
                  <w:rStyle w:val="Hyperlink"/>
                  <w:noProof/>
                </w:rPr>
                <w:t>Proportion of course-level EFTS by extramural</w:t>
              </w:r>
              <w:r>
                <w:rPr>
                  <w:noProof/>
                  <w:webHidden/>
                </w:rPr>
                <w:tab/>
              </w:r>
              <w:r>
                <w:rPr>
                  <w:noProof/>
                  <w:webHidden/>
                </w:rPr>
                <w:fldChar w:fldCharType="begin"/>
              </w:r>
              <w:r>
                <w:rPr>
                  <w:noProof/>
                  <w:webHidden/>
                </w:rPr>
                <w:instrText xml:space="preserve"> PAGEREF _Toc379546020 \h </w:instrText>
              </w:r>
              <w:r>
                <w:rPr>
                  <w:noProof/>
                  <w:webHidden/>
                </w:rPr>
              </w:r>
              <w:r>
                <w:rPr>
                  <w:noProof/>
                  <w:webHidden/>
                </w:rPr>
                <w:fldChar w:fldCharType="separate"/>
              </w:r>
              <w:r>
                <w:rPr>
                  <w:noProof/>
                  <w:webHidden/>
                </w:rPr>
                <w:t>32</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21" w:history="1">
              <w:r w:rsidRPr="00D85B45">
                <w:rPr>
                  <w:rStyle w:val="Hyperlink"/>
                  <w:noProof/>
                </w:rPr>
                <w:t>Proportion of course-level extramural EFTS in the No ICT and e-learning delivery modes</w:t>
              </w:r>
              <w:r>
                <w:rPr>
                  <w:noProof/>
                  <w:webHidden/>
                </w:rPr>
                <w:tab/>
              </w:r>
              <w:r>
                <w:rPr>
                  <w:noProof/>
                  <w:webHidden/>
                </w:rPr>
                <w:fldChar w:fldCharType="begin"/>
              </w:r>
              <w:r>
                <w:rPr>
                  <w:noProof/>
                  <w:webHidden/>
                </w:rPr>
                <w:instrText xml:space="preserve"> PAGEREF _Toc379546021 \h </w:instrText>
              </w:r>
              <w:r>
                <w:rPr>
                  <w:noProof/>
                  <w:webHidden/>
                </w:rPr>
              </w:r>
              <w:r>
                <w:rPr>
                  <w:noProof/>
                  <w:webHidden/>
                </w:rPr>
                <w:fldChar w:fldCharType="separate"/>
              </w:r>
              <w:r>
                <w:rPr>
                  <w:noProof/>
                  <w:webHidden/>
                </w:rPr>
                <w:t>32</w:t>
              </w:r>
              <w:r>
                <w:rPr>
                  <w:noProof/>
                  <w:webHidden/>
                </w:rPr>
                <w:fldChar w:fldCharType="end"/>
              </w:r>
            </w:hyperlink>
          </w:p>
          <w:p w:rsidR="000C5942" w:rsidRDefault="00804971" w:rsidP="00BD44AE">
            <w:pPr>
              <w:spacing w:after="240"/>
            </w:pPr>
            <w:r>
              <w:fldChar w:fldCharType="end"/>
            </w:r>
          </w:p>
        </w:tc>
      </w:tr>
    </w:tbl>
    <w:p w:rsidR="000C5942" w:rsidRDefault="000C5942" w:rsidP="009A7099">
      <w:pPr>
        <w:pStyle w:val="Heading"/>
      </w:pPr>
      <w:r>
        <w:lastRenderedPageBreak/>
        <w:t xml:space="preserve">Tables </w:t>
      </w:r>
    </w:p>
    <w:tbl>
      <w:tblPr>
        <w:tblW w:w="8732" w:type="dxa"/>
        <w:tblLayout w:type="fixed"/>
        <w:tblLook w:val="01E0"/>
      </w:tblPr>
      <w:tblGrid>
        <w:gridCol w:w="680"/>
        <w:gridCol w:w="8052"/>
      </w:tblGrid>
      <w:tr w:rsidR="000C5942" w:rsidTr="001B633B">
        <w:tc>
          <w:tcPr>
            <w:tcW w:w="680" w:type="dxa"/>
          </w:tcPr>
          <w:p w:rsidR="000C5942" w:rsidRDefault="000C5942" w:rsidP="00955E00">
            <w:pPr>
              <w:pStyle w:val="Figure-Table"/>
            </w:pPr>
            <w:r>
              <w:t>1</w:t>
            </w:r>
          </w:p>
          <w:p w:rsidR="000C5942" w:rsidRDefault="000C5942" w:rsidP="00955E00">
            <w:pPr>
              <w:pStyle w:val="Figure-Table"/>
            </w:pPr>
            <w:r>
              <w:t>2</w:t>
            </w:r>
          </w:p>
          <w:p w:rsidR="000C5942" w:rsidRDefault="000C5942" w:rsidP="00955E00">
            <w:pPr>
              <w:pStyle w:val="Figure-Table"/>
            </w:pPr>
            <w:r>
              <w:t xml:space="preserve">        3</w:t>
            </w:r>
          </w:p>
          <w:p w:rsidR="000C5942" w:rsidRDefault="000C5942" w:rsidP="00D53AA9">
            <w:pPr>
              <w:pStyle w:val="Figure-Table"/>
            </w:pPr>
            <w:r>
              <w:t xml:space="preserve">         </w:t>
            </w:r>
          </w:p>
          <w:p w:rsidR="000C5942" w:rsidRDefault="000C5942" w:rsidP="00955E00">
            <w:pPr>
              <w:pStyle w:val="Figure-Table"/>
            </w:pPr>
          </w:p>
          <w:p w:rsidR="000C5942" w:rsidRDefault="000C5942" w:rsidP="00955E00">
            <w:pPr>
              <w:pStyle w:val="Figure-Table"/>
            </w:pPr>
          </w:p>
        </w:tc>
        <w:tc>
          <w:tcPr>
            <w:tcW w:w="8052" w:type="dxa"/>
          </w:tcPr>
          <w:p w:rsidR="005B36E2" w:rsidRDefault="00804971">
            <w:pPr>
              <w:pStyle w:val="TableofFigures"/>
              <w:rPr>
                <w:rFonts w:asciiTheme="minorHAnsi" w:eastAsiaTheme="minorEastAsia" w:hAnsiTheme="minorHAnsi" w:cstheme="minorBidi"/>
                <w:noProof/>
                <w:sz w:val="22"/>
                <w:szCs w:val="22"/>
                <w:lang w:eastAsia="en-NZ"/>
              </w:rPr>
            </w:pPr>
            <w:r w:rsidRPr="00804971">
              <w:fldChar w:fldCharType="begin"/>
            </w:r>
            <w:r w:rsidR="000C5942">
              <w:instrText xml:space="preserve"> TOC \h \z \t "Table label" \c </w:instrText>
            </w:r>
            <w:r w:rsidRPr="00804971">
              <w:fldChar w:fldCharType="separate"/>
            </w:r>
            <w:hyperlink w:anchor="_Toc379546086" w:history="1">
              <w:r w:rsidR="005B36E2" w:rsidRPr="00082C07">
                <w:rPr>
                  <w:rStyle w:val="Hyperlink"/>
                  <w:noProof/>
                </w:rPr>
                <w:t>Proportion of total Field of Study provision by extramural and intramural</w:t>
              </w:r>
              <w:r w:rsidR="005B36E2">
                <w:rPr>
                  <w:noProof/>
                  <w:webHidden/>
                </w:rPr>
                <w:tab/>
              </w:r>
              <w:r w:rsidR="005B36E2">
                <w:rPr>
                  <w:noProof/>
                  <w:webHidden/>
                </w:rPr>
                <w:fldChar w:fldCharType="begin"/>
              </w:r>
              <w:r w:rsidR="005B36E2">
                <w:rPr>
                  <w:noProof/>
                  <w:webHidden/>
                </w:rPr>
                <w:instrText xml:space="preserve"> PAGEREF _Toc379546086 \h </w:instrText>
              </w:r>
              <w:r w:rsidR="005B36E2">
                <w:rPr>
                  <w:noProof/>
                  <w:webHidden/>
                </w:rPr>
              </w:r>
              <w:r w:rsidR="005B36E2">
                <w:rPr>
                  <w:noProof/>
                  <w:webHidden/>
                </w:rPr>
                <w:fldChar w:fldCharType="separate"/>
              </w:r>
              <w:r w:rsidR="005B36E2">
                <w:rPr>
                  <w:noProof/>
                  <w:webHidden/>
                </w:rPr>
                <w:t>33</w:t>
              </w:r>
              <w:r w:rsidR="005B36E2">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87" w:history="1">
              <w:r w:rsidRPr="00082C07">
                <w:rPr>
                  <w:rStyle w:val="Hyperlink"/>
                  <w:noProof/>
                </w:rPr>
                <w:t xml:space="preserve">Proportions of Field of Study extramural and intramural provision in the No ICT and </w:t>
              </w:r>
              <w:r>
                <w:rPr>
                  <w:rStyle w:val="Hyperlink"/>
                  <w:noProof/>
                </w:rPr>
                <w:t xml:space="preserve">    </w:t>
              </w:r>
              <w:r w:rsidRPr="00082C07">
                <w:rPr>
                  <w:rStyle w:val="Hyperlink"/>
                  <w:noProof/>
                </w:rPr>
                <w:t>e-learning delivery modes</w:t>
              </w:r>
              <w:r>
                <w:rPr>
                  <w:noProof/>
                  <w:webHidden/>
                </w:rPr>
                <w:tab/>
              </w:r>
              <w:r>
                <w:rPr>
                  <w:noProof/>
                  <w:webHidden/>
                </w:rPr>
                <w:fldChar w:fldCharType="begin"/>
              </w:r>
              <w:r>
                <w:rPr>
                  <w:noProof/>
                  <w:webHidden/>
                </w:rPr>
                <w:instrText xml:space="preserve"> PAGEREF _Toc379546087 \h </w:instrText>
              </w:r>
              <w:r>
                <w:rPr>
                  <w:noProof/>
                  <w:webHidden/>
                </w:rPr>
              </w:r>
              <w:r>
                <w:rPr>
                  <w:noProof/>
                  <w:webHidden/>
                </w:rPr>
                <w:fldChar w:fldCharType="separate"/>
              </w:r>
              <w:r>
                <w:rPr>
                  <w:noProof/>
                  <w:webHidden/>
                </w:rPr>
                <w:t>34</w:t>
              </w:r>
              <w:r>
                <w:rPr>
                  <w:noProof/>
                  <w:webHidden/>
                </w:rPr>
                <w:fldChar w:fldCharType="end"/>
              </w:r>
            </w:hyperlink>
          </w:p>
          <w:p w:rsidR="005B36E2" w:rsidRDefault="005B36E2">
            <w:pPr>
              <w:pStyle w:val="TableofFigures"/>
              <w:rPr>
                <w:rFonts w:asciiTheme="minorHAnsi" w:eastAsiaTheme="minorEastAsia" w:hAnsiTheme="minorHAnsi" w:cstheme="minorBidi"/>
                <w:noProof/>
                <w:sz w:val="22"/>
                <w:szCs w:val="22"/>
                <w:lang w:eastAsia="en-NZ"/>
              </w:rPr>
            </w:pPr>
            <w:hyperlink w:anchor="_Toc379546088" w:history="1">
              <w:r w:rsidRPr="00082C07">
                <w:rPr>
                  <w:rStyle w:val="Hyperlink"/>
                  <w:noProof/>
                </w:rPr>
                <w:t xml:space="preserve">Field of Study intramural and extramural course completion rates in the No ICT and </w:t>
              </w:r>
              <w:r>
                <w:rPr>
                  <w:rStyle w:val="Hyperlink"/>
                  <w:noProof/>
                </w:rPr>
                <w:t xml:space="preserve">    </w:t>
              </w:r>
              <w:r w:rsidRPr="00082C07">
                <w:rPr>
                  <w:rStyle w:val="Hyperlink"/>
                  <w:noProof/>
                </w:rPr>
                <w:t>e-learning delivery modes</w:t>
              </w:r>
              <w:r>
                <w:rPr>
                  <w:noProof/>
                  <w:webHidden/>
                </w:rPr>
                <w:tab/>
              </w:r>
              <w:r>
                <w:rPr>
                  <w:noProof/>
                  <w:webHidden/>
                </w:rPr>
                <w:fldChar w:fldCharType="begin"/>
              </w:r>
              <w:r>
                <w:rPr>
                  <w:noProof/>
                  <w:webHidden/>
                </w:rPr>
                <w:instrText xml:space="preserve"> PAGEREF _Toc379546088 \h </w:instrText>
              </w:r>
              <w:r>
                <w:rPr>
                  <w:noProof/>
                  <w:webHidden/>
                </w:rPr>
              </w:r>
              <w:r>
                <w:rPr>
                  <w:noProof/>
                  <w:webHidden/>
                </w:rPr>
                <w:fldChar w:fldCharType="separate"/>
              </w:r>
              <w:r>
                <w:rPr>
                  <w:noProof/>
                  <w:webHidden/>
                </w:rPr>
                <w:t>35</w:t>
              </w:r>
              <w:r>
                <w:rPr>
                  <w:noProof/>
                  <w:webHidden/>
                </w:rPr>
                <w:fldChar w:fldCharType="end"/>
              </w:r>
            </w:hyperlink>
          </w:p>
          <w:p w:rsidR="000C5942" w:rsidRDefault="00804971" w:rsidP="00137F9B">
            <w:r>
              <w:fldChar w:fldCharType="end"/>
            </w:r>
          </w:p>
          <w:p w:rsidR="000C5942" w:rsidRDefault="000C5942" w:rsidP="00955E00"/>
          <w:p w:rsidR="000C5942" w:rsidRDefault="000C5942" w:rsidP="00955E00"/>
          <w:p w:rsidR="000C5942" w:rsidRDefault="000C5942" w:rsidP="00955E00"/>
          <w:p w:rsidR="000C5942" w:rsidRDefault="000C5942" w:rsidP="00955E00"/>
          <w:p w:rsidR="000C5942" w:rsidRDefault="000C5942" w:rsidP="00955E00"/>
          <w:p w:rsidR="000C5942" w:rsidRDefault="000C5942" w:rsidP="00955E00"/>
          <w:p w:rsidR="00751743" w:rsidRDefault="00751743" w:rsidP="00955E00"/>
          <w:p w:rsidR="0000550C" w:rsidRDefault="0000550C" w:rsidP="00955E00"/>
          <w:p w:rsidR="0000550C" w:rsidRDefault="0000550C" w:rsidP="00955E00"/>
          <w:p w:rsidR="0000550C" w:rsidRDefault="0000550C" w:rsidP="00955E00"/>
          <w:p w:rsidR="0000550C" w:rsidRDefault="0000550C" w:rsidP="00955E00"/>
          <w:p w:rsidR="0000550C" w:rsidRDefault="0000550C" w:rsidP="00955E00"/>
          <w:p w:rsidR="0000550C" w:rsidRDefault="0000550C" w:rsidP="00955E00"/>
          <w:p w:rsidR="000C5942" w:rsidRDefault="000C5942" w:rsidP="00955E00"/>
        </w:tc>
      </w:tr>
    </w:tbl>
    <w:p w:rsidR="000C5942" w:rsidRPr="00E21B86" w:rsidRDefault="000C5942" w:rsidP="00FF0970">
      <w:pPr>
        <w:pStyle w:val="Heading1"/>
        <w:numPr>
          <w:ilvl w:val="0"/>
          <w:numId w:val="0"/>
        </w:numPr>
        <w:ind w:left="567" w:hanging="567"/>
      </w:pPr>
      <w:bookmarkStart w:id="0" w:name="_Toc379545904"/>
      <w:r>
        <w:lastRenderedPageBreak/>
        <w:t>Summary</w:t>
      </w:r>
      <w:bookmarkEnd w:id="0"/>
      <w:r>
        <w:t xml:space="preserve"> </w:t>
      </w:r>
    </w:p>
    <w:p w:rsidR="007C150E" w:rsidRDefault="007C150E" w:rsidP="006B2DB1">
      <w:pPr>
        <w:pStyle w:val="BodyText"/>
      </w:pPr>
      <w:r>
        <w:t xml:space="preserve">This report looks at extramural study (or distance education) in tertiary education in New Zealand. It covers the years </w:t>
      </w:r>
      <w:r w:rsidRPr="00D12A2B">
        <w:t>2004</w:t>
      </w:r>
      <w:r w:rsidR="00D12A2B">
        <w:t>-</w:t>
      </w:r>
      <w:r w:rsidRPr="00D12A2B">
        <w:t>2011</w:t>
      </w:r>
      <w:r>
        <w:t>, looking at patterns of participation and achievement in courses taught extramurally.</w:t>
      </w:r>
    </w:p>
    <w:p w:rsidR="000C5942" w:rsidRDefault="0000550C" w:rsidP="006B2DB1">
      <w:pPr>
        <w:pStyle w:val="BodyText"/>
      </w:pPr>
      <w:r>
        <w:t>The report’s main findings are:</w:t>
      </w:r>
    </w:p>
    <w:tbl>
      <w:tblPr>
        <w:tblW w:w="522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70" w:type="dxa"/>
          <w:bottom w:w="170" w:type="dxa"/>
          <w:right w:w="170" w:type="dxa"/>
        </w:tblCellMar>
        <w:tblLook w:val="00A0"/>
      </w:tblPr>
      <w:tblGrid>
        <w:gridCol w:w="833"/>
        <w:gridCol w:w="8407"/>
      </w:tblGrid>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00550C" w:rsidRDefault="0056481B" w:rsidP="00920811">
            <w:pPr>
              <w:pStyle w:val="Keypointtext"/>
            </w:pPr>
            <w:r>
              <w:t>Relatively few</w:t>
            </w:r>
            <w:r w:rsidR="00FA4FB5">
              <w:t xml:space="preserve"> </w:t>
            </w:r>
            <w:r w:rsidR="00E13607">
              <w:t>students</w:t>
            </w:r>
            <w:r w:rsidR="0088663B">
              <w:t xml:space="preserve"> </w:t>
            </w:r>
            <w:r w:rsidR="00E13607">
              <w:t>participate</w:t>
            </w:r>
            <w:r>
              <w:t>d</w:t>
            </w:r>
            <w:r w:rsidR="00E13607">
              <w:t xml:space="preserve"> in extramural courses</w:t>
            </w:r>
            <w:r w:rsidR="0000550C">
              <w:t xml:space="preserve">. </w:t>
            </w:r>
            <w:r w:rsidR="0059799E">
              <w:t>T</w:t>
            </w:r>
            <w:r w:rsidR="00D44CC2">
              <w:t xml:space="preserve">he </w:t>
            </w:r>
            <w:r w:rsidR="00D44CC2" w:rsidRPr="00D5543A">
              <w:t>majority</w:t>
            </w:r>
            <w:r w:rsidR="00D44CC2">
              <w:t xml:space="preserve"> of </w:t>
            </w:r>
            <w:r w:rsidR="0000550C">
              <w:t xml:space="preserve">extramural </w:t>
            </w:r>
            <w:r w:rsidR="00D44CC2">
              <w:t>provision</w:t>
            </w:r>
            <w:r w:rsidR="0000550C">
              <w:t xml:space="preserve"> </w:t>
            </w:r>
            <w:r w:rsidR="00004C3D">
              <w:t>was delivered by e-learning</w:t>
            </w:r>
            <w:r w:rsidR="0000550C">
              <w:t xml:space="preserve">. </w:t>
            </w:r>
            <w:r>
              <w:t>Extramural courses had lower completion rates than intramural courses. Among extramural courses, there were</w:t>
            </w:r>
            <w:r w:rsidR="00E13607">
              <w:t xml:space="preserve"> higher </w:t>
            </w:r>
            <w:r w:rsidR="000A643C">
              <w:t>completion rate</w:t>
            </w:r>
            <w:r>
              <w:t>s</w:t>
            </w:r>
            <w:r w:rsidR="00E13607">
              <w:t xml:space="preserve"> in </w:t>
            </w:r>
            <w:r w:rsidR="00DE3A6F">
              <w:t>paper-based</w:t>
            </w:r>
            <w:r w:rsidR="00B628B7">
              <w:t xml:space="preserve"> courses</w:t>
            </w:r>
            <w:r>
              <w:t xml:space="preserve"> than e-learning courses. </w:t>
            </w:r>
            <w:r w:rsidR="004B4937">
              <w:t xml:space="preserve"> </w:t>
            </w:r>
          </w:p>
        </w:tc>
      </w:tr>
      <w:tr w:rsidR="0000550C" w:rsidRPr="00C86B5E"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D47ECA" w:rsidRDefault="00905FA3" w:rsidP="00905FA3">
            <w:pPr>
              <w:pStyle w:val="Keypointtext"/>
            </w:pPr>
            <w:r>
              <w:t xml:space="preserve">Polytechnics had </w:t>
            </w:r>
            <w:r w:rsidR="000C0D4F">
              <w:t>a</w:t>
            </w:r>
            <w:r w:rsidR="0056481B">
              <w:t xml:space="preserve"> larger</w:t>
            </w:r>
            <w:r w:rsidR="00D41E51">
              <w:t xml:space="preserve"> share </w:t>
            </w:r>
            <w:r>
              <w:t>of extramural provision</w:t>
            </w:r>
            <w:r w:rsidR="0056481B">
              <w:t xml:space="preserve"> than other sub</w:t>
            </w:r>
            <w:r w:rsidR="005D044F">
              <w:t>-</w:t>
            </w:r>
            <w:r w:rsidR="0056481B">
              <w:t>sectors</w:t>
            </w:r>
            <w:r w:rsidR="0094057D">
              <w:t>,</w:t>
            </w:r>
            <w:r w:rsidR="00D93C79">
              <w:t xml:space="preserve"> and</w:t>
            </w:r>
            <w:r>
              <w:t xml:space="preserve"> </w:t>
            </w:r>
            <w:r w:rsidR="00D93C79">
              <w:t>p</w:t>
            </w:r>
            <w:r w:rsidR="008B591E">
              <w:t xml:space="preserve">rivate </w:t>
            </w:r>
            <w:r w:rsidR="003B121F">
              <w:t>t</w:t>
            </w:r>
            <w:r w:rsidR="008B591E">
              <w:t xml:space="preserve">raining </w:t>
            </w:r>
            <w:r w:rsidR="003B121F">
              <w:t>e</w:t>
            </w:r>
            <w:r w:rsidR="008B591E">
              <w:t xml:space="preserve">stablishments </w:t>
            </w:r>
            <w:r w:rsidR="00914EC0">
              <w:t xml:space="preserve">had the smallest share of extramural </w:t>
            </w:r>
            <w:r w:rsidR="000A643C">
              <w:t xml:space="preserve">sub-sector </w:t>
            </w:r>
            <w:r w:rsidR="00914EC0">
              <w:t xml:space="preserve">provision. </w:t>
            </w:r>
            <w:r w:rsidR="0056481B">
              <w:t>W</w:t>
            </w:r>
            <w:r w:rsidR="00D47ECA">
              <w:rPr>
                <w:rFonts w:cs="Arial"/>
              </w:rPr>
              <w:t>ā</w:t>
            </w:r>
            <w:r w:rsidR="00D47ECA">
              <w:t xml:space="preserve">nanga had </w:t>
            </w:r>
            <w:r w:rsidR="00914EC0">
              <w:t>the largest</w:t>
            </w:r>
            <w:r w:rsidR="004B6096">
              <w:t xml:space="preserve"> proportion </w:t>
            </w:r>
            <w:r w:rsidR="00D47ECA">
              <w:t>of their provision delivered extramurally</w:t>
            </w:r>
            <w:r w:rsidR="00F70F78">
              <w:t>,</w:t>
            </w:r>
            <w:r w:rsidR="0056481B">
              <w:t xml:space="preserve"> while</w:t>
            </w:r>
            <w:r w:rsidR="008B591E">
              <w:t xml:space="preserve"> u</w:t>
            </w:r>
            <w:r w:rsidR="00D47ECA">
              <w:t xml:space="preserve">niversities had the </w:t>
            </w:r>
            <w:r w:rsidR="00D41E51">
              <w:t>smallest</w:t>
            </w:r>
            <w:r w:rsidR="00D47ECA">
              <w:t>.</w:t>
            </w:r>
            <w:r w:rsidR="0056481B">
              <w:t xml:space="preserve"> </w:t>
            </w:r>
          </w:p>
          <w:p w:rsidR="003B4919" w:rsidRDefault="00C552BE" w:rsidP="00F70C4B">
            <w:pPr>
              <w:pStyle w:val="Keypointtext"/>
            </w:pPr>
            <w:r>
              <w:t>For w</w:t>
            </w:r>
            <w:r w:rsidR="003B4919">
              <w:rPr>
                <w:rFonts w:cs="Arial"/>
              </w:rPr>
              <w:t>ā</w:t>
            </w:r>
            <w:r w:rsidR="003B4919">
              <w:t>nanga</w:t>
            </w:r>
            <w:r w:rsidR="00F70F78">
              <w:t>,</w:t>
            </w:r>
            <w:r w:rsidR="003B4919">
              <w:t xml:space="preserve"> extramural </w:t>
            </w:r>
            <w:r w:rsidR="00DE3A6F">
              <w:t>paper-based</w:t>
            </w:r>
            <w:r w:rsidR="00B628B7">
              <w:t xml:space="preserve"> </w:t>
            </w:r>
            <w:r w:rsidR="003B4919">
              <w:t>courses</w:t>
            </w:r>
            <w:r w:rsidR="00B628B7">
              <w:t xml:space="preserve"> </w:t>
            </w:r>
            <w:r w:rsidR="003B4919">
              <w:t xml:space="preserve">had higher completion rates than intramural </w:t>
            </w:r>
            <w:r w:rsidR="00DE3A6F">
              <w:t>face-to-face</w:t>
            </w:r>
            <w:r w:rsidR="00B628B7">
              <w:t xml:space="preserve"> </w:t>
            </w:r>
            <w:r w:rsidR="003B4919">
              <w:t>courses.</w:t>
            </w:r>
          </w:p>
          <w:p w:rsidR="003B4919" w:rsidRPr="00C86B5E" w:rsidRDefault="00905FA3" w:rsidP="00642848">
            <w:pPr>
              <w:pStyle w:val="Keypointtext"/>
            </w:pPr>
            <w:r>
              <w:t xml:space="preserve">Universities had </w:t>
            </w:r>
            <w:r w:rsidR="00F70C4B">
              <w:t xml:space="preserve">the highest </w:t>
            </w:r>
            <w:r w:rsidR="000A643C">
              <w:t xml:space="preserve">extramural course </w:t>
            </w:r>
            <w:r>
              <w:t>completion rate</w:t>
            </w:r>
            <w:r w:rsidR="0056481B">
              <w:t xml:space="preserve">, while </w:t>
            </w:r>
            <w:r w:rsidR="005D4DEE">
              <w:t>p</w:t>
            </w:r>
            <w:r w:rsidR="00D47ECA">
              <w:t>olytechnics</w:t>
            </w:r>
            <w:r w:rsidR="005D4DEE">
              <w:t xml:space="preserve"> </w:t>
            </w:r>
            <w:r w:rsidR="00D47ECA">
              <w:t xml:space="preserve">had </w:t>
            </w:r>
            <w:r w:rsidR="00F70C4B">
              <w:t>the lowest</w:t>
            </w:r>
            <w:r w:rsidR="00D47ECA">
              <w:t>.</w:t>
            </w:r>
            <w:r w:rsidR="0000550C">
              <w:t xml:space="preserve">  </w:t>
            </w:r>
          </w:p>
        </w:tc>
      </w:tr>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00550C" w:rsidRDefault="0063511F" w:rsidP="00642848">
            <w:pPr>
              <w:pStyle w:val="Keypointtext"/>
            </w:pPr>
            <w:r>
              <w:t xml:space="preserve">Women </w:t>
            </w:r>
            <w:r w:rsidR="00DE62D4">
              <w:t xml:space="preserve">were more likely </w:t>
            </w:r>
            <w:r w:rsidR="00BA5E47">
              <w:t>than men</w:t>
            </w:r>
            <w:r w:rsidR="00E3576F">
              <w:t xml:space="preserve"> to</w:t>
            </w:r>
            <w:r w:rsidR="00BA5E47">
              <w:t xml:space="preserve"> </w:t>
            </w:r>
            <w:r w:rsidR="00BD54E4">
              <w:t>be in extramural</w:t>
            </w:r>
            <w:r w:rsidR="00CD7EF0">
              <w:t xml:space="preserve"> e-learning</w:t>
            </w:r>
            <w:r w:rsidR="005E0718">
              <w:t xml:space="preserve"> </w:t>
            </w:r>
            <w:r w:rsidR="00BD54E4">
              <w:t>courses</w:t>
            </w:r>
            <w:r w:rsidR="00D93C79">
              <w:t>, and</w:t>
            </w:r>
            <w:r w:rsidR="008234FF">
              <w:t xml:space="preserve"> </w:t>
            </w:r>
            <w:r w:rsidR="00642848">
              <w:t>also</w:t>
            </w:r>
            <w:r w:rsidR="008234FF">
              <w:t xml:space="preserve"> more likely to be successful in extramural </w:t>
            </w:r>
            <w:r w:rsidR="00DE3A6F">
              <w:t>paper-based</w:t>
            </w:r>
            <w:r w:rsidR="008234FF">
              <w:t xml:space="preserve"> courses. </w:t>
            </w:r>
          </w:p>
        </w:tc>
      </w:tr>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30414B" w:rsidRDefault="00450020" w:rsidP="00E90BDB">
            <w:pPr>
              <w:pStyle w:val="Keypointtext"/>
            </w:pPr>
            <w:r>
              <w:t>The 40+ age group</w:t>
            </w:r>
            <w:r w:rsidR="0030414B">
              <w:t xml:space="preserve"> </w:t>
            </w:r>
            <w:r w:rsidR="0060114A">
              <w:t xml:space="preserve">had </w:t>
            </w:r>
            <w:r w:rsidR="00B628B7">
              <w:t xml:space="preserve">the highest </w:t>
            </w:r>
            <w:r w:rsidR="0060114A">
              <w:t>participation</w:t>
            </w:r>
            <w:r w:rsidR="00642848">
              <w:t xml:space="preserve"> and completion rate</w:t>
            </w:r>
            <w:r w:rsidR="0030414B">
              <w:t xml:space="preserve"> in extramural courses</w:t>
            </w:r>
            <w:r w:rsidR="00D5543A">
              <w:t xml:space="preserve"> and the</w:t>
            </w:r>
            <w:r w:rsidR="00195954">
              <w:t xml:space="preserve"> </w:t>
            </w:r>
            <w:r w:rsidR="00195954" w:rsidRPr="00D5543A">
              <w:t>u</w:t>
            </w:r>
            <w:r w:rsidRPr="00D5543A">
              <w:t>nder 25</w:t>
            </w:r>
            <w:r w:rsidR="00195954" w:rsidRPr="00D5543A">
              <w:t>s</w:t>
            </w:r>
            <w:r w:rsidR="0030414B">
              <w:t xml:space="preserve"> </w:t>
            </w:r>
            <w:r w:rsidR="00195954">
              <w:t>age group</w:t>
            </w:r>
            <w:r w:rsidR="0030414B">
              <w:t xml:space="preserve"> </w:t>
            </w:r>
            <w:r w:rsidR="000B561B">
              <w:t xml:space="preserve">had </w:t>
            </w:r>
            <w:r w:rsidR="00B628B7">
              <w:t xml:space="preserve">the lowest </w:t>
            </w:r>
            <w:r w:rsidR="000B561B">
              <w:t>participation</w:t>
            </w:r>
            <w:r w:rsidR="00642848">
              <w:t xml:space="preserve"> and course completion rate in extramural courses</w:t>
            </w:r>
            <w:r w:rsidR="00BD54E4">
              <w:t xml:space="preserve">. </w:t>
            </w:r>
          </w:p>
        </w:tc>
      </w:tr>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96651A" w:rsidRDefault="00DD27CF" w:rsidP="0096651A">
            <w:pPr>
              <w:pStyle w:val="Keypointtext"/>
            </w:pPr>
            <w:r>
              <w:t>M</w:t>
            </w:r>
            <w:r>
              <w:rPr>
                <w:rFonts w:cs="Arial"/>
              </w:rPr>
              <w:t>ā</w:t>
            </w:r>
            <w:r>
              <w:t xml:space="preserve">ori </w:t>
            </w:r>
            <w:r w:rsidR="00A01D6F">
              <w:t xml:space="preserve">had </w:t>
            </w:r>
            <w:r w:rsidR="003B4919">
              <w:t>the highest</w:t>
            </w:r>
            <w:r w:rsidR="00A01D6F">
              <w:t xml:space="preserve"> participation</w:t>
            </w:r>
            <w:r>
              <w:t xml:space="preserve"> in extramural courses</w:t>
            </w:r>
            <w:r w:rsidR="002B0CB4">
              <w:t xml:space="preserve"> and</w:t>
            </w:r>
            <w:r>
              <w:t xml:space="preserve"> Asians</w:t>
            </w:r>
            <w:r w:rsidR="000D1CA9">
              <w:t xml:space="preserve"> </w:t>
            </w:r>
            <w:r w:rsidR="003B4919">
              <w:t>the lowest</w:t>
            </w:r>
            <w:r>
              <w:t>.</w:t>
            </w:r>
            <w:r w:rsidR="00B218A7">
              <w:t xml:space="preserve"> </w:t>
            </w:r>
          </w:p>
          <w:p w:rsidR="00B218A7" w:rsidRDefault="0059799E" w:rsidP="0056481B">
            <w:pPr>
              <w:pStyle w:val="Keypointtext"/>
            </w:pPr>
            <w:r>
              <w:t xml:space="preserve">Asians had </w:t>
            </w:r>
            <w:r w:rsidR="003B4919">
              <w:t>the highest</w:t>
            </w:r>
            <w:r>
              <w:t xml:space="preserve"> extramural </w:t>
            </w:r>
            <w:r w:rsidR="00C552BE">
              <w:t xml:space="preserve">course </w:t>
            </w:r>
            <w:r>
              <w:t>completion rate</w:t>
            </w:r>
            <w:r w:rsidR="0056481B">
              <w:t>.</w:t>
            </w:r>
            <w:r>
              <w:t xml:space="preserve"> </w:t>
            </w:r>
          </w:p>
        </w:tc>
      </w:tr>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537E33" w:rsidRDefault="00537E33" w:rsidP="00537E33">
            <w:pPr>
              <w:pStyle w:val="Keypointtext"/>
            </w:pPr>
            <w:r>
              <w:t>Students</w:t>
            </w:r>
            <w:r w:rsidR="00B218A7">
              <w:t xml:space="preserve"> </w:t>
            </w:r>
            <w:r w:rsidR="00291178">
              <w:t>who</w:t>
            </w:r>
            <w:r w:rsidR="007E3F88">
              <w:t xml:space="preserve"> entered tertiary study from a</w:t>
            </w:r>
            <w:r w:rsidR="00B218A7">
              <w:t xml:space="preserve"> house</w:t>
            </w:r>
            <w:r w:rsidR="00E21DBD">
              <w:t>-</w:t>
            </w:r>
            <w:r w:rsidR="00B218A7">
              <w:t xml:space="preserve">person/retired background </w:t>
            </w:r>
            <w:r w:rsidR="007E3F88">
              <w:t xml:space="preserve">had </w:t>
            </w:r>
            <w:r w:rsidR="00894886">
              <w:t xml:space="preserve">the highest </w:t>
            </w:r>
            <w:r w:rsidR="007E3F88">
              <w:t>participation</w:t>
            </w:r>
            <w:r w:rsidR="00B218A7">
              <w:t xml:space="preserve"> in extramural courses. </w:t>
            </w:r>
            <w:r w:rsidR="00031B8F">
              <w:t>S</w:t>
            </w:r>
            <w:r w:rsidR="00B218A7">
              <w:t xml:space="preserve">chool </w:t>
            </w:r>
            <w:r w:rsidR="00031B8F">
              <w:t xml:space="preserve">leavers </w:t>
            </w:r>
            <w:r w:rsidR="007E3F88">
              <w:t xml:space="preserve">had </w:t>
            </w:r>
            <w:r w:rsidR="00894886">
              <w:t>the lowest</w:t>
            </w:r>
            <w:r w:rsidR="007E3F88">
              <w:t xml:space="preserve"> participation</w:t>
            </w:r>
            <w:r w:rsidR="00D01A2C">
              <w:t xml:space="preserve"> in extramural courses</w:t>
            </w:r>
            <w:r w:rsidR="0056481B">
              <w:t>.</w:t>
            </w:r>
          </w:p>
          <w:p w:rsidR="0000550C" w:rsidRDefault="002A767C" w:rsidP="0056481B">
            <w:pPr>
              <w:pStyle w:val="Keypointtext"/>
            </w:pPr>
            <w:r>
              <w:t>Students from a</w:t>
            </w:r>
            <w:r w:rsidR="0004053E">
              <w:t xml:space="preserve"> </w:t>
            </w:r>
            <w:r>
              <w:t xml:space="preserve">non-working background had </w:t>
            </w:r>
            <w:r w:rsidR="00152D38">
              <w:t>the lowest</w:t>
            </w:r>
            <w:r>
              <w:t xml:space="preserve"> extramural </w:t>
            </w:r>
            <w:r w:rsidR="00152D38">
              <w:t xml:space="preserve">course </w:t>
            </w:r>
            <w:r>
              <w:t>completion rate.</w:t>
            </w:r>
          </w:p>
        </w:tc>
      </w:tr>
      <w:tr w:rsidR="0000550C"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00550C" w:rsidRPr="009D7E1B" w:rsidRDefault="0000550C"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00550C" w:rsidRDefault="004F129E" w:rsidP="007E451B">
            <w:pPr>
              <w:pStyle w:val="Keypointtext"/>
            </w:pPr>
            <w:r>
              <w:t xml:space="preserve">Part-time students </w:t>
            </w:r>
            <w:r w:rsidR="006446FD">
              <w:t>had higher participation</w:t>
            </w:r>
            <w:r>
              <w:t xml:space="preserve"> in extramural courses than full-time students</w:t>
            </w:r>
            <w:r w:rsidR="007E451B">
              <w:t>, but</w:t>
            </w:r>
            <w:r>
              <w:t xml:space="preserve"> </w:t>
            </w:r>
            <w:r w:rsidR="007E451B">
              <w:t>f</w:t>
            </w:r>
            <w:r w:rsidR="002A767C">
              <w:t xml:space="preserve">ull-time students had </w:t>
            </w:r>
            <w:r w:rsidR="000C22CD">
              <w:t xml:space="preserve">a </w:t>
            </w:r>
            <w:r w:rsidR="002A767C">
              <w:t xml:space="preserve">higher extramural </w:t>
            </w:r>
            <w:r w:rsidR="00F43808">
              <w:t xml:space="preserve">course </w:t>
            </w:r>
            <w:r w:rsidR="002A767C">
              <w:t>completion rate than part-time students</w:t>
            </w:r>
            <w:r w:rsidR="00291178">
              <w:t>.</w:t>
            </w:r>
            <w:r w:rsidR="002A767C">
              <w:t xml:space="preserve"> </w:t>
            </w:r>
          </w:p>
        </w:tc>
      </w:tr>
      <w:tr w:rsidR="004F129E" w:rsidTr="0000550C">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4F129E" w:rsidRPr="009D7E1B" w:rsidRDefault="004F129E" w:rsidP="0000550C">
            <w:pPr>
              <w:pStyle w:val="Keypointtext"/>
              <w:numPr>
                <w:ilvl w:val="0"/>
                <w:numId w:val="38"/>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4F129E" w:rsidRDefault="004F129E" w:rsidP="009D0F91">
            <w:pPr>
              <w:pStyle w:val="Keypointtext"/>
            </w:pPr>
            <w:r>
              <w:t>Certifica</w:t>
            </w:r>
            <w:r w:rsidRPr="002112CB">
              <w:t>te</w:t>
            </w:r>
            <w:r w:rsidR="009D0F91">
              <w:t>-</w:t>
            </w:r>
            <w:r w:rsidRPr="002112CB">
              <w:t>level</w:t>
            </w:r>
            <w:r>
              <w:t xml:space="preserve"> </w:t>
            </w:r>
            <w:r w:rsidR="00D47DEA">
              <w:t>courses</w:t>
            </w:r>
            <w:r w:rsidR="007049AE">
              <w:t xml:space="preserve"> had </w:t>
            </w:r>
            <w:r w:rsidR="00D47DEA">
              <w:t>the largest</w:t>
            </w:r>
            <w:r w:rsidR="007049AE">
              <w:t xml:space="preserve"> proportion of</w:t>
            </w:r>
            <w:r>
              <w:t xml:space="preserve"> </w:t>
            </w:r>
            <w:r w:rsidR="000C22CD" w:rsidRPr="002112CB">
              <w:t>course-level</w:t>
            </w:r>
            <w:r w:rsidR="000C22CD">
              <w:t xml:space="preserve"> </w:t>
            </w:r>
            <w:r>
              <w:t>extramural</w:t>
            </w:r>
            <w:r w:rsidR="007049AE">
              <w:t xml:space="preserve"> </w:t>
            </w:r>
            <w:r w:rsidR="00D47DEA">
              <w:t>provision</w:t>
            </w:r>
            <w:r>
              <w:t>.</w:t>
            </w:r>
            <w:r w:rsidR="00B04392">
              <w:t xml:space="preserve"> Postgraduate</w:t>
            </w:r>
            <w:r>
              <w:t xml:space="preserve"> </w:t>
            </w:r>
            <w:r w:rsidR="00B04392">
              <w:t xml:space="preserve">and masters </w:t>
            </w:r>
            <w:r w:rsidR="00D47DEA">
              <w:t>courses</w:t>
            </w:r>
            <w:r w:rsidR="007049AE">
              <w:t xml:space="preserve"> had </w:t>
            </w:r>
            <w:r w:rsidR="00D47DEA">
              <w:t>the smallest</w:t>
            </w:r>
            <w:r w:rsidR="007049AE">
              <w:t xml:space="preserve"> proportion of</w:t>
            </w:r>
            <w:r>
              <w:t xml:space="preserve"> extramura</w:t>
            </w:r>
            <w:r w:rsidR="000C22CD">
              <w:t xml:space="preserve">l </w:t>
            </w:r>
            <w:r w:rsidR="000C22CD" w:rsidRPr="002112CB">
              <w:t>course-leve</w:t>
            </w:r>
            <w:r w:rsidRPr="002112CB">
              <w:t>l</w:t>
            </w:r>
            <w:r w:rsidR="007049AE">
              <w:t xml:space="preserve"> </w:t>
            </w:r>
            <w:r w:rsidR="00D47DEA">
              <w:t>provision</w:t>
            </w:r>
            <w:r>
              <w:t xml:space="preserve">. </w:t>
            </w:r>
          </w:p>
        </w:tc>
      </w:tr>
    </w:tbl>
    <w:p w:rsidR="00230FEA" w:rsidRDefault="00230FEA" w:rsidP="00230FEA">
      <w:pPr>
        <w:pStyle w:val="Heading1"/>
      </w:pPr>
      <w:bookmarkStart w:id="1" w:name="_Toc379545905"/>
      <w:r>
        <w:lastRenderedPageBreak/>
        <w:t>Introduction</w:t>
      </w:r>
      <w:bookmarkEnd w:id="1"/>
    </w:p>
    <w:p w:rsidR="0045392A" w:rsidRDefault="000C5942" w:rsidP="002A5780">
      <w:pPr>
        <w:spacing w:after="240"/>
        <w:jc w:val="both"/>
      </w:pPr>
      <w:r>
        <w:t xml:space="preserve">New Zealand </w:t>
      </w:r>
      <w:r w:rsidRPr="00E90BDB">
        <w:t xml:space="preserve">has </w:t>
      </w:r>
      <w:r w:rsidR="00E90BDB">
        <w:t xml:space="preserve">a </w:t>
      </w:r>
      <w:r w:rsidRPr="00E90BDB">
        <w:t>re</w:t>
      </w:r>
      <w:r>
        <w:t xml:space="preserve">latively low population density, </w:t>
      </w:r>
      <w:r w:rsidR="009F1C1B">
        <w:t xml:space="preserve">which </w:t>
      </w:r>
      <w:r w:rsidR="00B83E36">
        <w:t>means that</w:t>
      </w:r>
      <w:r>
        <w:t xml:space="preserve"> many people liv</w:t>
      </w:r>
      <w:r w:rsidR="00B83E36">
        <w:t>e</w:t>
      </w:r>
      <w:r>
        <w:t xml:space="preserve"> far from where </w:t>
      </w:r>
      <w:r w:rsidR="00003735">
        <w:t>tertiary education</w:t>
      </w:r>
      <w:r>
        <w:t xml:space="preserve"> institutions are located. And many people</w:t>
      </w:r>
      <w:r w:rsidR="00285D99">
        <w:t xml:space="preserve"> who do not live far from tertiary institutions</w:t>
      </w:r>
      <w:r>
        <w:t xml:space="preserve"> </w:t>
      </w:r>
      <w:r w:rsidR="00003735">
        <w:t>are</w:t>
      </w:r>
      <w:r w:rsidR="0045392A">
        <w:t xml:space="preserve"> also</w:t>
      </w:r>
      <w:r w:rsidR="00003735">
        <w:t xml:space="preserve"> unable to</w:t>
      </w:r>
      <w:r>
        <w:t xml:space="preserve"> </w:t>
      </w:r>
      <w:r w:rsidR="0045392A">
        <w:t>access</w:t>
      </w:r>
      <w:r>
        <w:t xml:space="preserve"> </w:t>
      </w:r>
      <w:r w:rsidR="00285D99">
        <w:t>on-campus</w:t>
      </w:r>
      <w:r w:rsidR="0045392A">
        <w:t xml:space="preserve"> tertiary education</w:t>
      </w:r>
      <w:r>
        <w:t xml:space="preserve"> because of work </w:t>
      </w:r>
      <w:r w:rsidR="00003735">
        <w:t>and/</w:t>
      </w:r>
      <w:r>
        <w:t xml:space="preserve">or family commitments. Distance education or extramural study allows </w:t>
      </w:r>
      <w:r w:rsidR="00003735">
        <w:t>these</w:t>
      </w:r>
      <w:r>
        <w:t xml:space="preserve"> people to participate in </w:t>
      </w:r>
      <w:r w:rsidR="00003735">
        <w:t>tertiary education</w:t>
      </w:r>
      <w:r>
        <w:t xml:space="preserve">. </w:t>
      </w:r>
    </w:p>
    <w:p w:rsidR="000C5942" w:rsidRDefault="004B362B" w:rsidP="002A5780">
      <w:pPr>
        <w:spacing w:after="240"/>
        <w:jc w:val="both"/>
      </w:pPr>
      <w:r>
        <w:t>New Zealand’s</w:t>
      </w:r>
      <w:r w:rsidR="000C5942">
        <w:t xml:space="preserve"> tertiary education network needs to have some distance education </w:t>
      </w:r>
      <w:r w:rsidR="00003735">
        <w:t>capacity</w:t>
      </w:r>
      <w:r w:rsidR="000C5942">
        <w:t xml:space="preserve"> to help people in remote communities and those who have caregiving </w:t>
      </w:r>
      <w:r w:rsidR="00003735">
        <w:t>and/</w:t>
      </w:r>
      <w:r w:rsidR="000C5942">
        <w:t>or work responsibilities that preclude</w:t>
      </w:r>
      <w:r w:rsidR="00003735">
        <w:t xml:space="preserve"> their</w:t>
      </w:r>
      <w:r w:rsidR="000C5942">
        <w:t xml:space="preserve"> </w:t>
      </w:r>
      <w:r w:rsidR="0045392A">
        <w:t>accessing</w:t>
      </w:r>
      <w:r w:rsidR="000C5942">
        <w:t xml:space="preserve"> on-campus tertiary education. </w:t>
      </w:r>
      <w:r w:rsidR="00003735">
        <w:t>However, n</w:t>
      </w:r>
      <w:r w:rsidR="000C5942">
        <w:t xml:space="preserve">ot every provider needs to offer distance education – as long as there </w:t>
      </w:r>
      <w:r w:rsidR="00003735">
        <w:t>is</w:t>
      </w:r>
      <w:r w:rsidR="000C5942">
        <w:t xml:space="preserve"> extramural prov</w:t>
      </w:r>
      <w:r w:rsidR="00003735">
        <w:t>ision</w:t>
      </w:r>
      <w:r w:rsidR="000C5942">
        <w:t xml:space="preserve"> at every level</w:t>
      </w:r>
      <w:r w:rsidR="00A22A81">
        <w:t xml:space="preserve"> and reasonable opportunity to transfer credit between providers</w:t>
      </w:r>
      <w:r w:rsidR="000C5942">
        <w:t>.</w:t>
      </w:r>
    </w:p>
    <w:p w:rsidR="000C5942" w:rsidRDefault="000C5942" w:rsidP="002A5780">
      <w:pPr>
        <w:pStyle w:val="BodyText"/>
        <w:rPr>
          <w:lang w:eastAsia="en-NZ"/>
        </w:rPr>
      </w:pPr>
      <w:r>
        <w:t>It is generally accepted that extramural students have lower levels of achievement than intramural students. This is for a range of reasons. Extramural students are more likely than their intramural peers to have additional work and family commitments</w:t>
      </w:r>
      <w:r w:rsidR="00E90BDB">
        <w:t>, which</w:t>
      </w:r>
      <w:r>
        <w:t xml:space="preserve"> often prevent them from devoting as much time to their study as intramural students (</w:t>
      </w:r>
      <w:r w:rsidRPr="00360969">
        <w:rPr>
          <w:lang w:eastAsia="en-NZ"/>
        </w:rPr>
        <w:t>Brown, Keppell, Hughes, Hard, Shillington, and Smith,</w:t>
      </w:r>
      <w:r>
        <w:rPr>
          <w:lang w:eastAsia="en-NZ"/>
        </w:rPr>
        <w:t xml:space="preserve"> 2012). </w:t>
      </w:r>
    </w:p>
    <w:p w:rsidR="000C5942" w:rsidRDefault="000C5942" w:rsidP="002A5780">
      <w:pPr>
        <w:pStyle w:val="BodyText"/>
      </w:pPr>
      <w:r>
        <w:rPr>
          <w:lang w:eastAsia="en-NZ"/>
        </w:rPr>
        <w:t>Extramural students generally</w:t>
      </w:r>
      <w:r>
        <w:t xml:space="preserve"> have fewer opportunities to interact with their teachers, institutions and peers. As a result they can feel or become isolated</w:t>
      </w:r>
      <w:r w:rsidR="00BC6D93">
        <w:t>,</w:t>
      </w:r>
      <w:r>
        <w:t xml:space="preserve"> which in turn increases their chances of withdrawal (</w:t>
      </w:r>
      <w:r w:rsidR="00307A7F" w:rsidRPr="00892616">
        <w:t>e.g.</w:t>
      </w:r>
      <w:r w:rsidR="00307A7F">
        <w:t xml:space="preserve"> Davies and Graff, 2005; Deka and McMurry, 2006; Giddings, Campbell</w:t>
      </w:r>
      <w:r w:rsidR="00307A7F" w:rsidRPr="003D7729">
        <w:t>, and</w:t>
      </w:r>
      <w:r w:rsidR="00307A7F">
        <w:t xml:space="preserve"> </w:t>
      </w:r>
      <w:r w:rsidR="00307A7F" w:rsidRPr="008369A6">
        <w:t>M</w:t>
      </w:r>
      <w:r w:rsidR="008369A6">
        <w:t>a</w:t>
      </w:r>
      <w:r w:rsidR="00307A7F" w:rsidRPr="008369A6">
        <w:t>claren</w:t>
      </w:r>
      <w:r w:rsidR="00307A7F">
        <w:t xml:space="preserve">, 2006; Stodel, Thompson, </w:t>
      </w:r>
      <w:r w:rsidR="00307A7F" w:rsidRPr="003D7729">
        <w:t>and</w:t>
      </w:r>
      <w:r w:rsidR="00307A7F">
        <w:t xml:space="preserve"> MacDonald, 2006; Tyler-Smith, 2006</w:t>
      </w:r>
      <w:r w:rsidR="00307A7F">
        <w:rPr>
          <w:rStyle w:val="FootnoteReference"/>
        </w:rPr>
        <w:footnoteReference w:id="1"/>
      </w:r>
      <w:r w:rsidR="00307A7F">
        <w:t>).</w:t>
      </w:r>
      <w:r>
        <w:t xml:space="preserve"> Extramural students also have more opportunities to drop out</w:t>
      </w:r>
      <w:r w:rsidR="00CB053D">
        <w:t>,</w:t>
      </w:r>
      <w:r>
        <w:t xml:space="preserve"> because they usually take longer to complete their studies than their intramural peers (Engler, 2012).</w:t>
      </w:r>
    </w:p>
    <w:p w:rsidR="000C5942" w:rsidRDefault="000C5942" w:rsidP="002A5780">
      <w:pPr>
        <w:pStyle w:val="BodyText"/>
        <w:rPr>
          <w:lang w:val="en-GB" w:eastAsia="en-GB"/>
        </w:rPr>
      </w:pPr>
      <w:r>
        <w:t xml:space="preserve">Lower achievement can be </w:t>
      </w:r>
      <w:r w:rsidR="009F1C1B">
        <w:t>the result of</w:t>
      </w:r>
      <w:r>
        <w:t xml:space="preserve"> students lacking the attributes required for success in extramural study. Inappropriate teaching practices or ineffective institutional support can also contribute to lower achievement for extramural student</w:t>
      </w:r>
      <w:r>
        <w:rPr>
          <w:lang w:val="en-GB" w:eastAsia="en-GB"/>
        </w:rPr>
        <w:t xml:space="preserve">s (Gee, 1990; Schlosser, C. </w:t>
      </w:r>
      <w:r w:rsidRPr="00CB053D">
        <w:rPr>
          <w:lang w:val="en-GB" w:eastAsia="en-GB"/>
        </w:rPr>
        <w:t>A. and</w:t>
      </w:r>
      <w:r>
        <w:rPr>
          <w:lang w:val="en-GB" w:eastAsia="en-GB"/>
        </w:rPr>
        <w:t xml:space="preserve"> Anderson, 1994; Garrison, 2000; Palloff and Pratt, 2003; </w:t>
      </w:r>
      <w:r w:rsidRPr="00B067D1">
        <w:rPr>
          <w:lang w:val="en-GB" w:eastAsia="en-GB"/>
        </w:rPr>
        <w:t>Packham, Jones, Miller, and Thomas</w:t>
      </w:r>
      <w:r>
        <w:rPr>
          <w:lang w:val="en-GB" w:eastAsia="en-GB"/>
        </w:rPr>
        <w:t xml:space="preserve">, 2004; Wojciechowski and Palmer, 2005; </w:t>
      </w:r>
      <w:r w:rsidRPr="00892616">
        <w:rPr>
          <w:lang w:val="en-GB" w:eastAsia="en-GB"/>
        </w:rPr>
        <w:t>Schlosser, L.</w:t>
      </w:r>
      <w:r>
        <w:rPr>
          <w:lang w:val="en-GB" w:eastAsia="en-GB"/>
        </w:rPr>
        <w:t xml:space="preserve"> A. and Simonson, 2010; Guiney, </w:t>
      </w:r>
      <w:r w:rsidR="00EA2A09" w:rsidRPr="00BF676B">
        <w:rPr>
          <w:lang w:val="en-GB" w:eastAsia="en-GB"/>
        </w:rPr>
        <w:t>201</w:t>
      </w:r>
      <w:r w:rsidR="00EA2A09">
        <w:rPr>
          <w:lang w:val="en-GB" w:eastAsia="en-GB"/>
        </w:rPr>
        <w:t>3a</w:t>
      </w:r>
      <w:r>
        <w:rPr>
          <w:lang w:val="en-GB" w:eastAsia="en-GB"/>
        </w:rPr>
        <w:t>).</w:t>
      </w:r>
    </w:p>
    <w:p w:rsidR="000C5942" w:rsidRDefault="000C5942" w:rsidP="002A5780">
      <w:pPr>
        <w:pStyle w:val="BodyText"/>
      </w:pPr>
      <w:r>
        <w:t xml:space="preserve">While extramural students typically have lower achievement, results from the Australasian Survey of Student Engagement suggest that some distance students may be more engaged with some types of learning than </w:t>
      </w:r>
      <w:r w:rsidR="009F1C1B">
        <w:t xml:space="preserve">their </w:t>
      </w:r>
      <w:r>
        <w:t xml:space="preserve">on-campus </w:t>
      </w:r>
      <w:r w:rsidR="009F1C1B">
        <w:t>peer</w:t>
      </w:r>
      <w:r>
        <w:t>s (Poskitt, Ree</w:t>
      </w:r>
      <w:r w:rsidRPr="00892616">
        <w:t>s</w:t>
      </w:r>
      <w:r w:rsidR="00531BE3" w:rsidRPr="00892616">
        <w:t>,</w:t>
      </w:r>
      <w:r w:rsidRPr="00892616">
        <w:t xml:space="preserve"> and</w:t>
      </w:r>
      <w:r>
        <w:t xml:space="preserve"> Suddaby, 2011).</w:t>
      </w:r>
    </w:p>
    <w:p w:rsidR="000C5942" w:rsidRDefault="000C5942" w:rsidP="002A5780">
      <w:pPr>
        <w:pStyle w:val="BodyText"/>
      </w:pPr>
      <w:r>
        <w:t>Lower completion rates for extramural students are of particular interest and concern because both government and providers are increasingly focused on student achievement. Qualification completions</w:t>
      </w:r>
      <w:r w:rsidR="009D5A1A">
        <w:t xml:space="preserve"> </w:t>
      </w:r>
      <w:r>
        <w:t xml:space="preserve">and course completion rates are two of the four educational performance indicators the </w:t>
      </w:r>
      <w:r w:rsidRPr="00287B45">
        <w:t>Tertiary E</w:t>
      </w:r>
      <w:r>
        <w:t>ducation Commission calculates and publishes for each provider</w:t>
      </w:r>
      <w:r w:rsidR="009D5A1A">
        <w:t xml:space="preserve">. They </w:t>
      </w:r>
      <w:r>
        <w:t xml:space="preserve">are used to calculate the performance-linked component of their funding. One of the consequences of this focus on student achievement is that some providers </w:t>
      </w:r>
      <w:r w:rsidR="009F1C1B">
        <w:t xml:space="preserve">have lost funding and </w:t>
      </w:r>
      <w:r w:rsidR="009673BA">
        <w:t>may consider</w:t>
      </w:r>
      <w:r>
        <w:t xml:space="preserve"> reducing the extent of their extramural provision in an attempt to improve their qualification</w:t>
      </w:r>
      <w:r w:rsidR="009673BA">
        <w:t xml:space="preserve"> completions</w:t>
      </w:r>
      <w:r>
        <w:t xml:space="preserve"> and course completion rates </w:t>
      </w:r>
      <w:r w:rsidR="009F1C1B">
        <w:t>so they can</w:t>
      </w:r>
      <w:r>
        <w:t xml:space="preserve"> secure </w:t>
      </w:r>
      <w:r w:rsidR="009F1C1B">
        <w:t>future</w:t>
      </w:r>
      <w:r>
        <w:t xml:space="preserve"> performance-linked funding. </w:t>
      </w:r>
    </w:p>
    <w:p w:rsidR="000C5942" w:rsidRDefault="000C5942" w:rsidP="002A5780">
      <w:pPr>
        <w:pStyle w:val="BodyText"/>
      </w:pPr>
      <w:r>
        <w:t>This report presents a view of extramural students’ participation and achievement from 2004 to 2011</w:t>
      </w:r>
      <w:r w:rsidR="009D5A1A">
        <w:t>.</w:t>
      </w:r>
    </w:p>
    <w:p w:rsidR="000C5942" w:rsidRDefault="000C5942" w:rsidP="00A57BC4">
      <w:pPr>
        <w:pStyle w:val="Heading3"/>
      </w:pPr>
      <w:r>
        <w:lastRenderedPageBreak/>
        <w:t xml:space="preserve">Why </w:t>
      </w:r>
      <w:r w:rsidRPr="00B067D1">
        <w:t>are we doing</w:t>
      </w:r>
      <w:r>
        <w:t xml:space="preserve"> this report?</w:t>
      </w:r>
    </w:p>
    <w:p w:rsidR="000C5942" w:rsidRDefault="000C5942" w:rsidP="002A5780">
      <w:pPr>
        <w:pStyle w:val="BodyText"/>
      </w:pPr>
      <w:r>
        <w:t>Some sub-groups of learners have a preference for extramural study. This is most likely because it allow</w:t>
      </w:r>
      <w:r w:rsidR="003B49F5">
        <w:t>s</w:t>
      </w:r>
      <w:r>
        <w:t xml:space="preserve"> them to access tertiary education when they may not otherwise </w:t>
      </w:r>
      <w:r w:rsidRPr="000F305D">
        <w:t>have been</w:t>
      </w:r>
      <w:r>
        <w:t xml:space="preserve"> able to do so (</w:t>
      </w:r>
      <w:r w:rsidR="00574813">
        <w:t xml:space="preserve">Guiney, 2011; </w:t>
      </w:r>
      <w:r>
        <w:t>Poskitt</w:t>
      </w:r>
      <w:r w:rsidR="0094057D">
        <w:t xml:space="preserve"> et al.</w:t>
      </w:r>
      <w:r>
        <w:t>, 2011).</w:t>
      </w:r>
    </w:p>
    <w:p w:rsidR="000C5942" w:rsidRDefault="000C5942" w:rsidP="008F6608">
      <w:pPr>
        <w:pStyle w:val="BodyText"/>
      </w:pPr>
      <w:r>
        <w:t xml:space="preserve">In addition to facilitating participation, some researchers argue that e-learning can improve extramural students’ outcomes. This is </w:t>
      </w:r>
      <w:r w:rsidRPr="00B067D1">
        <w:t>because of its ability to</w:t>
      </w:r>
      <w:r>
        <w:t xml:space="preserve"> increase the frequency and quality of </w:t>
      </w:r>
      <w:r w:rsidR="008F6608">
        <w:t xml:space="preserve">students’ </w:t>
      </w:r>
      <w:r>
        <w:t>interactions with teachers, institutions and peers</w:t>
      </w:r>
      <w:r w:rsidR="00BC6D93">
        <w:t>,</w:t>
      </w:r>
      <w:r>
        <w:t xml:space="preserve"> thus countering some of the factors identified in the literature as reducing student performance</w:t>
      </w:r>
      <w:r w:rsidR="00A65E2F">
        <w:t xml:space="preserve"> (e.g. New Zealand Council for Educational Research, 2004</w:t>
      </w:r>
      <w:r w:rsidR="00A87A25">
        <w:t>;</w:t>
      </w:r>
      <w:r w:rsidR="00A65E2F">
        <w:t xml:space="preserve"> Rovai, </w:t>
      </w:r>
      <w:r w:rsidR="00237DFA">
        <w:t xml:space="preserve">Ponton, Wighting, and Baker, </w:t>
      </w:r>
      <w:r w:rsidR="00A65E2F">
        <w:t>2007</w:t>
      </w:r>
      <w:r w:rsidR="00A65E2F">
        <w:rPr>
          <w:rStyle w:val="FootnoteReference"/>
        </w:rPr>
        <w:footnoteReference w:id="2"/>
      </w:r>
      <w:r w:rsidR="00A65E2F">
        <w:t>)</w:t>
      </w:r>
      <w:r>
        <w:t xml:space="preserve">. </w:t>
      </w:r>
    </w:p>
    <w:p w:rsidR="000C5942" w:rsidRDefault="000C5942" w:rsidP="002A5780">
      <w:pPr>
        <w:pStyle w:val="BodyText"/>
      </w:pPr>
      <w:r>
        <w:t>But our report on e-learning achievement showed that extramural students had higher levels of achievement in courses delivered by traditional methods</w:t>
      </w:r>
      <w:r>
        <w:rPr>
          <w:rStyle w:val="FootnoteReference"/>
        </w:rPr>
        <w:footnoteReference w:id="3"/>
      </w:r>
      <w:r>
        <w:t xml:space="preserve"> than in courses delivered by e-learning methods (Guiney, 2013</w:t>
      </w:r>
      <w:r w:rsidR="00E72F34">
        <w:t>a</w:t>
      </w:r>
      <w:r>
        <w:t>). This report allows us to assess in more detail the role that e-learning plays in extramural students</w:t>
      </w:r>
      <w:r w:rsidR="001239EC">
        <w:t>’</w:t>
      </w:r>
      <w:r>
        <w:t xml:space="preserve"> participation and achievement. </w:t>
      </w:r>
    </w:p>
    <w:p w:rsidR="000C5942" w:rsidRDefault="000C5942" w:rsidP="00A57BC4">
      <w:pPr>
        <w:pStyle w:val="Heading3"/>
      </w:pPr>
      <w:r>
        <w:t>Report objective and structure</w:t>
      </w:r>
    </w:p>
    <w:p w:rsidR="000C5942" w:rsidRDefault="000C5942" w:rsidP="002A5780">
      <w:pPr>
        <w:pStyle w:val="BodyText"/>
      </w:pPr>
      <w:r>
        <w:t>The report’s objective is to</w:t>
      </w:r>
      <w:r w:rsidRPr="00B45800">
        <w:t xml:space="preserve"> </w:t>
      </w:r>
      <w:r>
        <w:t xml:space="preserve">assess the extent to which we can attribute extramural </w:t>
      </w:r>
      <w:r w:rsidR="00BB513B">
        <w:t>students’</w:t>
      </w:r>
      <w:r>
        <w:t xml:space="preserve"> participation and achievement to the following factors:</w:t>
      </w:r>
    </w:p>
    <w:p w:rsidR="000C5942" w:rsidRDefault="001239EC" w:rsidP="00A5090B">
      <w:pPr>
        <w:pStyle w:val="Bullet2nospace"/>
      </w:pPr>
      <w:r>
        <w:t>d</w:t>
      </w:r>
      <w:r w:rsidR="000C5942" w:rsidRPr="00D54A45">
        <w:t>emo</w:t>
      </w:r>
      <w:r w:rsidR="000C5942">
        <w:t>graphic characteristics</w:t>
      </w:r>
    </w:p>
    <w:p w:rsidR="000C5942" w:rsidRDefault="001239EC" w:rsidP="002A5780">
      <w:pPr>
        <w:pStyle w:val="Bullet2nospace"/>
      </w:pPr>
      <w:r>
        <w:t>f</w:t>
      </w:r>
      <w:r w:rsidR="000C5942">
        <w:t>ull-time or part-time study</w:t>
      </w:r>
    </w:p>
    <w:p w:rsidR="000C5942" w:rsidRDefault="001239EC" w:rsidP="00A5090B">
      <w:pPr>
        <w:pStyle w:val="Bullet2nospace"/>
      </w:pPr>
      <w:r>
        <w:t>i</w:t>
      </w:r>
      <w:r w:rsidR="000C5942">
        <w:t>nstitutional factors</w:t>
      </w:r>
    </w:p>
    <w:p w:rsidR="000C5942" w:rsidRDefault="001239EC" w:rsidP="00A5090B">
      <w:pPr>
        <w:pStyle w:val="Bullet2nospace"/>
      </w:pPr>
      <w:r>
        <w:t>c</w:t>
      </w:r>
      <w:r w:rsidR="000C5942">
        <w:t>ourse level</w:t>
      </w:r>
    </w:p>
    <w:p w:rsidR="000C5942" w:rsidRDefault="001239EC" w:rsidP="00A5090B">
      <w:pPr>
        <w:pStyle w:val="Bullet2nospace"/>
        <w:spacing w:after="240"/>
      </w:pPr>
      <w:r>
        <w:t>f</w:t>
      </w:r>
      <w:r w:rsidR="000C5942">
        <w:t xml:space="preserve">ield of study. </w:t>
      </w:r>
    </w:p>
    <w:p w:rsidR="000C5942" w:rsidRDefault="000C5942" w:rsidP="002A5780">
      <w:pPr>
        <w:pStyle w:val="Bullet2nospace"/>
        <w:numPr>
          <w:ilvl w:val="0"/>
          <w:numId w:val="0"/>
        </w:numPr>
        <w:spacing w:after="240"/>
      </w:pPr>
      <w:r>
        <w:t xml:space="preserve">In </w:t>
      </w:r>
      <w:r w:rsidR="00E7754C" w:rsidRPr="00722B58">
        <w:t>c</w:t>
      </w:r>
      <w:r w:rsidRPr="00722B58">
        <w:t>hapter 2, we construct</w:t>
      </w:r>
      <w:r>
        <w:t xml:space="preserve"> an extramural student profile. We then examine </w:t>
      </w:r>
      <w:r w:rsidR="00A65E2F">
        <w:t>extramural</w:t>
      </w:r>
      <w:r w:rsidR="00A65E2F" w:rsidRPr="00A65E2F">
        <w:t xml:space="preserve"> </w:t>
      </w:r>
      <w:r w:rsidR="00A65E2F">
        <w:t xml:space="preserve">and </w:t>
      </w:r>
      <w:r>
        <w:t>intramural students’ participation and achievement:</w:t>
      </w:r>
    </w:p>
    <w:p w:rsidR="000C5942" w:rsidRDefault="000C5942" w:rsidP="002A5780">
      <w:pPr>
        <w:pStyle w:val="Bullet2nospace"/>
      </w:pPr>
      <w:r>
        <w:t>across the New Zealand tertiary education system (chapter 3)</w:t>
      </w:r>
    </w:p>
    <w:p w:rsidR="000C5942" w:rsidRDefault="000C5942" w:rsidP="00A805E2">
      <w:pPr>
        <w:pStyle w:val="Bullet2nospace"/>
      </w:pPr>
      <w:r>
        <w:t>by demographic characteristics (chapter 4)</w:t>
      </w:r>
    </w:p>
    <w:p w:rsidR="000C5942" w:rsidRDefault="000C5942" w:rsidP="00DB6CEC">
      <w:pPr>
        <w:pStyle w:val="Bullet2nospace"/>
        <w:spacing w:after="240"/>
      </w:pPr>
      <w:r>
        <w:t>by study-related characteristics (chapter 5).</w:t>
      </w:r>
    </w:p>
    <w:p w:rsidR="000C5942" w:rsidRDefault="000C5942" w:rsidP="002A5780">
      <w:pPr>
        <w:spacing w:after="240"/>
        <w:jc w:val="both"/>
      </w:pPr>
      <w:r>
        <w:t>We also briefly examine extramural students’ participation and achievement in courses delivered by traditional and e-learning methods.</w:t>
      </w:r>
      <w:r w:rsidR="00497FC2">
        <w:t xml:space="preserve"> And in Appendix A below</w:t>
      </w:r>
      <w:r w:rsidR="00144486">
        <w:t>,</w:t>
      </w:r>
      <w:r w:rsidR="00497FC2">
        <w:t xml:space="preserve"> we also highlight some of the key findings from courses delivered by the Web-Supported, Web-</w:t>
      </w:r>
      <w:r w:rsidR="00497FC2" w:rsidRPr="004619FD">
        <w:t>Enhanced</w:t>
      </w:r>
      <w:r w:rsidR="00497FC2">
        <w:t xml:space="preserve"> and Web-Based delivery modes (also referred to as the e-learning categories).</w:t>
      </w:r>
    </w:p>
    <w:p w:rsidR="000C5942" w:rsidRDefault="000C5942" w:rsidP="00355D19">
      <w:pPr>
        <w:pStyle w:val="Heading3"/>
      </w:pPr>
      <w:r>
        <w:t xml:space="preserve">Analytical approach  </w:t>
      </w:r>
    </w:p>
    <w:p w:rsidR="000C5942" w:rsidRDefault="000C5942" w:rsidP="002A5780">
      <w:pPr>
        <w:pStyle w:val="BodyText"/>
      </w:pPr>
      <w:r>
        <w:t xml:space="preserve">We have weighted each course by its </w:t>
      </w:r>
      <w:r w:rsidRPr="004072D9">
        <w:t>Equivalent Full Time Student</w:t>
      </w:r>
      <w:r>
        <w:t xml:space="preserve"> (EFTS) factor, which is a measure of the ‘size’ of a course</w:t>
      </w:r>
      <w:r>
        <w:rPr>
          <w:rStyle w:val="FootnoteReference"/>
        </w:rPr>
        <w:footnoteReference w:id="4"/>
      </w:r>
      <w:r>
        <w:t>.</w:t>
      </w:r>
      <w:r w:rsidRPr="000378F9">
        <w:t xml:space="preserve"> </w:t>
      </w:r>
      <w:r>
        <w:t xml:space="preserve">This has been aggregated at a system, sub-sector, </w:t>
      </w:r>
      <w:r w:rsidR="00C25268">
        <w:t>institution</w:t>
      </w:r>
      <w:r w:rsidR="00C25268" w:rsidRPr="004072D9">
        <w:t xml:space="preserve">al </w:t>
      </w:r>
      <w:r w:rsidRPr="004072D9">
        <w:t>and</w:t>
      </w:r>
      <w:r>
        <w:t xml:space="preserve"> course level. We use this measure to quantify student participation and achievement in </w:t>
      </w:r>
      <w:r w:rsidR="00A65E2F">
        <w:t xml:space="preserve">extramural and </w:t>
      </w:r>
      <w:r w:rsidR="00574813">
        <w:t xml:space="preserve">intramural courses delivered by </w:t>
      </w:r>
      <w:r>
        <w:t xml:space="preserve">e-learning and traditional </w:t>
      </w:r>
      <w:r w:rsidR="00660BA7">
        <w:t>methods</w:t>
      </w:r>
      <w:r>
        <w:t xml:space="preserve">. This is because EFTS is a standardised measure of volume, so it is a more accurate indicator of extramural student participation and achievement than enrolment numbers. </w:t>
      </w:r>
    </w:p>
    <w:p w:rsidR="000C5942" w:rsidRDefault="000C5942" w:rsidP="00564FD9">
      <w:pPr>
        <w:pStyle w:val="Heading3"/>
      </w:pPr>
      <w:r>
        <w:lastRenderedPageBreak/>
        <w:t>Calculating provision and participation rates</w:t>
      </w:r>
    </w:p>
    <w:p w:rsidR="002A5780" w:rsidRDefault="008C7175" w:rsidP="008C7175">
      <w:pPr>
        <w:pStyle w:val="Bullet1"/>
        <w:numPr>
          <w:ilvl w:val="0"/>
          <w:numId w:val="0"/>
        </w:numPr>
      </w:pPr>
      <w:r>
        <w:t xml:space="preserve">We quantify learner groups’ </w:t>
      </w:r>
      <w:r w:rsidR="00A65E2F">
        <w:t xml:space="preserve">extramural </w:t>
      </w:r>
      <w:r>
        <w:t>participation and</w:t>
      </w:r>
      <w:r w:rsidR="00F23A19">
        <w:t xml:space="preserve"> each</w:t>
      </w:r>
      <w:r>
        <w:t xml:space="preserve"> sub-sector</w:t>
      </w:r>
      <w:r w:rsidR="0094057D">
        <w:t>’s</w:t>
      </w:r>
      <w:r>
        <w:t xml:space="preserve">, </w:t>
      </w:r>
      <w:r w:rsidR="00660BA7">
        <w:t>level</w:t>
      </w:r>
      <w:r w:rsidR="00F23A19">
        <w:t xml:space="preserve"> of </w:t>
      </w:r>
      <w:r w:rsidR="00F23A19" w:rsidRPr="000C49F6">
        <w:t>study</w:t>
      </w:r>
      <w:r w:rsidR="0041643A">
        <w:t>’s</w:t>
      </w:r>
      <w:r>
        <w:t xml:space="preserve"> and field of study</w:t>
      </w:r>
      <w:r w:rsidR="0041643A">
        <w:t>’s</w:t>
      </w:r>
      <w:r>
        <w:t xml:space="preserve"> </w:t>
      </w:r>
      <w:r w:rsidR="00A65E2F">
        <w:t xml:space="preserve">extramural </w:t>
      </w:r>
      <w:r>
        <w:t>provision by dividing the extramural EFTS by the</w:t>
      </w:r>
      <w:r w:rsidR="00F23A19">
        <w:t xml:space="preserve"> corresponding</w:t>
      </w:r>
      <w:r>
        <w:t xml:space="preserve"> total extramural course</w:t>
      </w:r>
      <w:r w:rsidR="00722B58">
        <w:t>-</w:t>
      </w:r>
      <w:r>
        <w:t xml:space="preserve">level EFTS. </w:t>
      </w:r>
      <w:r w:rsidR="002A5780" w:rsidRPr="000C49F6">
        <w:t>So</w:t>
      </w:r>
      <w:r w:rsidR="00426A69">
        <w:t>,</w:t>
      </w:r>
      <w:r w:rsidR="002A5780" w:rsidRPr="000C49F6">
        <w:t xml:space="preserve"> for example</w:t>
      </w:r>
      <w:r w:rsidR="00426A69">
        <w:t>,</w:t>
      </w:r>
      <w:r w:rsidR="002A5780" w:rsidRPr="000C49F6">
        <w:t xml:space="preserve"> if</w:t>
      </w:r>
      <w:r w:rsidR="002A5780">
        <w:t xml:space="preserve"> a learner group has a total of 1,000 EFTS and 550 of these are </w:t>
      </w:r>
      <w:r w:rsidR="00F91BF0">
        <w:t xml:space="preserve">in </w:t>
      </w:r>
      <w:r w:rsidR="002A5780">
        <w:t>traditional delivery</w:t>
      </w:r>
      <w:r w:rsidR="00F91BF0">
        <w:t xml:space="preserve"> courses</w:t>
      </w:r>
      <w:r w:rsidR="002A5780">
        <w:t xml:space="preserve"> and 450 are</w:t>
      </w:r>
      <w:r w:rsidR="00F91BF0">
        <w:t xml:space="preserve"> in</w:t>
      </w:r>
      <w:r w:rsidR="002A5780">
        <w:t xml:space="preserve"> e-learning</w:t>
      </w:r>
      <w:r w:rsidR="00F91BF0">
        <w:t xml:space="preserve"> courses</w:t>
      </w:r>
      <w:r w:rsidR="00426A69">
        <w:t>,</w:t>
      </w:r>
      <w:r w:rsidR="002A5780">
        <w:t xml:space="preserve"> </w:t>
      </w:r>
      <w:r w:rsidR="00574813">
        <w:t xml:space="preserve">the participation </w:t>
      </w:r>
      <w:r w:rsidR="00F23A19">
        <w:t>shares</w:t>
      </w:r>
      <w:r w:rsidR="002A5780">
        <w:t xml:space="preserve"> would be 55 percent for traditional delivery</w:t>
      </w:r>
      <w:r w:rsidR="00F91BF0">
        <w:t xml:space="preserve"> courses</w:t>
      </w:r>
      <w:r w:rsidR="002A5780">
        <w:t xml:space="preserve"> and 45 percent for </w:t>
      </w:r>
      <w:r w:rsidR="00A87A25">
        <w:t xml:space="preserve">      </w:t>
      </w:r>
      <w:r w:rsidR="002A5780">
        <w:t>e-learning</w:t>
      </w:r>
      <w:r w:rsidR="00F91BF0">
        <w:t xml:space="preserve"> courses</w:t>
      </w:r>
      <w:r w:rsidR="002A5780">
        <w:t xml:space="preserve">. </w:t>
      </w:r>
    </w:p>
    <w:p w:rsidR="002A5780" w:rsidRDefault="00F23A19" w:rsidP="008C7175">
      <w:pPr>
        <w:pStyle w:val="BodyText"/>
      </w:pPr>
      <w:r>
        <w:t>We are analysing data for t</w:t>
      </w:r>
      <w:r w:rsidR="002A5780">
        <w:t xml:space="preserve">he years </w:t>
      </w:r>
      <w:r w:rsidR="002A5780" w:rsidRPr="00D12A2B">
        <w:t>2005</w:t>
      </w:r>
      <w:r w:rsidR="00D12A2B">
        <w:t>-</w:t>
      </w:r>
      <w:r w:rsidR="002A5780" w:rsidRPr="00D12A2B">
        <w:t>2011</w:t>
      </w:r>
      <w:r w:rsidR="002A5780">
        <w:t xml:space="preserve">. </w:t>
      </w:r>
      <w:r w:rsidR="00426A69">
        <w:t xml:space="preserve">We selected </w:t>
      </w:r>
      <w:r w:rsidR="002A5780" w:rsidRPr="00426A69">
        <w:t>2005</w:t>
      </w:r>
      <w:r w:rsidR="002A5780">
        <w:t xml:space="preserve"> because </w:t>
      </w:r>
      <w:r w:rsidR="000E38C5">
        <w:t>the collection of</w:t>
      </w:r>
      <w:r w:rsidR="002A5780">
        <w:t xml:space="preserve"> </w:t>
      </w:r>
      <w:r w:rsidR="00A87A25">
        <w:t xml:space="preserve">     </w:t>
      </w:r>
      <w:r w:rsidR="002A5780">
        <w:t>e-learning data</w:t>
      </w:r>
      <w:r w:rsidR="000E38C5">
        <w:t xml:space="preserve"> for the S</w:t>
      </w:r>
      <w:r w:rsidR="00DD300E">
        <w:t xml:space="preserve">ingle </w:t>
      </w:r>
      <w:r w:rsidR="000E38C5">
        <w:t>D</w:t>
      </w:r>
      <w:r w:rsidR="00DD300E">
        <w:t xml:space="preserve">ata </w:t>
      </w:r>
      <w:r w:rsidR="000E38C5">
        <w:t>R</w:t>
      </w:r>
      <w:r w:rsidR="00DD300E">
        <w:t>eturn</w:t>
      </w:r>
      <w:r w:rsidR="002A5780">
        <w:t xml:space="preserve"> only </w:t>
      </w:r>
      <w:r w:rsidR="00A87A25">
        <w:t xml:space="preserve">began </w:t>
      </w:r>
      <w:r w:rsidR="002A5780">
        <w:t xml:space="preserve">in 2004 and </w:t>
      </w:r>
      <w:r w:rsidR="00DA3904">
        <w:t xml:space="preserve">that year </w:t>
      </w:r>
      <w:r w:rsidR="002A5780">
        <w:t xml:space="preserve">is therefore less likely to be reliable than 2005. </w:t>
      </w:r>
      <w:r w:rsidR="00FB73AF">
        <w:t xml:space="preserve">We </w:t>
      </w:r>
      <w:r w:rsidR="0044316E">
        <w:t>chose</w:t>
      </w:r>
      <w:r w:rsidR="00FB73AF">
        <w:t xml:space="preserve"> </w:t>
      </w:r>
      <w:r w:rsidR="002A5780" w:rsidRPr="00FB73AF">
        <w:t>2011</w:t>
      </w:r>
      <w:r w:rsidR="002A5780">
        <w:t xml:space="preserve"> as the comparison year because it is the most recent one used for this report. </w:t>
      </w:r>
      <w:r>
        <w:t>C</w:t>
      </w:r>
      <w:r w:rsidR="002A5780">
        <w:t>omparing 2005 to 2011 allows us to track growth over time and identify any trends or patterns.</w:t>
      </w:r>
    </w:p>
    <w:p w:rsidR="000C5942" w:rsidRDefault="000C5942" w:rsidP="003C0050">
      <w:pPr>
        <w:pStyle w:val="Heading3"/>
      </w:pPr>
      <w:r>
        <w:t>Measuring completion rates</w:t>
      </w:r>
    </w:p>
    <w:p w:rsidR="008C7175" w:rsidRDefault="00F23A19" w:rsidP="008C7175">
      <w:pPr>
        <w:pStyle w:val="Bullet1"/>
        <w:numPr>
          <w:ilvl w:val="0"/>
          <w:numId w:val="0"/>
        </w:numPr>
      </w:pPr>
      <w:r>
        <w:t>We</w:t>
      </w:r>
      <w:r w:rsidR="008C7175">
        <w:t xml:space="preserve"> give a completion rate </w:t>
      </w:r>
      <w:r w:rsidR="00095C32">
        <w:t>that</w:t>
      </w:r>
      <w:r w:rsidR="008C7175">
        <w:t xml:space="preserve"> is an aggregate of </w:t>
      </w:r>
      <w:r w:rsidR="008C7175" w:rsidRPr="00111E8D">
        <w:t>2004</w:t>
      </w:r>
      <w:r w:rsidR="00111E8D">
        <w:t>-</w:t>
      </w:r>
      <w:r w:rsidR="008C7175" w:rsidRPr="00111E8D">
        <w:t>2011</w:t>
      </w:r>
      <w:r w:rsidR="008C7175">
        <w:t xml:space="preserve">. This </w:t>
      </w:r>
      <w:r w:rsidR="0044316E">
        <w:t>is because</w:t>
      </w:r>
      <w:r w:rsidR="008C7175">
        <w:t xml:space="preserve"> we are more interested in comparing achievement between different learner groups, institutions, and </w:t>
      </w:r>
      <w:r w:rsidR="00A65E2F">
        <w:t>extramural</w:t>
      </w:r>
      <w:r w:rsidR="00A65E2F" w:rsidRPr="00A65E2F">
        <w:t xml:space="preserve"> </w:t>
      </w:r>
      <w:r w:rsidR="00A65E2F">
        <w:t xml:space="preserve">and </w:t>
      </w:r>
      <w:r w:rsidR="008C7175">
        <w:t>intramural study rather than year</w:t>
      </w:r>
      <w:r w:rsidR="005E0457">
        <w:t>-</w:t>
      </w:r>
      <w:r w:rsidR="008C7175">
        <w:t>on</w:t>
      </w:r>
      <w:r w:rsidR="005E0457">
        <w:t>-</w:t>
      </w:r>
      <w:r w:rsidR="008C7175">
        <w:t>year differences between them.</w:t>
      </w:r>
    </w:p>
    <w:p w:rsidR="008C7175" w:rsidRDefault="00D76707" w:rsidP="008C7175">
      <w:pPr>
        <w:pStyle w:val="Bullet1"/>
        <w:numPr>
          <w:ilvl w:val="0"/>
          <w:numId w:val="0"/>
        </w:numPr>
      </w:pPr>
      <w:r>
        <w:t>T</w:t>
      </w:r>
      <w:r w:rsidR="008C7175">
        <w:t xml:space="preserve">here are marked differences between different levels of study in their completion rates, with    higher-level courses having much higher completion rates than lower-level courses (Wensvoort, 2011). In our earlier report on e-learning provision and participation, we showed that higher levels of study had much more e-learning provision and participation than lower levels (Guiney, 2011).  </w:t>
      </w:r>
    </w:p>
    <w:p w:rsidR="000C5942" w:rsidRDefault="000C5942" w:rsidP="008C7175">
      <w:pPr>
        <w:pStyle w:val="Bullet1"/>
        <w:numPr>
          <w:ilvl w:val="0"/>
          <w:numId w:val="0"/>
        </w:numPr>
      </w:pPr>
      <w:r>
        <w:t xml:space="preserve">Given the link between level of study and course completion rates and the imbalance in the uptake of e-learning between levels, differences between </w:t>
      </w:r>
      <w:r w:rsidR="00A65E2F">
        <w:t>extramural</w:t>
      </w:r>
      <w:r w:rsidR="00A65E2F" w:rsidRPr="00A65E2F">
        <w:t xml:space="preserve"> </w:t>
      </w:r>
      <w:r w:rsidR="00A65E2F">
        <w:t xml:space="preserve">and </w:t>
      </w:r>
      <w:r>
        <w:t xml:space="preserve">intramural students’ course completion rates in courses delivered by e-learning and traditional methods will reflect differences in levels of study (at least in part). In other words, the difference in </w:t>
      </w:r>
      <w:r w:rsidR="00A65E2F">
        <w:t>extramural</w:t>
      </w:r>
      <w:r w:rsidR="00A65E2F" w:rsidRPr="00A65E2F">
        <w:t xml:space="preserve"> </w:t>
      </w:r>
      <w:r w:rsidR="00A65E2F">
        <w:t xml:space="preserve">and </w:t>
      </w:r>
      <w:r>
        <w:t>intramural students’ completion rates between e-learning courses and traditional</w:t>
      </w:r>
      <w:r w:rsidR="006A423A">
        <w:t xml:space="preserve"> delivery</w:t>
      </w:r>
      <w:r>
        <w:t xml:space="preserve"> courses may reflect the balance of levels in each mode, not the influence of the delivery method.</w:t>
      </w:r>
    </w:p>
    <w:p w:rsidR="000C5942" w:rsidRDefault="000C5942" w:rsidP="008C7175">
      <w:pPr>
        <w:pStyle w:val="BodyText"/>
      </w:pPr>
      <w:r>
        <w:t>To allow for these differences and to avoid distortion, we use a course-</w:t>
      </w:r>
      <w:r w:rsidRPr="00152937">
        <w:t>level</w:t>
      </w:r>
      <w:r>
        <w:t>-</w:t>
      </w:r>
      <w:r w:rsidRPr="00152937">
        <w:t>adjusted</w:t>
      </w:r>
      <w:r>
        <w:t xml:space="preserve"> completion </w:t>
      </w:r>
      <w:r w:rsidRPr="00152937">
        <w:t>rate</w:t>
      </w:r>
      <w:r>
        <w:t>,</w:t>
      </w:r>
      <w:r w:rsidRPr="00152937">
        <w:t xml:space="preserve"> w</w:t>
      </w:r>
      <w:r>
        <w:t>hich measures successful completion rates for e-learning and traditional</w:t>
      </w:r>
      <w:r w:rsidR="006A423A">
        <w:t xml:space="preserve"> delivery</w:t>
      </w:r>
      <w:r>
        <w:t xml:space="preserve"> courses as if the mix of levels between the two groups had been the same. This is intended to remove any differences in completion rates due to course level so we can focus on the </w:t>
      </w:r>
      <w:r w:rsidR="00F23A19">
        <w:t>effects</w:t>
      </w:r>
      <w:r>
        <w:t xml:space="preserve"> of delivery method on </w:t>
      </w:r>
      <w:r w:rsidR="00A65E2F">
        <w:t>extramural</w:t>
      </w:r>
      <w:r w:rsidR="00A65E2F" w:rsidRPr="00A65E2F">
        <w:t xml:space="preserve"> </w:t>
      </w:r>
      <w:r w:rsidR="00A65E2F">
        <w:t xml:space="preserve">and </w:t>
      </w:r>
      <w:r>
        <w:t>intramural students’ course completion rates</w:t>
      </w:r>
      <w:r w:rsidR="002A5780">
        <w:rPr>
          <w:rStyle w:val="FootnoteReference"/>
        </w:rPr>
        <w:footnoteReference w:id="5"/>
      </w:r>
      <w:r w:rsidR="002A5780">
        <w:t>.</w:t>
      </w:r>
      <w:r>
        <w:t xml:space="preserve"> </w:t>
      </w:r>
    </w:p>
    <w:p w:rsidR="000C5942" w:rsidRDefault="000C5942" w:rsidP="00C90D4F">
      <w:pPr>
        <w:pStyle w:val="BodyText"/>
      </w:pPr>
    </w:p>
    <w:p w:rsidR="000C5942" w:rsidRDefault="000C5942" w:rsidP="00C90D4F">
      <w:pPr>
        <w:pStyle w:val="BodyText"/>
      </w:pPr>
    </w:p>
    <w:p w:rsidR="000C5942" w:rsidRDefault="000C5942" w:rsidP="00C90D4F">
      <w:pPr>
        <w:pStyle w:val="BodyText"/>
      </w:pPr>
    </w:p>
    <w:p w:rsidR="000C5942" w:rsidRDefault="000C5942" w:rsidP="00400AC4">
      <w:pPr>
        <w:pStyle w:val="Heading1"/>
      </w:pPr>
      <w:bookmarkStart w:id="2" w:name="_Toc379545906"/>
      <w:r>
        <w:lastRenderedPageBreak/>
        <w:t>Definitions and data</w:t>
      </w:r>
      <w:bookmarkEnd w:id="2"/>
    </w:p>
    <w:p w:rsidR="000C5942" w:rsidRDefault="00C20D6E" w:rsidP="008C7175">
      <w:pPr>
        <w:pStyle w:val="BodyText"/>
      </w:pPr>
      <w:r>
        <w:t>In t</w:t>
      </w:r>
      <w:r w:rsidR="000C5942">
        <w:t>his chapter</w:t>
      </w:r>
      <w:r w:rsidR="00144486">
        <w:t>,</w:t>
      </w:r>
      <w:r w:rsidR="000C5942">
        <w:t xml:space="preserve"> </w:t>
      </w:r>
      <w:r>
        <w:t xml:space="preserve">we </w:t>
      </w:r>
      <w:r w:rsidR="000C5942">
        <w:t xml:space="preserve">outline the definitions of extramural study and e-learning </w:t>
      </w:r>
      <w:r w:rsidR="00C85A85">
        <w:t>as well as</w:t>
      </w:r>
      <w:r w:rsidR="00B27B0C">
        <w:t xml:space="preserve"> the</w:t>
      </w:r>
      <w:r w:rsidR="000C5942">
        <w:t xml:space="preserve"> details of the data used in this report. We also construct a profile of an extramural student based on the critical personal attributes</w:t>
      </w:r>
      <w:r w:rsidR="000C5942" w:rsidRPr="00997800">
        <w:t xml:space="preserve"> </w:t>
      </w:r>
      <w:r w:rsidR="000C5942">
        <w:t xml:space="preserve">they need to be successful and the demographic characteristics most often associated with </w:t>
      </w:r>
      <w:r w:rsidR="00BD5048">
        <w:t>them as</w:t>
      </w:r>
      <w:r w:rsidR="000C5942">
        <w:t xml:space="preserve"> identified by the research literature.</w:t>
      </w:r>
    </w:p>
    <w:p w:rsidR="000C5942" w:rsidRDefault="000C5942" w:rsidP="00272026">
      <w:pPr>
        <w:pStyle w:val="Heading2"/>
      </w:pPr>
      <w:bookmarkStart w:id="3" w:name="_Toc362262341"/>
      <w:bookmarkStart w:id="4" w:name="_Toc362283096"/>
      <w:bookmarkStart w:id="5" w:name="_Toc362296944"/>
      <w:bookmarkStart w:id="6" w:name="_Toc379545907"/>
      <w:bookmarkEnd w:id="3"/>
      <w:bookmarkEnd w:id="4"/>
      <w:bookmarkEnd w:id="5"/>
      <w:r>
        <w:t>Extramural study data and definition</w:t>
      </w:r>
      <w:bookmarkEnd w:id="6"/>
      <w:r>
        <w:t xml:space="preserve"> </w:t>
      </w:r>
    </w:p>
    <w:p w:rsidR="000C5942" w:rsidRDefault="000C5942" w:rsidP="00861C6D">
      <w:pPr>
        <w:pStyle w:val="Heading3"/>
      </w:pPr>
      <w:r>
        <w:t xml:space="preserve">Data on extramural study </w:t>
      </w:r>
    </w:p>
    <w:p w:rsidR="000C5942" w:rsidRDefault="000C5942" w:rsidP="008C7175">
      <w:pPr>
        <w:pStyle w:val="BodyText"/>
      </w:pPr>
      <w:r>
        <w:t xml:space="preserve">New Zealand’s main tertiary education data collection, the </w:t>
      </w:r>
      <w:r w:rsidR="00BD5048">
        <w:t>S</w:t>
      </w:r>
      <w:r>
        <w:t xml:space="preserve">ingle </w:t>
      </w:r>
      <w:r w:rsidR="00BD5048">
        <w:t>D</w:t>
      </w:r>
      <w:r>
        <w:t xml:space="preserve">ata </w:t>
      </w:r>
      <w:r w:rsidR="00BD5048">
        <w:t>R</w:t>
      </w:r>
      <w:r>
        <w:t>eturn (SDR)</w:t>
      </w:r>
      <w:r w:rsidR="002435F1">
        <w:t>,</w:t>
      </w:r>
      <w:r>
        <w:t xml:space="preserve"> provides data on extramural students and the type of courses they study. This field (called the Attend fiel</w:t>
      </w:r>
      <w:r w:rsidRPr="00833603">
        <w:t>d) is</w:t>
      </w:r>
      <w:r>
        <w:t xml:space="preserve"> used to create the extramural and intramural student populations. </w:t>
      </w:r>
    </w:p>
    <w:p w:rsidR="000C5942" w:rsidRDefault="000C5942" w:rsidP="00E334A9">
      <w:pPr>
        <w:pStyle w:val="Bullet1"/>
        <w:numPr>
          <w:ilvl w:val="0"/>
          <w:numId w:val="0"/>
        </w:numPr>
      </w:pPr>
      <w:r>
        <w:t>The Attend field is a course</w:t>
      </w:r>
      <w:r w:rsidR="00E2796F">
        <w:t>-</w:t>
      </w:r>
      <w:r>
        <w:t xml:space="preserve">level variable that shows whether or not a course is </w:t>
      </w:r>
      <w:r w:rsidR="00BA3592">
        <w:t>extramural (provided off-campus)</w:t>
      </w:r>
      <w:r w:rsidR="00BA3592" w:rsidRPr="00BA3592">
        <w:t xml:space="preserve"> </w:t>
      </w:r>
      <w:r w:rsidR="00BA3592">
        <w:t xml:space="preserve">or </w:t>
      </w:r>
      <w:r>
        <w:t xml:space="preserve">intramural (delivered on-campus) in New Zealand or overseas. </w:t>
      </w:r>
      <w:r w:rsidR="00E334A9">
        <w:t>For the purposes of this report</w:t>
      </w:r>
      <w:r w:rsidR="001159D1">
        <w:t>,</w:t>
      </w:r>
      <w:r w:rsidR="00E334A9">
        <w:t xml:space="preserve"> only </w:t>
      </w:r>
      <w:r w:rsidR="00BA3592">
        <w:t>extramural</w:t>
      </w:r>
      <w:r w:rsidR="00BA3592" w:rsidRPr="00BA3592">
        <w:t xml:space="preserve"> </w:t>
      </w:r>
      <w:r w:rsidR="00BA3592">
        <w:t xml:space="preserve">and </w:t>
      </w:r>
      <w:r w:rsidR="00E334A9">
        <w:t xml:space="preserve">intramural courses offered in New Zealand </w:t>
      </w:r>
      <w:r w:rsidR="00392B82">
        <w:t>are</w:t>
      </w:r>
      <w:r w:rsidR="00E334A9">
        <w:t xml:space="preserve"> examined. </w:t>
      </w:r>
      <w:r>
        <w:t xml:space="preserve">These are defined as: </w:t>
      </w:r>
    </w:p>
    <w:p w:rsidR="00BA3592" w:rsidRDefault="001159D1" w:rsidP="00BA3592">
      <w:pPr>
        <w:pStyle w:val="Bullet2nospace"/>
      </w:pPr>
      <w:r>
        <w:t>e</w:t>
      </w:r>
      <w:r w:rsidR="00BA3592">
        <w:t xml:space="preserve">xtramural and residing in New Zealand – covers students who are resident in New Zealand and unable to attend on-campus courses in New Zealand. </w:t>
      </w:r>
      <w:r w:rsidR="00BA3592" w:rsidRPr="00833603">
        <w:t>These courses use postal services and distance communication technology. These courses may</w:t>
      </w:r>
      <w:r w:rsidR="00F21C42">
        <w:t>, however,</w:t>
      </w:r>
      <w:r w:rsidR="00ED4E01">
        <w:t xml:space="preserve"> also</w:t>
      </w:r>
      <w:r w:rsidR="00BA3592">
        <w:t xml:space="preserve"> include short </w:t>
      </w:r>
      <w:r w:rsidR="00C85A85">
        <w:t>periods of on-campus attendance</w:t>
      </w:r>
    </w:p>
    <w:p w:rsidR="000C5942" w:rsidRDefault="001159D1" w:rsidP="00BA3592">
      <w:pPr>
        <w:pStyle w:val="Bullet2nospace"/>
        <w:spacing w:after="240"/>
      </w:pPr>
      <w:r>
        <w:t>i</w:t>
      </w:r>
      <w:r w:rsidR="000C5942">
        <w:t>ntramural and residing in New Zealand – covers courses where students must be physically present in scheduled teaching sessions in New Zealand in order to meet the course requirements. These courses may</w:t>
      </w:r>
      <w:r w:rsidR="00F21C42">
        <w:t>, however,</w:t>
      </w:r>
      <w:r w:rsidR="00ED4E01">
        <w:t xml:space="preserve"> also</w:t>
      </w:r>
      <w:r w:rsidR="000C5942">
        <w:t xml:space="preserve"> include periods of supervised research and clinical or field experience </w:t>
      </w:r>
      <w:r w:rsidR="000C5942" w:rsidRPr="00833603">
        <w:t>which</w:t>
      </w:r>
      <w:r w:rsidR="000C5942">
        <w:t xml:space="preserve"> may take place outside the campus</w:t>
      </w:r>
      <w:r w:rsidR="00C85A85">
        <w:t xml:space="preserve"> (Ministry of Education, 201</w:t>
      </w:r>
      <w:r w:rsidR="002039E7">
        <w:t>3</w:t>
      </w:r>
      <w:r w:rsidR="00C85A85">
        <w:t>)</w:t>
      </w:r>
      <w:r w:rsidR="000C5942">
        <w:t>.</w:t>
      </w:r>
    </w:p>
    <w:p w:rsidR="000C5942" w:rsidRDefault="00BA3592" w:rsidP="008C7175">
      <w:pPr>
        <w:pStyle w:val="Bullet1"/>
        <w:numPr>
          <w:ilvl w:val="0"/>
          <w:numId w:val="0"/>
        </w:numPr>
      </w:pPr>
      <w:r>
        <w:rPr>
          <w:lang w:val="en-GB" w:eastAsia="en-GB"/>
        </w:rPr>
        <w:t>But t</w:t>
      </w:r>
      <w:r w:rsidR="000C5942" w:rsidRPr="001015B6">
        <w:t xml:space="preserve">here </w:t>
      </w:r>
      <w:r w:rsidR="000C5942">
        <w:t>are</w:t>
      </w:r>
      <w:r w:rsidR="000C5942" w:rsidRPr="001015B6">
        <w:t xml:space="preserve"> differences between and within </w:t>
      </w:r>
      <w:r w:rsidR="000C5942">
        <w:t>provider</w:t>
      </w:r>
      <w:r w:rsidR="000C5942" w:rsidRPr="001015B6">
        <w:t xml:space="preserve">s in their interpretation of </w:t>
      </w:r>
      <w:r w:rsidR="000C5942">
        <w:t>extramural study</w:t>
      </w:r>
      <w:r w:rsidR="000C5942" w:rsidRPr="001015B6">
        <w:t xml:space="preserve"> and how </w:t>
      </w:r>
      <w:r w:rsidR="000C5942">
        <w:t>courses are</w:t>
      </w:r>
      <w:r w:rsidR="000C5942" w:rsidRPr="001015B6">
        <w:t xml:space="preserve"> mapped to </w:t>
      </w:r>
      <w:r w:rsidR="000C5942">
        <w:t>them. For example</w:t>
      </w:r>
      <w:r w:rsidR="00175229">
        <w:t>,</w:t>
      </w:r>
      <w:r w:rsidR="000C5942">
        <w:t xml:space="preserve"> some providers differentiate between their main and satellite campuses, defining delivery occurring at their satellite campuses as extramural study</w:t>
      </w:r>
      <w:r w:rsidR="00ED4E01">
        <w:t>,</w:t>
      </w:r>
      <w:r w:rsidR="000C5942">
        <w:t xml:space="preserve"> even when the students attend classes on a common site at a common time. This difficulty means that the criteria applied in deciding how to complete the Attend field may differ subtly between </w:t>
      </w:r>
      <w:r w:rsidR="00273405">
        <w:t>providers</w:t>
      </w:r>
      <w:r w:rsidR="000C5942">
        <w:t xml:space="preserve">. </w:t>
      </w:r>
      <w:r w:rsidR="00257B80">
        <w:t>As a result</w:t>
      </w:r>
      <w:r w:rsidR="00ED4E01">
        <w:t>,</w:t>
      </w:r>
      <w:r w:rsidR="000C5942">
        <w:t xml:space="preserve"> the data related to extramural students in the report must be treated with some caution.  </w:t>
      </w:r>
      <w:r w:rsidR="000C5942" w:rsidRPr="001015B6">
        <w:t xml:space="preserve">  </w:t>
      </w:r>
    </w:p>
    <w:p w:rsidR="000C5942" w:rsidRDefault="000C5942" w:rsidP="00B500F2">
      <w:pPr>
        <w:pStyle w:val="Heading3"/>
      </w:pPr>
      <w:r>
        <w:t>Definition of extramural study</w:t>
      </w:r>
    </w:p>
    <w:p w:rsidR="000C5942" w:rsidRDefault="000C5942" w:rsidP="008C7175">
      <w:pPr>
        <w:pStyle w:val="BodyText"/>
        <w:rPr>
          <w:lang w:val="en-GB" w:eastAsia="en-GB"/>
        </w:rPr>
      </w:pPr>
      <w:r>
        <w:t xml:space="preserve">We define extramural study in this report using the </w:t>
      </w:r>
      <w:r w:rsidR="00273D58">
        <w:t xml:space="preserve">SDR </w:t>
      </w:r>
      <w:r>
        <w:t>definition</w:t>
      </w:r>
      <w:r w:rsidR="00273D58">
        <w:t>s</w:t>
      </w:r>
      <w:r>
        <w:t xml:space="preserve"> </w:t>
      </w:r>
      <w:r w:rsidR="00273D58">
        <w:t>above</w:t>
      </w:r>
      <w:r>
        <w:t>. We interpret the term</w:t>
      </w:r>
      <w:r w:rsidRPr="00B500F2">
        <w:rPr>
          <w:lang w:val="en-GB" w:eastAsia="en-GB"/>
        </w:rPr>
        <w:t xml:space="preserve"> </w:t>
      </w:r>
      <w:r w:rsidR="009E6F1A">
        <w:rPr>
          <w:lang w:val="en-GB" w:eastAsia="en-GB"/>
        </w:rPr>
        <w:t>‘</w:t>
      </w:r>
      <w:r w:rsidRPr="009E6F1A">
        <w:rPr>
          <w:lang w:val="en-GB" w:eastAsia="en-GB"/>
        </w:rPr>
        <w:t>postal services</w:t>
      </w:r>
      <w:r w:rsidR="009E6F1A">
        <w:rPr>
          <w:lang w:val="en-GB" w:eastAsia="en-GB"/>
        </w:rPr>
        <w:t>’</w:t>
      </w:r>
      <w:r>
        <w:rPr>
          <w:lang w:val="en-GB" w:eastAsia="en-GB"/>
        </w:rPr>
        <w:t xml:space="preserve"> as courses that use traditional delivery methods</w:t>
      </w:r>
      <w:r w:rsidR="00994DEC">
        <w:rPr>
          <w:lang w:val="en-GB" w:eastAsia="en-GB"/>
        </w:rPr>
        <w:t>,</w:t>
      </w:r>
      <w:r>
        <w:rPr>
          <w:lang w:val="en-GB" w:eastAsia="en-GB"/>
        </w:rPr>
        <w:t xml:space="preserve"> and </w:t>
      </w:r>
      <w:r w:rsidR="009E6F1A">
        <w:rPr>
          <w:lang w:val="en-GB" w:eastAsia="en-GB"/>
        </w:rPr>
        <w:t>‘</w:t>
      </w:r>
      <w:r w:rsidRPr="009E6F1A">
        <w:rPr>
          <w:lang w:val="en-GB" w:eastAsia="en-GB"/>
        </w:rPr>
        <w:t>dista</w:t>
      </w:r>
      <w:r>
        <w:rPr>
          <w:lang w:val="en-GB" w:eastAsia="en-GB"/>
        </w:rPr>
        <w:t>nce commun</w:t>
      </w:r>
      <w:r w:rsidRPr="00D54DA7">
        <w:rPr>
          <w:lang w:val="en-GB" w:eastAsia="en-GB"/>
        </w:rPr>
        <w:t>icati</w:t>
      </w:r>
      <w:bookmarkStart w:id="7" w:name="_GoBack"/>
      <w:bookmarkEnd w:id="7"/>
      <w:r w:rsidRPr="00D54DA7">
        <w:rPr>
          <w:lang w:val="en-GB" w:eastAsia="en-GB"/>
        </w:rPr>
        <w:t>on</w:t>
      </w:r>
      <w:r>
        <w:rPr>
          <w:lang w:val="en-GB" w:eastAsia="en-GB"/>
        </w:rPr>
        <w:t xml:space="preserve"> technology</w:t>
      </w:r>
      <w:r w:rsidR="009E6F1A">
        <w:rPr>
          <w:lang w:val="en-GB" w:eastAsia="en-GB"/>
        </w:rPr>
        <w:t>’</w:t>
      </w:r>
      <w:r>
        <w:rPr>
          <w:lang w:val="en-GB" w:eastAsia="en-GB"/>
        </w:rPr>
        <w:t xml:space="preserve"> as courses that use e-learning delivery methods.</w:t>
      </w:r>
      <w:r>
        <w:t xml:space="preserve"> </w:t>
      </w:r>
    </w:p>
    <w:p w:rsidR="000C5942" w:rsidRDefault="000C5942" w:rsidP="006659DF">
      <w:pPr>
        <w:pStyle w:val="Heading2"/>
        <w:rPr>
          <w:lang w:val="en-GB" w:eastAsia="en-GB"/>
        </w:rPr>
      </w:pPr>
      <w:bookmarkStart w:id="8" w:name="_Toc379545908"/>
      <w:r>
        <w:rPr>
          <w:lang w:val="en-GB" w:eastAsia="en-GB"/>
        </w:rPr>
        <w:t>Extramural student profile</w:t>
      </w:r>
      <w:bookmarkEnd w:id="8"/>
    </w:p>
    <w:p w:rsidR="000C5942" w:rsidRDefault="000C5942" w:rsidP="00EF418E">
      <w:pPr>
        <w:pStyle w:val="Heading3"/>
        <w:rPr>
          <w:lang w:val="en-GB" w:eastAsia="en-GB"/>
        </w:rPr>
      </w:pPr>
      <w:r>
        <w:rPr>
          <w:lang w:val="en-GB" w:eastAsia="en-GB"/>
        </w:rPr>
        <w:t>Personal characteristics of extramural students</w:t>
      </w:r>
    </w:p>
    <w:p w:rsidR="003C3056" w:rsidRDefault="000C5942" w:rsidP="008C7175">
      <w:pPr>
        <w:pStyle w:val="BodyText"/>
        <w:rPr>
          <w:lang w:val="en-GB" w:eastAsia="en-GB"/>
        </w:rPr>
      </w:pPr>
      <w:r>
        <w:rPr>
          <w:lang w:val="en-GB" w:eastAsia="en-GB"/>
        </w:rPr>
        <w:t xml:space="preserve">Students are more likely to be successful in extramural study if they possess certain </w:t>
      </w:r>
      <w:r w:rsidR="003C3056">
        <w:rPr>
          <w:lang w:val="en-GB" w:eastAsia="en-GB"/>
        </w:rPr>
        <w:t xml:space="preserve">          </w:t>
      </w:r>
      <w:r>
        <w:rPr>
          <w:lang w:val="en-GB" w:eastAsia="en-GB"/>
        </w:rPr>
        <w:t>study-related characteristics. These include being proactive, motivated</w:t>
      </w:r>
      <w:r w:rsidR="00393217">
        <w:rPr>
          <w:lang w:val="en-GB" w:eastAsia="en-GB"/>
        </w:rPr>
        <w:t xml:space="preserve"> and</w:t>
      </w:r>
      <w:r>
        <w:rPr>
          <w:lang w:val="en-GB" w:eastAsia="en-GB"/>
        </w:rPr>
        <w:t xml:space="preserve"> self-disciplined, setting and achieving realistic goals, having effective time management </w:t>
      </w:r>
      <w:r w:rsidR="007C797F">
        <w:rPr>
          <w:lang w:val="en-GB" w:eastAsia="en-GB"/>
        </w:rPr>
        <w:t xml:space="preserve">skills </w:t>
      </w:r>
      <w:r>
        <w:rPr>
          <w:lang w:val="en-GB" w:eastAsia="en-GB"/>
        </w:rPr>
        <w:t xml:space="preserve">and high concentration levels, </w:t>
      </w:r>
      <w:r w:rsidR="00393217">
        <w:rPr>
          <w:lang w:val="en-GB" w:eastAsia="en-GB"/>
        </w:rPr>
        <w:t>being able to prioritise</w:t>
      </w:r>
      <w:r>
        <w:rPr>
          <w:lang w:val="en-GB" w:eastAsia="en-GB"/>
        </w:rPr>
        <w:t xml:space="preserve">, and feeling they are in control of their learning. Being able to collaborate effectively and to strike an effective balance between their study and </w:t>
      </w:r>
      <w:r>
        <w:rPr>
          <w:lang w:val="en-GB" w:eastAsia="en-GB"/>
        </w:rPr>
        <w:lastRenderedPageBreak/>
        <w:t xml:space="preserve">other commitments is also critical </w:t>
      </w:r>
      <w:r w:rsidR="003C3056">
        <w:rPr>
          <w:lang w:val="en-GB" w:eastAsia="en-GB"/>
        </w:rPr>
        <w:t xml:space="preserve">(e.g. van </w:t>
      </w:r>
      <w:r w:rsidR="003C3056">
        <w:t xml:space="preserve">Merriënboer and Ayres, 2005; Smith and Ferguson, 2005; Eom, </w:t>
      </w:r>
      <w:r w:rsidR="003C3056" w:rsidRPr="00EE6798">
        <w:t>Wen, and Ashill, 2006;</w:t>
      </w:r>
      <w:r w:rsidR="003C3056">
        <w:t xml:space="preserve"> Kickul and Kickul, 2006; Tyler-Smith, 2006</w:t>
      </w:r>
      <w:r w:rsidR="003C3056">
        <w:rPr>
          <w:rStyle w:val="FootnoteReference"/>
        </w:rPr>
        <w:footnoteReference w:id="6"/>
      </w:r>
      <w:r w:rsidR="003C3056">
        <w:rPr>
          <w:lang w:val="en-GB" w:eastAsia="en-GB"/>
        </w:rPr>
        <w:t xml:space="preserve">). </w:t>
      </w:r>
    </w:p>
    <w:p w:rsidR="000C5942" w:rsidRPr="006B4080" w:rsidRDefault="000C5942" w:rsidP="006B4080">
      <w:pPr>
        <w:pStyle w:val="Heading3"/>
      </w:pPr>
      <w:r>
        <w:t>Attitudinal characteristics of extramural students</w:t>
      </w:r>
    </w:p>
    <w:p w:rsidR="000C5942" w:rsidRDefault="000C5942" w:rsidP="008C7175">
      <w:pPr>
        <w:pStyle w:val="BodyText"/>
        <w:rPr>
          <w:lang w:val="en-GB" w:eastAsia="en-GB"/>
        </w:rPr>
      </w:pPr>
      <w:r>
        <w:rPr>
          <w:lang w:val="en-GB" w:eastAsia="en-GB"/>
        </w:rPr>
        <w:t>Students are also more likely to be successful in extramural study if they adopt certain behaviours, beliefs and attitudes. For example</w:t>
      </w:r>
      <w:r w:rsidR="00326093">
        <w:rPr>
          <w:lang w:val="en-GB" w:eastAsia="en-GB"/>
        </w:rPr>
        <w:t>,</w:t>
      </w:r>
      <w:r>
        <w:rPr>
          <w:lang w:val="en-GB" w:eastAsia="en-GB"/>
        </w:rPr>
        <w:t xml:space="preserve"> students’ level of engagement is associated with improvements in performance. Students’ expectations of how well they will do and an alignment between their study and career or wider aspirations also improve their engagement and increase the likelihood of their success (</w:t>
      </w:r>
      <w:r w:rsidRPr="00744103">
        <w:rPr>
          <w:lang w:val="en-GB" w:eastAsia="en-GB"/>
        </w:rPr>
        <w:t>Brown et al.,</w:t>
      </w:r>
      <w:r>
        <w:rPr>
          <w:lang w:val="en-GB" w:eastAsia="en-GB"/>
        </w:rPr>
        <w:t xml:space="preserve"> 2012</w:t>
      </w:r>
      <w:r>
        <w:rPr>
          <w:rStyle w:val="FootnoteReference"/>
          <w:lang w:val="en-GB" w:eastAsia="en-GB"/>
        </w:rPr>
        <w:footnoteReference w:id="7"/>
      </w:r>
      <w:r w:rsidR="00392B82">
        <w:rPr>
          <w:lang w:val="en-GB" w:eastAsia="en-GB"/>
        </w:rPr>
        <w:t>)</w:t>
      </w:r>
      <w:r>
        <w:rPr>
          <w:lang w:val="en-GB" w:eastAsia="en-GB"/>
        </w:rPr>
        <w:t>. Positive attitudes towards extramural study</w:t>
      </w:r>
      <w:r w:rsidR="00392B82">
        <w:rPr>
          <w:lang w:val="en-GB" w:eastAsia="en-GB"/>
        </w:rPr>
        <w:t>,</w:t>
      </w:r>
      <w:r>
        <w:rPr>
          <w:lang w:val="en-GB" w:eastAsia="en-GB"/>
        </w:rPr>
        <w:t xml:space="preserve"> and higher levels of self-efficacy</w:t>
      </w:r>
      <w:r>
        <w:rPr>
          <w:rStyle w:val="FootnoteReference"/>
          <w:lang w:val="en-GB" w:eastAsia="en-GB"/>
        </w:rPr>
        <w:footnoteReference w:id="8"/>
      </w:r>
      <w:r w:rsidR="00392B82">
        <w:rPr>
          <w:lang w:val="en-GB" w:eastAsia="en-GB"/>
        </w:rPr>
        <w:t>,</w:t>
      </w:r>
      <w:r>
        <w:rPr>
          <w:lang w:val="en-GB" w:eastAsia="en-GB"/>
        </w:rPr>
        <w:t xml:space="preserve"> can also influence student success (Schlosser</w:t>
      </w:r>
      <w:r w:rsidR="00CB053D">
        <w:rPr>
          <w:lang w:val="en-GB" w:eastAsia="en-GB"/>
        </w:rPr>
        <w:t>,</w:t>
      </w:r>
      <w:r>
        <w:rPr>
          <w:lang w:val="en-GB" w:eastAsia="en-GB"/>
        </w:rPr>
        <w:t xml:space="preserve"> C. A. and Anderson, 1994; Palloff and Pratt, 2003; Bay of Plenty Polytechnic </w:t>
      </w:r>
      <w:r w:rsidRPr="00744103">
        <w:rPr>
          <w:lang w:val="en-GB" w:eastAsia="en-GB"/>
        </w:rPr>
        <w:t>(BoPP</w:t>
      </w:r>
      <w:r>
        <w:rPr>
          <w:lang w:val="en-GB" w:eastAsia="en-GB"/>
        </w:rPr>
        <w:t>), 2012; Brown et al., 2012; Massey University, 2012; Nelson Marlborough Institute of Technology (</w:t>
      </w:r>
      <w:r w:rsidRPr="00744103">
        <w:rPr>
          <w:lang w:val="en-GB" w:eastAsia="en-GB"/>
        </w:rPr>
        <w:t>NMIT</w:t>
      </w:r>
      <w:r>
        <w:rPr>
          <w:lang w:val="en-GB" w:eastAsia="en-GB"/>
        </w:rPr>
        <w:t>), 2012</w:t>
      </w:r>
      <w:r w:rsidR="003C3056">
        <w:rPr>
          <w:rStyle w:val="FootnoteReference"/>
          <w:lang w:val="en-GB" w:eastAsia="en-GB"/>
        </w:rPr>
        <w:footnoteReference w:id="9"/>
      </w:r>
      <w:r w:rsidR="00392B82">
        <w:rPr>
          <w:lang w:val="en-GB" w:eastAsia="en-GB"/>
        </w:rPr>
        <w:t>)</w:t>
      </w:r>
      <w:r>
        <w:rPr>
          <w:lang w:val="en-GB" w:eastAsia="en-GB"/>
        </w:rPr>
        <w:t xml:space="preserve">. </w:t>
      </w:r>
    </w:p>
    <w:p w:rsidR="000C5942" w:rsidRDefault="000C5942" w:rsidP="008C7175">
      <w:pPr>
        <w:pStyle w:val="BodyText"/>
        <w:rPr>
          <w:lang w:val="en-GB" w:eastAsia="en-GB"/>
        </w:rPr>
      </w:pPr>
      <w:r>
        <w:rPr>
          <w:lang w:val="en-GB" w:eastAsia="en-GB"/>
        </w:rPr>
        <w:t xml:space="preserve">Evidence from the Australasian Survey of Student Engagement suggests that distance students are, on average, more focused on their career goals than on-campus students (Poskitt, </w:t>
      </w:r>
      <w:r w:rsidR="00392B82">
        <w:rPr>
          <w:lang w:val="en-GB" w:eastAsia="en-GB"/>
        </w:rPr>
        <w:t>et al.,</w:t>
      </w:r>
      <w:r>
        <w:rPr>
          <w:lang w:val="en-GB" w:eastAsia="en-GB"/>
        </w:rPr>
        <w:t xml:space="preserve"> 2011).</w:t>
      </w:r>
    </w:p>
    <w:p w:rsidR="000C5942" w:rsidRDefault="000C5942" w:rsidP="00A8010F">
      <w:pPr>
        <w:pStyle w:val="Heading3"/>
        <w:rPr>
          <w:lang w:val="en-GB" w:eastAsia="en-GB"/>
        </w:rPr>
      </w:pPr>
      <w:r>
        <w:rPr>
          <w:lang w:val="en-GB" w:eastAsia="en-GB"/>
        </w:rPr>
        <w:t>Demographic characteristics of extramural students</w:t>
      </w:r>
    </w:p>
    <w:p w:rsidR="00751743" w:rsidRDefault="000C5942" w:rsidP="008C7175">
      <w:pPr>
        <w:spacing w:after="240"/>
        <w:jc w:val="both"/>
        <w:rPr>
          <w:lang w:val="en-GB" w:eastAsia="en-GB"/>
        </w:rPr>
      </w:pPr>
      <w:r>
        <w:rPr>
          <w:lang w:val="en-GB" w:eastAsia="en-GB"/>
        </w:rPr>
        <w:t xml:space="preserve">The research literature suggests that extramural students are more likely to be female, older, Māori, a </w:t>
      </w:r>
      <w:r w:rsidRPr="00524987">
        <w:rPr>
          <w:lang w:val="en-GB" w:eastAsia="en-GB"/>
        </w:rPr>
        <w:t>caregiver</w:t>
      </w:r>
      <w:r w:rsidR="005D72AF" w:rsidRPr="00524987">
        <w:rPr>
          <w:lang w:val="en-GB" w:eastAsia="en-GB"/>
        </w:rPr>
        <w:t>,</w:t>
      </w:r>
      <w:r w:rsidRPr="00524987">
        <w:rPr>
          <w:lang w:val="en-GB" w:eastAsia="en-GB"/>
        </w:rPr>
        <w:t xml:space="preserve"> in</w:t>
      </w:r>
      <w:r>
        <w:rPr>
          <w:lang w:val="en-GB" w:eastAsia="en-GB"/>
        </w:rPr>
        <w:t xml:space="preserve"> paid employment</w:t>
      </w:r>
      <w:r w:rsidR="00BD5048">
        <w:rPr>
          <w:lang w:val="en-GB" w:eastAsia="en-GB"/>
        </w:rPr>
        <w:t xml:space="preserve">, </w:t>
      </w:r>
      <w:r>
        <w:rPr>
          <w:lang w:val="en-GB" w:eastAsia="en-GB"/>
        </w:rPr>
        <w:t>come from lower socio-economic backgrounds</w:t>
      </w:r>
      <w:r w:rsidR="00C85A85">
        <w:rPr>
          <w:lang w:val="en-GB" w:eastAsia="en-GB"/>
        </w:rPr>
        <w:t>, and study part-time</w:t>
      </w:r>
      <w:r>
        <w:rPr>
          <w:lang w:val="en-GB" w:eastAsia="en-GB"/>
        </w:rPr>
        <w:t xml:space="preserve"> (</w:t>
      </w:r>
      <w:r>
        <w:t>Brown et al., 2012</w:t>
      </w:r>
      <w:r>
        <w:rPr>
          <w:rStyle w:val="FootnoteReference"/>
        </w:rPr>
        <w:footnoteReference w:id="10"/>
      </w:r>
      <w:r w:rsidR="00392B82">
        <w:t>)</w:t>
      </w:r>
      <w:r>
        <w:rPr>
          <w:lang w:val="en-GB" w:eastAsia="en-GB"/>
        </w:rPr>
        <w:t xml:space="preserve">. </w:t>
      </w:r>
    </w:p>
    <w:p w:rsidR="000C5942" w:rsidRDefault="000C5942" w:rsidP="00055326">
      <w:pPr>
        <w:pStyle w:val="Heading2"/>
      </w:pPr>
      <w:bookmarkStart w:id="9" w:name="_Toc379545909"/>
      <w:r>
        <w:t>E-learning definition and data</w:t>
      </w:r>
      <w:bookmarkEnd w:id="9"/>
      <w:r>
        <w:t xml:space="preserve"> </w:t>
      </w:r>
    </w:p>
    <w:p w:rsidR="000C5942" w:rsidRDefault="000C5942" w:rsidP="008C7175">
      <w:pPr>
        <w:pStyle w:val="BodyText"/>
      </w:pPr>
      <w:r>
        <w:t>For the purposes of this report, e-learning is defined as: ‘learning that is enabled or supported with the use of ICT’</w:t>
      </w:r>
      <w:r>
        <w:rPr>
          <w:rStyle w:val="FootnoteReference"/>
        </w:rPr>
        <w:footnoteReference w:id="11"/>
      </w:r>
      <w:r>
        <w:t>. The e-learning data used in this report is also</w:t>
      </w:r>
      <w:r w:rsidR="005D72AF" w:rsidRPr="005D72AF">
        <w:t xml:space="preserve"> </w:t>
      </w:r>
      <w:r w:rsidR="005D72AF">
        <w:t>taken</w:t>
      </w:r>
      <w:r>
        <w:t xml:space="preserve"> from the SDR</w:t>
      </w:r>
      <w:r w:rsidR="009326E9">
        <w:t>,</w:t>
      </w:r>
      <w:r>
        <w:t xml:space="preserve"> which has a field (the </w:t>
      </w:r>
      <w:r w:rsidRPr="00524987">
        <w:t>Inter</w:t>
      </w:r>
      <w:r>
        <w:t>net field) that identifies whether a course uses e-learning. This variable is split into different delivery modes based on the course’s requirements for student access to the internet.</w:t>
      </w:r>
    </w:p>
    <w:p w:rsidR="000C5942" w:rsidRDefault="000C5942" w:rsidP="008C7175">
      <w:pPr>
        <w:pStyle w:val="BodyText"/>
      </w:pPr>
      <w:r>
        <w:t>The traditional delivery mode is referred to in the Internet field as No Access</w:t>
      </w:r>
      <w:r w:rsidR="005D72AF">
        <w:t>, but for the purposes of this report</w:t>
      </w:r>
      <w:r w:rsidR="001D4FA4">
        <w:t xml:space="preserve"> this</w:t>
      </w:r>
      <w:r w:rsidR="005D72AF">
        <w:t xml:space="preserve"> </w:t>
      </w:r>
      <w:r w:rsidR="007E4A97">
        <w:t>is</w:t>
      </w:r>
      <w:r w:rsidR="005D72AF">
        <w:t xml:space="preserve"> referred to as No ICT</w:t>
      </w:r>
      <w:r>
        <w:t xml:space="preserve">. The e-learning delivery modes in this field are referred to as Web-Supported, Web-Enhanced and Web-Based. </w:t>
      </w:r>
      <w:r w:rsidR="00273D58">
        <w:t>However, f</w:t>
      </w:r>
      <w:r w:rsidRPr="001015B6">
        <w:t xml:space="preserve">or the purposes of this report, </w:t>
      </w:r>
      <w:r>
        <w:t>these</w:t>
      </w:r>
      <w:r w:rsidRPr="001015B6">
        <w:t xml:space="preserve"> </w:t>
      </w:r>
      <w:r>
        <w:t>delivery modes</w:t>
      </w:r>
      <w:r w:rsidRPr="001015B6">
        <w:t xml:space="preserve"> </w:t>
      </w:r>
      <w:r>
        <w:t>a</w:t>
      </w:r>
      <w:r w:rsidRPr="001015B6">
        <w:t xml:space="preserve">re combined to form a single </w:t>
      </w:r>
      <w:r>
        <w:t>delivery mode</w:t>
      </w:r>
      <w:r w:rsidRPr="001015B6">
        <w:t xml:space="preserve"> – </w:t>
      </w:r>
      <w:r>
        <w:t xml:space="preserve">referred to as </w:t>
      </w:r>
      <w:r w:rsidRPr="00965497">
        <w:t>e-learning</w:t>
      </w:r>
      <w:r w:rsidRPr="001015B6">
        <w:t>.</w:t>
      </w:r>
      <w:r>
        <w:t xml:space="preserve"> </w:t>
      </w:r>
    </w:p>
    <w:p w:rsidR="000C5942" w:rsidRDefault="000C5942" w:rsidP="008C7175">
      <w:pPr>
        <w:pStyle w:val="BodyText"/>
      </w:pPr>
      <w:r>
        <w:t>This was done because t</w:t>
      </w:r>
      <w:r w:rsidRPr="001015B6">
        <w:t xml:space="preserve">here may be differences between and within </w:t>
      </w:r>
      <w:r w:rsidR="00B27B0C">
        <w:t>providers</w:t>
      </w:r>
      <w:r w:rsidRPr="001015B6">
        <w:t xml:space="preserve"> in their interpretation of the different </w:t>
      </w:r>
      <w:r>
        <w:t>e-learning delivery mode</w:t>
      </w:r>
      <w:r w:rsidRPr="001015B6">
        <w:t xml:space="preserve">s and how </w:t>
      </w:r>
      <w:r>
        <w:t>courses are</w:t>
      </w:r>
      <w:r w:rsidRPr="001015B6">
        <w:t xml:space="preserve"> mapped to </w:t>
      </w:r>
      <w:r>
        <w:t xml:space="preserve">them (Ministry of Education and Tertiary Education Commission, 2010). For example, it is difficult for many institutions to establish clear boundaries between the Web-Supported and             Web-Enhanced delivery modes. This difficulty means that the data related to the e-learning delivery modes in the report must be treated with some caution. </w:t>
      </w:r>
    </w:p>
    <w:p w:rsidR="000C5942" w:rsidRDefault="000C5942" w:rsidP="00D00D1A">
      <w:pPr>
        <w:pStyle w:val="Heading1"/>
      </w:pPr>
      <w:r>
        <w:br w:type="page"/>
      </w:r>
      <w:bookmarkStart w:id="10" w:name="_Toc379545910"/>
      <w:r w:rsidR="00980293">
        <w:lastRenderedPageBreak/>
        <w:t>E</w:t>
      </w:r>
      <w:r w:rsidR="002C432E">
        <w:t>xtramural</w:t>
      </w:r>
      <w:r w:rsidR="002C432E" w:rsidRPr="002C432E">
        <w:t xml:space="preserve"> </w:t>
      </w:r>
      <w:r w:rsidR="002C432E">
        <w:t xml:space="preserve">and </w:t>
      </w:r>
      <w:r>
        <w:t>Intramural provision</w:t>
      </w:r>
      <w:r w:rsidR="002C432E" w:rsidRPr="002C432E">
        <w:t xml:space="preserve"> </w:t>
      </w:r>
      <w:r w:rsidR="002C432E">
        <w:t>and</w:t>
      </w:r>
      <w:r>
        <w:t xml:space="preserve"> achievement by mode of delivery</w:t>
      </w:r>
      <w:bookmarkEnd w:id="10"/>
    </w:p>
    <w:p w:rsidR="00751743" w:rsidRDefault="00C20D6E" w:rsidP="00B20733">
      <w:pPr>
        <w:spacing w:after="240"/>
        <w:jc w:val="both"/>
      </w:pPr>
      <w:r>
        <w:t>In t</w:t>
      </w:r>
      <w:r w:rsidR="000C5942">
        <w:t>his chapter</w:t>
      </w:r>
      <w:r w:rsidR="00144486">
        <w:t>,</w:t>
      </w:r>
      <w:r w:rsidR="000C5942">
        <w:t xml:space="preserve"> </w:t>
      </w:r>
      <w:r>
        <w:t xml:space="preserve">we </w:t>
      </w:r>
      <w:r w:rsidR="000C5942">
        <w:t xml:space="preserve">compare provision of and achievement in </w:t>
      </w:r>
      <w:r w:rsidR="002C432E">
        <w:t>extramural</w:t>
      </w:r>
      <w:r w:rsidR="002C432E" w:rsidRPr="002C432E">
        <w:t xml:space="preserve"> </w:t>
      </w:r>
      <w:r w:rsidR="002C432E">
        <w:t xml:space="preserve">and </w:t>
      </w:r>
      <w:r w:rsidR="00BD5048">
        <w:t xml:space="preserve">intramural </w:t>
      </w:r>
      <w:r w:rsidR="000C5942">
        <w:t>courses</w:t>
      </w:r>
      <w:r w:rsidR="002C432E">
        <w:t xml:space="preserve"> at the system level</w:t>
      </w:r>
      <w:r w:rsidR="000C5942">
        <w:t xml:space="preserve">. </w:t>
      </w:r>
    </w:p>
    <w:p w:rsidR="000C5942" w:rsidRDefault="000C5942" w:rsidP="00347A84">
      <w:pPr>
        <w:pStyle w:val="Caption"/>
      </w:pPr>
      <w:r>
        <w:t xml:space="preserve">Figure </w:t>
      </w:r>
      <w:fldSimple w:instr=" SEQ Figure \* ARABIC ">
        <w:r w:rsidR="00B215B1">
          <w:rPr>
            <w:noProof/>
          </w:rPr>
          <w:t>1</w:t>
        </w:r>
      </w:fldSimple>
    </w:p>
    <w:p w:rsidR="000C5942" w:rsidRDefault="000C5942" w:rsidP="00347A84">
      <w:pPr>
        <w:pStyle w:val="Figurelabel"/>
      </w:pPr>
      <w:bookmarkStart w:id="11" w:name="_Toc379545994"/>
      <w:r>
        <w:t>Proportion of the total course EFTS in</w:t>
      </w:r>
      <w:r w:rsidR="00E5729D" w:rsidRPr="00E5729D">
        <w:t xml:space="preserve"> </w:t>
      </w:r>
      <w:r w:rsidR="00E5729D" w:rsidRPr="00786A5D">
        <w:t>extramural and i</w:t>
      </w:r>
      <w:r w:rsidRPr="00786A5D">
        <w:t>ntramural</w:t>
      </w:r>
      <w:r>
        <w:t xml:space="preserve"> courses</w:t>
      </w:r>
      <w:bookmarkEnd w:id="11"/>
    </w:p>
    <w:p w:rsidR="000C5942" w:rsidRDefault="00A35EFC" w:rsidP="00347A84">
      <w:pPr>
        <w:pStyle w:val="BodyText"/>
        <w:rPr>
          <w:noProof/>
          <w:lang w:eastAsia="en-NZ"/>
        </w:rPr>
      </w:pPr>
      <w:r w:rsidRPr="00A35EFC">
        <w:rPr>
          <w:noProof/>
          <w:lang w:eastAsia="en-NZ"/>
        </w:rPr>
        <w:drawing>
          <wp:inline distT="0" distB="0" distL="0" distR="0">
            <wp:extent cx="4572000" cy="2743200"/>
            <wp:effectExtent l="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51743" w:rsidRDefault="000C5942" w:rsidP="007A0229">
      <w:pPr>
        <w:spacing w:after="240"/>
        <w:jc w:val="both"/>
      </w:pPr>
      <w:r>
        <w:t xml:space="preserve">Extramural courses were a minority of </w:t>
      </w:r>
      <w:r w:rsidRPr="007C36C2">
        <w:t>system-level</w:t>
      </w:r>
      <w:r>
        <w:t xml:space="preserve"> provision in 2005 and 2011. There was no significant difference between 2005 and 2011 in the proportion of EFTS </w:t>
      </w:r>
      <w:r w:rsidR="0051171A">
        <w:t>being offered</w:t>
      </w:r>
      <w:r>
        <w:t xml:space="preserve"> extramurally. </w:t>
      </w:r>
    </w:p>
    <w:p w:rsidR="000C5942" w:rsidRDefault="000C5942" w:rsidP="00347A84">
      <w:pPr>
        <w:pStyle w:val="Caption"/>
      </w:pPr>
      <w:r>
        <w:t xml:space="preserve">Figure </w:t>
      </w:r>
      <w:fldSimple w:instr=" SEQ Figure \* ARABIC ">
        <w:r w:rsidR="00B215B1">
          <w:rPr>
            <w:noProof/>
          </w:rPr>
          <w:t>2</w:t>
        </w:r>
      </w:fldSimple>
    </w:p>
    <w:p w:rsidR="000C5942" w:rsidRDefault="000C5942" w:rsidP="00347A84">
      <w:pPr>
        <w:pStyle w:val="Figurelabel"/>
      </w:pPr>
      <w:bookmarkStart w:id="12" w:name="_Toc379545995"/>
      <w:r>
        <w:t>Proportion of the total</w:t>
      </w:r>
      <w:r w:rsidR="00E5729D" w:rsidRPr="00E5729D">
        <w:t xml:space="preserve"> </w:t>
      </w:r>
      <w:r w:rsidR="00E5729D">
        <w:t>extramural</w:t>
      </w:r>
      <w:r w:rsidR="00E5729D" w:rsidRPr="00E5729D">
        <w:t xml:space="preserve"> </w:t>
      </w:r>
      <w:r w:rsidR="00E5729D">
        <w:t>and</w:t>
      </w:r>
      <w:r>
        <w:t xml:space="preserve"> intramural course EFTS in the e-learning delivery mode</w:t>
      </w:r>
      <w:bookmarkEnd w:id="12"/>
    </w:p>
    <w:p w:rsidR="000C5942" w:rsidRDefault="00A35EFC" w:rsidP="00363A7A">
      <w:pPr>
        <w:pStyle w:val="BodyText"/>
        <w:rPr>
          <w:noProof/>
          <w:lang w:eastAsia="en-NZ"/>
        </w:rPr>
      </w:pPr>
      <w:r w:rsidRPr="00A35EFC">
        <w:rPr>
          <w:noProof/>
          <w:lang w:eastAsia="en-NZ"/>
        </w:rPr>
        <w:drawing>
          <wp:inline distT="0" distB="0" distL="0" distR="0">
            <wp:extent cx="4572000" cy="274320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5942" w:rsidRDefault="00DE185D" w:rsidP="00B20733">
      <w:pPr>
        <w:pStyle w:val="BodyText"/>
      </w:pPr>
      <w:r>
        <w:t>In intramural provision t</w:t>
      </w:r>
      <w:r w:rsidR="000C5942">
        <w:t>here was a shift over time from courses</w:t>
      </w:r>
      <w:r w:rsidR="00972942">
        <w:t xml:space="preserve"> delivered by traditional methods</w:t>
      </w:r>
      <w:r w:rsidR="000C5942">
        <w:t xml:space="preserve"> to</w:t>
      </w:r>
      <w:r>
        <w:t xml:space="preserve"> courses </w:t>
      </w:r>
      <w:r w:rsidR="00972942">
        <w:t>delivered by</w:t>
      </w:r>
      <w:r w:rsidR="000C5942">
        <w:t xml:space="preserve"> e-learning. There was no change over that time in the </w:t>
      </w:r>
      <w:r w:rsidR="000C5942">
        <w:lastRenderedPageBreak/>
        <w:t>proportion of EFTS in extramural</w:t>
      </w:r>
      <w:r w:rsidR="00972942">
        <w:t xml:space="preserve"> </w:t>
      </w:r>
      <w:r w:rsidR="000C5942">
        <w:t>e-learning, with more than half</w:t>
      </w:r>
      <w:r w:rsidR="00445CA2">
        <w:t xml:space="preserve"> of</w:t>
      </w:r>
      <w:r w:rsidR="000C5942">
        <w:t xml:space="preserve"> extramural provision </w:t>
      </w:r>
      <w:r w:rsidR="00F236B6">
        <w:t>delivered</w:t>
      </w:r>
      <w:r w:rsidR="000C5942">
        <w:t xml:space="preserve"> by e-learning. </w:t>
      </w:r>
    </w:p>
    <w:p w:rsidR="000C5942" w:rsidRDefault="000C5942" w:rsidP="00A45BED">
      <w:pPr>
        <w:pStyle w:val="BodyText"/>
      </w:pPr>
      <w:r>
        <w:t xml:space="preserve">This increase in the proportion of intramural </w:t>
      </w:r>
      <w:r w:rsidR="00DE185D">
        <w:t xml:space="preserve">provision delivered by </w:t>
      </w:r>
      <w:r>
        <w:t>e-learning</w:t>
      </w:r>
      <w:r w:rsidR="00DE185D">
        <w:t xml:space="preserve"> </w:t>
      </w:r>
      <w:r>
        <w:t>continues the trend seen in our earlier report on participation</w:t>
      </w:r>
      <w:r w:rsidR="003D4147">
        <w:t xml:space="preserve"> in e</w:t>
      </w:r>
      <w:r>
        <w:t>-learning (Guiney, 2011). Institutions may be shifting more of their provision to e-learning to accommodate changing learner expectations</w:t>
      </w:r>
      <w:r w:rsidRPr="007C36C2">
        <w:t>, for its potential</w:t>
      </w:r>
      <w:r>
        <w:t xml:space="preserve"> to reduce costs or for pedagogical reasons (Garrison, 2000; The Open Polytechnic of New Zealand, 2012; Bowen, Chingos, Lack</w:t>
      </w:r>
      <w:r w:rsidR="00F236B6">
        <w:t>,</w:t>
      </w:r>
      <w:r>
        <w:t xml:space="preserve"> and Nygren, 2013; Guiney, 2013</w:t>
      </w:r>
      <w:r w:rsidR="00A35EFC">
        <w:t>b</w:t>
      </w:r>
      <w:r>
        <w:t xml:space="preserve">). The extent of the move may be increased by shifts in provision from </w:t>
      </w:r>
      <w:r w:rsidRPr="007C36C2">
        <w:t>lower</w:t>
      </w:r>
      <w:r w:rsidR="007C36C2">
        <w:t>-</w:t>
      </w:r>
      <w:r w:rsidRPr="007C36C2">
        <w:t>level</w:t>
      </w:r>
      <w:r>
        <w:t xml:space="preserve"> courses (which tend to have less e-learning) to higher</w:t>
      </w:r>
      <w:r w:rsidR="007C36C2">
        <w:t>-</w:t>
      </w:r>
      <w:r>
        <w:t>level</w:t>
      </w:r>
      <w:r w:rsidR="005D09C8">
        <w:t xml:space="preserve"> course</w:t>
      </w:r>
      <w:r>
        <w:t>s (</w:t>
      </w:r>
      <w:r w:rsidR="00F236B6">
        <w:t>which typically have</w:t>
      </w:r>
      <w:r>
        <w:t xml:space="preserve"> more e-learning) (Guiney, 2011).</w:t>
      </w:r>
    </w:p>
    <w:p w:rsidR="00B22D34" w:rsidRDefault="00B22D34" w:rsidP="00B22D34">
      <w:pPr>
        <w:pStyle w:val="Caption"/>
      </w:pPr>
      <w:r>
        <w:t>Figure 3</w:t>
      </w:r>
    </w:p>
    <w:p w:rsidR="00B22D34" w:rsidRDefault="00B22D34" w:rsidP="00B22D34">
      <w:pPr>
        <w:pStyle w:val="Figurelabel"/>
      </w:pPr>
      <w:bookmarkStart w:id="13" w:name="_Toc359229054"/>
      <w:bookmarkStart w:id="14" w:name="_Toc379545996"/>
      <w:r w:rsidRPr="00EA3C25">
        <w:t>System</w:t>
      </w:r>
      <w:r w:rsidR="00E2796F">
        <w:t>-</w:t>
      </w:r>
      <w:r w:rsidRPr="00EA3C25">
        <w:t>level</w:t>
      </w:r>
      <w:r w:rsidR="00E5729D" w:rsidRPr="00E5729D">
        <w:t xml:space="preserve"> </w:t>
      </w:r>
      <w:r w:rsidR="00E5729D">
        <w:t>extramural</w:t>
      </w:r>
      <w:r>
        <w:t xml:space="preserve"> </w:t>
      </w:r>
      <w:r w:rsidR="00E5729D">
        <w:t xml:space="preserve">and </w:t>
      </w:r>
      <w:r>
        <w:t>intramural course completion rates</w:t>
      </w:r>
      <w:r w:rsidR="0008165F">
        <w:t xml:space="preserve"> 2004-2011</w:t>
      </w:r>
      <w:r>
        <w:t xml:space="preserve"> </w:t>
      </w:r>
      <w:r w:rsidR="002432EB">
        <w:t>in</w:t>
      </w:r>
      <w:r>
        <w:t xml:space="preserve"> the No ICT and e-learning delivery modes</w:t>
      </w:r>
      <w:bookmarkEnd w:id="13"/>
      <w:bookmarkEnd w:id="14"/>
    </w:p>
    <w:p w:rsidR="000C5942" w:rsidRDefault="00B33EB2" w:rsidP="00B22D34">
      <w:pPr>
        <w:pStyle w:val="BodyText"/>
        <w:rPr>
          <w:noProof/>
          <w:lang w:eastAsia="en-NZ"/>
        </w:rPr>
      </w:pPr>
      <w:r>
        <w:rPr>
          <w:noProof/>
          <w:lang w:eastAsia="en-NZ"/>
        </w:rPr>
        <w:drawing>
          <wp:inline distT="0" distB="0" distL="0" distR="0">
            <wp:extent cx="4572000" cy="2743200"/>
            <wp:effectExtent l="0" t="0" r="0" b="0"/>
            <wp:docPr id="30"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5942" w:rsidRDefault="000C5942" w:rsidP="007060DF">
      <w:pPr>
        <w:pStyle w:val="Note"/>
      </w:pPr>
      <w:r>
        <w:t>Notes:</w:t>
      </w:r>
    </w:p>
    <w:p w:rsidR="000C5942" w:rsidRDefault="000C5942" w:rsidP="0097325D">
      <w:pPr>
        <w:pStyle w:val="Note"/>
        <w:numPr>
          <w:ilvl w:val="0"/>
          <w:numId w:val="18"/>
        </w:numPr>
        <w:spacing w:before="0" w:after="0"/>
      </w:pPr>
      <w:r>
        <w:t>The completion rates are adjusted for the level of courses.</w:t>
      </w:r>
    </w:p>
    <w:p w:rsidR="000C5942" w:rsidRDefault="000C5942" w:rsidP="0097325D">
      <w:pPr>
        <w:pStyle w:val="Note"/>
        <w:numPr>
          <w:ilvl w:val="0"/>
          <w:numId w:val="18"/>
        </w:numPr>
        <w:spacing w:before="0" w:after="0"/>
      </w:pPr>
      <w:r>
        <w:t>Completion rates are EFTS-weighted.</w:t>
      </w:r>
    </w:p>
    <w:p w:rsidR="000C5942" w:rsidRPr="00F3618F" w:rsidRDefault="000C5942" w:rsidP="0097325D">
      <w:pPr>
        <w:pStyle w:val="Note"/>
        <w:numPr>
          <w:ilvl w:val="0"/>
          <w:numId w:val="18"/>
        </w:numPr>
        <w:spacing w:before="0"/>
      </w:pPr>
      <w:r>
        <w:t xml:space="preserve">The completion rates in this graph are the aggregate over the eight years </w:t>
      </w:r>
      <w:r w:rsidRPr="00D12A2B">
        <w:t>2004-2011</w:t>
      </w:r>
      <w:r>
        <w:t>.</w:t>
      </w:r>
    </w:p>
    <w:p w:rsidR="000C5942" w:rsidRDefault="000C5942" w:rsidP="00A45BED">
      <w:pPr>
        <w:pStyle w:val="BodyText"/>
        <w:rPr>
          <w:noProof/>
          <w:lang w:eastAsia="en-NZ"/>
        </w:rPr>
      </w:pPr>
      <w:r>
        <w:rPr>
          <w:noProof/>
          <w:lang w:eastAsia="en-NZ"/>
        </w:rPr>
        <w:t xml:space="preserve">Intramural courses had higher completion rates than extramural courses, regardless of delivery mode. Intramural e-learning courses had marginally higher completion rates than </w:t>
      </w:r>
      <w:r w:rsidR="00DE185D">
        <w:rPr>
          <w:noProof/>
          <w:lang w:eastAsia="en-NZ"/>
        </w:rPr>
        <w:t xml:space="preserve">traditional delivery </w:t>
      </w:r>
      <w:r w:rsidR="0008165F">
        <w:rPr>
          <w:noProof/>
          <w:lang w:eastAsia="en-NZ"/>
        </w:rPr>
        <w:t xml:space="preserve">intramural </w:t>
      </w:r>
      <w:r w:rsidR="00DE185D">
        <w:rPr>
          <w:noProof/>
          <w:lang w:eastAsia="en-NZ"/>
        </w:rPr>
        <w:t>courses</w:t>
      </w:r>
      <w:r w:rsidR="001940C2">
        <w:rPr>
          <w:noProof/>
          <w:lang w:eastAsia="en-NZ"/>
        </w:rPr>
        <w:t>;</w:t>
      </w:r>
      <w:r>
        <w:rPr>
          <w:noProof/>
          <w:lang w:eastAsia="en-NZ"/>
        </w:rPr>
        <w:t xml:space="preserve"> </w:t>
      </w:r>
      <w:r w:rsidR="001940C2">
        <w:rPr>
          <w:noProof/>
          <w:lang w:eastAsia="en-NZ"/>
        </w:rPr>
        <w:t>b</w:t>
      </w:r>
      <w:r w:rsidR="00A45BED">
        <w:rPr>
          <w:noProof/>
          <w:lang w:eastAsia="en-NZ"/>
        </w:rPr>
        <w:t>ut a</w:t>
      </w:r>
      <w:r>
        <w:rPr>
          <w:noProof/>
          <w:lang w:eastAsia="en-NZ"/>
        </w:rPr>
        <w:t xml:space="preserve">mong extramural courses, those that </w:t>
      </w:r>
      <w:r w:rsidR="00972942">
        <w:rPr>
          <w:noProof/>
          <w:lang w:eastAsia="en-NZ"/>
        </w:rPr>
        <w:t>were delivered using traditional methods</w:t>
      </w:r>
      <w:r>
        <w:rPr>
          <w:noProof/>
          <w:lang w:eastAsia="en-NZ"/>
        </w:rPr>
        <w:t xml:space="preserve"> had higher completion rates than those delivered </w:t>
      </w:r>
      <w:r w:rsidR="00970325">
        <w:rPr>
          <w:noProof/>
          <w:lang w:eastAsia="en-NZ"/>
        </w:rPr>
        <w:t>by</w:t>
      </w:r>
      <w:r>
        <w:rPr>
          <w:noProof/>
          <w:lang w:eastAsia="en-NZ"/>
        </w:rPr>
        <w:t xml:space="preserve"> e-learning. </w:t>
      </w:r>
    </w:p>
    <w:p w:rsidR="000C5942" w:rsidRDefault="00A021DF" w:rsidP="00A45BED">
      <w:pPr>
        <w:pStyle w:val="BodyText"/>
        <w:rPr>
          <w:noProof/>
          <w:lang w:eastAsia="en-NZ"/>
        </w:rPr>
      </w:pPr>
      <w:r>
        <w:t>The h</w:t>
      </w:r>
      <w:r w:rsidR="000C5942">
        <w:rPr>
          <w:noProof/>
          <w:lang w:eastAsia="en-NZ"/>
        </w:rPr>
        <w:t xml:space="preserve">igher completion rates for extramural </w:t>
      </w:r>
      <w:r w:rsidR="00972942">
        <w:rPr>
          <w:noProof/>
          <w:lang w:eastAsia="en-NZ"/>
        </w:rPr>
        <w:t xml:space="preserve">traditional delivery </w:t>
      </w:r>
      <w:r w:rsidR="000C5942">
        <w:rPr>
          <w:noProof/>
          <w:lang w:eastAsia="en-NZ"/>
        </w:rPr>
        <w:t xml:space="preserve">courses could be because </w:t>
      </w:r>
      <w:r>
        <w:rPr>
          <w:noProof/>
          <w:lang w:eastAsia="en-NZ"/>
        </w:rPr>
        <w:t>many of these courses have been offered for some years</w:t>
      </w:r>
      <w:r w:rsidR="000C5942">
        <w:t>.</w:t>
      </w:r>
      <w:r w:rsidR="000C5942">
        <w:rPr>
          <w:noProof/>
          <w:lang w:eastAsia="en-NZ"/>
        </w:rPr>
        <w:t xml:space="preserve"> Course design is critical to</w:t>
      </w:r>
      <w:r w:rsidR="00A45BED">
        <w:rPr>
          <w:noProof/>
          <w:lang w:eastAsia="en-NZ"/>
        </w:rPr>
        <w:t xml:space="preserve"> </w:t>
      </w:r>
      <w:r w:rsidR="00972942">
        <w:rPr>
          <w:noProof/>
          <w:lang w:eastAsia="en-NZ"/>
        </w:rPr>
        <w:t>student</w:t>
      </w:r>
      <w:r w:rsidR="000C5942">
        <w:rPr>
          <w:noProof/>
          <w:lang w:eastAsia="en-NZ"/>
        </w:rPr>
        <w:t xml:space="preserve"> success</w:t>
      </w:r>
      <w:r w:rsidR="00972942">
        <w:rPr>
          <w:noProof/>
          <w:lang w:eastAsia="en-NZ"/>
        </w:rPr>
        <w:t xml:space="preserve"> in e-learning </w:t>
      </w:r>
      <w:r w:rsidR="000C5942">
        <w:rPr>
          <w:noProof/>
          <w:lang w:eastAsia="en-NZ"/>
        </w:rPr>
        <w:t xml:space="preserve">(Garrison, 2000; Palloff and Pratt, 2003; </w:t>
      </w:r>
      <w:r w:rsidR="000C5942" w:rsidRPr="007C36C2">
        <w:t>Schlosser, L</w:t>
      </w:r>
      <w:r w:rsidR="000C5942">
        <w:t>. A. and Simonson,</w:t>
      </w:r>
      <w:r w:rsidR="00A35EFC">
        <w:t xml:space="preserve"> 2010</w:t>
      </w:r>
      <w:r w:rsidR="000C5942">
        <w:t>)</w:t>
      </w:r>
      <w:r w:rsidR="000C5942">
        <w:rPr>
          <w:noProof/>
          <w:lang w:eastAsia="en-NZ"/>
        </w:rPr>
        <w:t xml:space="preserve">. It is possible that the limitations associated with extramural </w:t>
      </w:r>
      <w:r w:rsidR="00A45BED">
        <w:rPr>
          <w:noProof/>
          <w:lang w:eastAsia="en-NZ"/>
        </w:rPr>
        <w:t>traditional delivery</w:t>
      </w:r>
      <w:r w:rsidR="000C5942">
        <w:rPr>
          <w:noProof/>
          <w:lang w:eastAsia="en-NZ"/>
        </w:rPr>
        <w:t xml:space="preserve"> courses (particularly their lack of interaction) have been compensated for by good course design </w:t>
      </w:r>
      <w:r w:rsidR="0008165F">
        <w:rPr>
          <w:noProof/>
          <w:lang w:eastAsia="en-NZ"/>
        </w:rPr>
        <w:t>developed over many years</w:t>
      </w:r>
      <w:r w:rsidR="000C5942">
        <w:rPr>
          <w:noProof/>
          <w:lang w:eastAsia="en-NZ"/>
        </w:rPr>
        <w:t xml:space="preserve">. </w:t>
      </w:r>
    </w:p>
    <w:p w:rsidR="00A45BED" w:rsidRDefault="000C5942" w:rsidP="00A45BED">
      <w:pPr>
        <w:pStyle w:val="BodyText"/>
        <w:rPr>
          <w:noProof/>
          <w:lang w:eastAsia="en-NZ"/>
        </w:rPr>
      </w:pPr>
      <w:r>
        <w:t>R</w:t>
      </w:r>
      <w:r>
        <w:rPr>
          <w:noProof/>
          <w:lang w:eastAsia="en-NZ"/>
        </w:rPr>
        <w:t xml:space="preserve">esearch shows that </w:t>
      </w:r>
      <w:r w:rsidR="00972942">
        <w:rPr>
          <w:noProof/>
          <w:lang w:eastAsia="en-NZ"/>
        </w:rPr>
        <w:t xml:space="preserve">learners in </w:t>
      </w:r>
      <w:r>
        <w:rPr>
          <w:noProof/>
          <w:lang w:eastAsia="en-NZ"/>
        </w:rPr>
        <w:t xml:space="preserve">extramural </w:t>
      </w:r>
      <w:r w:rsidR="00972942">
        <w:rPr>
          <w:noProof/>
          <w:lang w:eastAsia="en-NZ"/>
        </w:rPr>
        <w:t>e-learning courses</w:t>
      </w:r>
      <w:r>
        <w:rPr>
          <w:noProof/>
          <w:lang w:eastAsia="en-NZ"/>
        </w:rPr>
        <w:t xml:space="preserve"> face </w:t>
      </w:r>
      <w:r w:rsidR="005224AD">
        <w:rPr>
          <w:noProof/>
          <w:lang w:eastAsia="en-NZ"/>
        </w:rPr>
        <w:t>several</w:t>
      </w:r>
      <w:r>
        <w:rPr>
          <w:noProof/>
          <w:lang w:eastAsia="en-NZ"/>
        </w:rPr>
        <w:t xml:space="preserve"> challenges </w:t>
      </w:r>
      <w:r w:rsidR="00A021DF">
        <w:rPr>
          <w:noProof/>
          <w:lang w:eastAsia="en-NZ"/>
        </w:rPr>
        <w:t>over and above</w:t>
      </w:r>
      <w:r>
        <w:rPr>
          <w:noProof/>
          <w:lang w:eastAsia="en-NZ"/>
        </w:rPr>
        <w:t xml:space="preserve"> those faced by their </w:t>
      </w:r>
      <w:r w:rsidR="00A45BED">
        <w:rPr>
          <w:noProof/>
          <w:lang w:eastAsia="en-NZ"/>
        </w:rPr>
        <w:t>traditional delivery</w:t>
      </w:r>
      <w:r>
        <w:rPr>
          <w:noProof/>
          <w:lang w:eastAsia="en-NZ"/>
        </w:rPr>
        <w:t xml:space="preserve"> peers</w:t>
      </w:r>
      <w:r w:rsidR="005D7BC5">
        <w:rPr>
          <w:noProof/>
          <w:lang w:eastAsia="en-NZ"/>
        </w:rPr>
        <w:t>,</w:t>
      </w:r>
      <w:r>
        <w:rPr>
          <w:noProof/>
          <w:lang w:eastAsia="en-NZ"/>
        </w:rPr>
        <w:t xml:space="preserve"> including </w:t>
      </w:r>
      <w:r w:rsidR="00A021DF">
        <w:rPr>
          <w:noProof/>
          <w:lang w:eastAsia="en-NZ"/>
        </w:rPr>
        <w:t>the need to</w:t>
      </w:r>
      <w:r>
        <w:rPr>
          <w:noProof/>
          <w:lang w:eastAsia="en-NZ"/>
        </w:rPr>
        <w:t xml:space="preserve"> access and use the course technologies</w:t>
      </w:r>
      <w:r w:rsidR="00A021DF">
        <w:rPr>
          <w:noProof/>
          <w:lang w:eastAsia="en-NZ"/>
        </w:rPr>
        <w:t xml:space="preserve"> effectively</w:t>
      </w:r>
      <w:r>
        <w:rPr>
          <w:noProof/>
          <w:lang w:eastAsia="en-NZ"/>
        </w:rPr>
        <w:t xml:space="preserve">. </w:t>
      </w:r>
      <w:r w:rsidR="00972942">
        <w:rPr>
          <w:noProof/>
          <w:lang w:eastAsia="en-NZ"/>
        </w:rPr>
        <w:t xml:space="preserve">Learners experienced in e-learning </w:t>
      </w:r>
      <w:r>
        <w:rPr>
          <w:noProof/>
          <w:lang w:eastAsia="en-NZ"/>
        </w:rPr>
        <w:t xml:space="preserve">tend to do better than their less experienced </w:t>
      </w:r>
      <w:r w:rsidRPr="0051782A">
        <w:rPr>
          <w:noProof/>
          <w:lang w:eastAsia="en-NZ"/>
        </w:rPr>
        <w:t>peers because</w:t>
      </w:r>
      <w:r>
        <w:rPr>
          <w:noProof/>
          <w:lang w:eastAsia="en-NZ"/>
        </w:rPr>
        <w:t xml:space="preserve"> </w:t>
      </w:r>
      <w:r w:rsidR="00A021DF">
        <w:rPr>
          <w:noProof/>
          <w:lang w:eastAsia="en-NZ"/>
        </w:rPr>
        <w:t>they are more likely to have mastered</w:t>
      </w:r>
      <w:r>
        <w:rPr>
          <w:noProof/>
          <w:lang w:eastAsia="en-NZ"/>
        </w:rPr>
        <w:t xml:space="preserve"> the </w:t>
      </w:r>
      <w:r w:rsidR="000B6829">
        <w:rPr>
          <w:noProof/>
          <w:lang w:eastAsia="en-NZ"/>
        </w:rPr>
        <w:t xml:space="preserve">necessary </w:t>
      </w:r>
      <w:r>
        <w:rPr>
          <w:noProof/>
          <w:lang w:eastAsia="en-NZ"/>
        </w:rPr>
        <w:t>skills and capabilities</w:t>
      </w:r>
      <w:r w:rsidR="000B6829">
        <w:rPr>
          <w:noProof/>
          <w:lang w:eastAsia="en-NZ"/>
        </w:rPr>
        <w:t xml:space="preserve">. </w:t>
      </w:r>
      <w:r>
        <w:rPr>
          <w:noProof/>
          <w:lang w:eastAsia="en-NZ"/>
        </w:rPr>
        <w:t xml:space="preserve">Less experienced </w:t>
      </w:r>
      <w:r w:rsidR="006179BC">
        <w:rPr>
          <w:noProof/>
          <w:lang w:eastAsia="en-NZ"/>
        </w:rPr>
        <w:t>students</w:t>
      </w:r>
      <w:r>
        <w:rPr>
          <w:noProof/>
          <w:lang w:eastAsia="en-NZ"/>
        </w:rPr>
        <w:t xml:space="preserve"> can also struggle with the new forms of interaction as </w:t>
      </w:r>
      <w:r>
        <w:rPr>
          <w:noProof/>
          <w:lang w:eastAsia="en-NZ"/>
        </w:rPr>
        <w:lastRenderedPageBreak/>
        <w:t xml:space="preserve">well as the differing expectations of them in an e-learning environment. </w:t>
      </w:r>
      <w:r w:rsidR="000B6829">
        <w:rPr>
          <w:noProof/>
          <w:lang w:eastAsia="en-NZ"/>
        </w:rPr>
        <w:t>S</w:t>
      </w:r>
      <w:r>
        <w:rPr>
          <w:noProof/>
          <w:lang w:eastAsia="en-NZ"/>
        </w:rPr>
        <w:t xml:space="preserve">tudents who </w:t>
      </w:r>
      <w:r w:rsidR="00C038CE">
        <w:rPr>
          <w:noProof/>
          <w:lang w:eastAsia="en-NZ"/>
        </w:rPr>
        <w:t>do not have</w:t>
      </w:r>
      <w:r>
        <w:rPr>
          <w:noProof/>
          <w:lang w:eastAsia="en-NZ"/>
        </w:rPr>
        <w:t xml:space="preserve"> access </w:t>
      </w:r>
      <w:r w:rsidR="00392B82">
        <w:rPr>
          <w:noProof/>
          <w:lang w:eastAsia="en-NZ"/>
        </w:rPr>
        <w:t xml:space="preserve">to </w:t>
      </w:r>
      <w:r>
        <w:rPr>
          <w:noProof/>
          <w:lang w:eastAsia="en-NZ"/>
        </w:rPr>
        <w:t xml:space="preserve">the necessary technologies, </w:t>
      </w:r>
      <w:r w:rsidR="00C038CE">
        <w:rPr>
          <w:noProof/>
          <w:lang w:eastAsia="en-NZ"/>
        </w:rPr>
        <w:t>lack the</w:t>
      </w:r>
      <w:r>
        <w:rPr>
          <w:noProof/>
          <w:lang w:eastAsia="en-NZ"/>
        </w:rPr>
        <w:t xml:space="preserve"> critical skills</w:t>
      </w:r>
      <w:r w:rsidR="00C038CE">
        <w:rPr>
          <w:noProof/>
          <w:lang w:eastAsia="en-NZ"/>
        </w:rPr>
        <w:t xml:space="preserve"> to make use of these technologies</w:t>
      </w:r>
      <w:r>
        <w:rPr>
          <w:noProof/>
          <w:lang w:eastAsia="en-NZ"/>
        </w:rPr>
        <w:t xml:space="preserve"> or are unable to interact </w:t>
      </w:r>
      <w:r w:rsidR="00392B82">
        <w:rPr>
          <w:noProof/>
          <w:lang w:eastAsia="en-NZ"/>
        </w:rPr>
        <w:t xml:space="preserve">effectively </w:t>
      </w:r>
      <w:r>
        <w:rPr>
          <w:noProof/>
          <w:lang w:eastAsia="en-NZ"/>
        </w:rPr>
        <w:t>with their peers, teachers and institutions are less likely to be successful in extramural e-learning</w:t>
      </w:r>
      <w:r w:rsidR="00A45BED">
        <w:rPr>
          <w:noProof/>
          <w:lang w:eastAsia="en-NZ"/>
        </w:rPr>
        <w:t xml:space="preserve"> </w:t>
      </w:r>
      <w:r w:rsidR="00970325">
        <w:rPr>
          <w:noProof/>
          <w:lang w:eastAsia="en-NZ"/>
        </w:rPr>
        <w:t xml:space="preserve">courses </w:t>
      </w:r>
      <w:r w:rsidR="00A45BED">
        <w:rPr>
          <w:noProof/>
          <w:lang w:eastAsia="en-NZ"/>
        </w:rPr>
        <w:t>(</w:t>
      </w:r>
      <w:r w:rsidR="006179BC">
        <w:rPr>
          <w:noProof/>
          <w:lang w:eastAsia="en-NZ"/>
        </w:rPr>
        <w:t xml:space="preserve">e.g. </w:t>
      </w:r>
      <w:r w:rsidR="00A45BED">
        <w:rPr>
          <w:noProof/>
          <w:lang w:eastAsia="en-NZ"/>
        </w:rPr>
        <w:t>Garrison, 2000; Palloff and Pratt, 2003;</w:t>
      </w:r>
      <w:r w:rsidR="00A45BED" w:rsidRPr="007C2961">
        <w:rPr>
          <w:noProof/>
          <w:lang w:eastAsia="en-NZ"/>
        </w:rPr>
        <w:t xml:space="preserve"> </w:t>
      </w:r>
      <w:r w:rsidR="00A45BED">
        <w:rPr>
          <w:noProof/>
          <w:lang w:eastAsia="en-NZ"/>
        </w:rPr>
        <w:t>Packham</w:t>
      </w:r>
      <w:r w:rsidR="00360969">
        <w:rPr>
          <w:noProof/>
          <w:lang w:eastAsia="en-NZ"/>
        </w:rPr>
        <w:t xml:space="preserve"> et al.</w:t>
      </w:r>
      <w:r w:rsidR="00A45BED">
        <w:rPr>
          <w:noProof/>
          <w:lang w:eastAsia="en-NZ"/>
        </w:rPr>
        <w:t xml:space="preserve">, 2004; </w:t>
      </w:r>
      <w:r w:rsidR="00A45BED">
        <w:t xml:space="preserve">Wojciechowski and Palmer, 2005; </w:t>
      </w:r>
      <w:r w:rsidR="00A45BED" w:rsidRPr="00433D7D">
        <w:t>Schlosser, L</w:t>
      </w:r>
      <w:r w:rsidR="00A45BED">
        <w:t xml:space="preserve">. A. and Simonson, 2010; BoPP, 2012; </w:t>
      </w:r>
      <w:r w:rsidR="00A45BED">
        <w:rPr>
          <w:noProof/>
          <w:lang w:eastAsia="en-NZ"/>
        </w:rPr>
        <w:t xml:space="preserve">Brown et al., 2012; </w:t>
      </w:r>
      <w:r w:rsidR="00A45BED">
        <w:t>NMIT, 2012</w:t>
      </w:r>
      <w:r w:rsidR="00A45BED">
        <w:rPr>
          <w:rStyle w:val="FootnoteReference"/>
        </w:rPr>
        <w:footnoteReference w:id="12"/>
      </w:r>
      <w:r w:rsidR="00A45BED">
        <w:t>).</w:t>
      </w:r>
    </w:p>
    <w:p w:rsidR="000C5942" w:rsidRDefault="000C5942" w:rsidP="00641CB2">
      <w:pPr>
        <w:pStyle w:val="BodyText"/>
        <w:rPr>
          <w:noProof/>
          <w:lang w:eastAsia="en-NZ"/>
        </w:rPr>
      </w:pPr>
      <w:r>
        <w:rPr>
          <w:noProof/>
          <w:lang w:eastAsia="en-NZ"/>
        </w:rPr>
        <w:t xml:space="preserve"> </w:t>
      </w: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rPr>
          <w:noProof/>
          <w:lang w:eastAsia="en-NZ"/>
        </w:rPr>
      </w:pPr>
    </w:p>
    <w:p w:rsidR="00A45BED" w:rsidRDefault="00A45BED" w:rsidP="00641CB2">
      <w:pPr>
        <w:pStyle w:val="BodyText"/>
      </w:pPr>
    </w:p>
    <w:p w:rsidR="000C5942" w:rsidRDefault="000C5942" w:rsidP="00641CB2">
      <w:pPr>
        <w:pStyle w:val="BodyText"/>
      </w:pPr>
    </w:p>
    <w:p w:rsidR="000C5942" w:rsidRDefault="000C5942" w:rsidP="00641CB2">
      <w:pPr>
        <w:pStyle w:val="BodyText"/>
      </w:pPr>
    </w:p>
    <w:p w:rsidR="000C5942" w:rsidRDefault="000C5942" w:rsidP="00641CB2">
      <w:pPr>
        <w:pStyle w:val="BodyText"/>
      </w:pPr>
    </w:p>
    <w:p w:rsidR="000C5942" w:rsidRDefault="00980293" w:rsidP="000124F0">
      <w:pPr>
        <w:pStyle w:val="Heading1"/>
      </w:pPr>
      <w:bookmarkStart w:id="15" w:name="_Toc379545911"/>
      <w:r>
        <w:lastRenderedPageBreak/>
        <w:t>E</w:t>
      </w:r>
      <w:r w:rsidR="00ED05F0">
        <w:t>xtramural</w:t>
      </w:r>
      <w:r w:rsidR="00ED05F0" w:rsidRPr="00ED05F0">
        <w:t xml:space="preserve"> </w:t>
      </w:r>
      <w:r w:rsidR="00ED05F0">
        <w:t xml:space="preserve">and </w:t>
      </w:r>
      <w:r w:rsidR="000C5942">
        <w:t>Intramural students</w:t>
      </w:r>
      <w:r w:rsidR="00FA7B17">
        <w:t>’</w:t>
      </w:r>
      <w:r w:rsidR="000C5942">
        <w:t xml:space="preserve"> participation and achievement by     demographic characteristics</w:t>
      </w:r>
      <w:bookmarkEnd w:id="15"/>
      <w:r w:rsidR="000C5942">
        <w:t xml:space="preserve"> </w:t>
      </w:r>
    </w:p>
    <w:p w:rsidR="00751743" w:rsidRDefault="00C20D6E" w:rsidP="00A45BED">
      <w:pPr>
        <w:spacing w:after="240"/>
        <w:jc w:val="both"/>
      </w:pPr>
      <w:r>
        <w:t>In t</w:t>
      </w:r>
      <w:r w:rsidR="000C5942">
        <w:t>his chapter</w:t>
      </w:r>
      <w:r w:rsidR="00144486">
        <w:t>,</w:t>
      </w:r>
      <w:r>
        <w:t xml:space="preserve"> we</w:t>
      </w:r>
      <w:r w:rsidR="000C5942">
        <w:t xml:space="preserve"> look at students’ participation and achievement in </w:t>
      </w:r>
      <w:r w:rsidR="00ED05F0">
        <w:t>extramural</w:t>
      </w:r>
      <w:r w:rsidR="00ED05F0" w:rsidRPr="00ED05F0">
        <w:t xml:space="preserve"> </w:t>
      </w:r>
      <w:r w:rsidR="00ED05F0">
        <w:t xml:space="preserve">and </w:t>
      </w:r>
      <w:r w:rsidR="000C5942">
        <w:t xml:space="preserve">intramural </w:t>
      </w:r>
      <w:r w:rsidR="009E521C">
        <w:t>traditional delivery</w:t>
      </w:r>
      <w:r w:rsidR="000C5942">
        <w:t xml:space="preserve"> and e-learning courses by gender, age, ethnicit</w:t>
      </w:r>
      <w:r w:rsidR="000C5942" w:rsidRPr="000E1F75">
        <w:t>y</w:t>
      </w:r>
      <w:r w:rsidR="00AD6AD2" w:rsidRPr="000E1F75">
        <w:t>,</w:t>
      </w:r>
      <w:r w:rsidR="000C5942">
        <w:t xml:space="preserve"> and pre-enrolment activity. </w:t>
      </w:r>
    </w:p>
    <w:p w:rsidR="000C5942" w:rsidRDefault="000C5942" w:rsidP="0086094F">
      <w:pPr>
        <w:pStyle w:val="Heading2"/>
      </w:pPr>
      <w:bookmarkStart w:id="16" w:name="_Toc379545912"/>
      <w:r>
        <w:t>Gender</w:t>
      </w:r>
      <w:bookmarkEnd w:id="16"/>
    </w:p>
    <w:p w:rsidR="00751743" w:rsidRDefault="00C20D6E" w:rsidP="00A45BED">
      <w:pPr>
        <w:spacing w:after="240"/>
        <w:jc w:val="both"/>
      </w:pPr>
      <w:r>
        <w:t>In t</w:t>
      </w:r>
      <w:r w:rsidR="000C5942">
        <w:t xml:space="preserve">his </w:t>
      </w:r>
      <w:r w:rsidR="000C5942" w:rsidRPr="000E1F75">
        <w:t>section</w:t>
      </w:r>
      <w:r w:rsidR="00144486">
        <w:t>,</w:t>
      </w:r>
      <w:r w:rsidR="000C5942" w:rsidRPr="000E1F75">
        <w:t xml:space="preserve"> </w:t>
      </w:r>
      <w:r w:rsidRPr="000E1F75">
        <w:t>we</w:t>
      </w:r>
      <w:r>
        <w:t xml:space="preserve"> </w:t>
      </w:r>
      <w:r w:rsidR="000C5942">
        <w:t xml:space="preserve">compare </w:t>
      </w:r>
      <w:r w:rsidR="000B6829">
        <w:t>men’s and women’s</w:t>
      </w:r>
      <w:r w:rsidR="000C5942">
        <w:t xml:space="preserve"> participation and achievement in </w:t>
      </w:r>
      <w:r w:rsidR="00ED05F0">
        <w:t xml:space="preserve">extramural and </w:t>
      </w:r>
      <w:r w:rsidR="000C5942">
        <w:t xml:space="preserve">intramural </w:t>
      </w:r>
      <w:r w:rsidR="002E783E">
        <w:t xml:space="preserve">traditional delivery and e-learning </w:t>
      </w:r>
      <w:r w:rsidR="000C5942">
        <w:t xml:space="preserve">courses. </w:t>
      </w:r>
    </w:p>
    <w:p w:rsidR="000C5942" w:rsidRDefault="000C5942" w:rsidP="00022887">
      <w:pPr>
        <w:pStyle w:val="Caption"/>
      </w:pPr>
      <w:r>
        <w:t>Figure 4</w:t>
      </w:r>
    </w:p>
    <w:p w:rsidR="000C5942" w:rsidRDefault="000C5942" w:rsidP="00022887">
      <w:pPr>
        <w:pStyle w:val="Figurelabel"/>
      </w:pPr>
      <w:bookmarkStart w:id="17" w:name="_Toc379545997"/>
      <w:r>
        <w:t xml:space="preserve">Proportion of the total </w:t>
      </w:r>
      <w:r w:rsidR="00D85346">
        <w:t xml:space="preserve">female and male </w:t>
      </w:r>
      <w:r>
        <w:t xml:space="preserve">EFTS in </w:t>
      </w:r>
      <w:r w:rsidR="00064A10">
        <w:t>extramural</w:t>
      </w:r>
      <w:r w:rsidR="00064A10" w:rsidRPr="00064A10">
        <w:t xml:space="preserve"> </w:t>
      </w:r>
      <w:r w:rsidR="00064A10">
        <w:t xml:space="preserve">and </w:t>
      </w:r>
      <w:r>
        <w:t>intramural</w:t>
      </w:r>
      <w:bookmarkEnd w:id="17"/>
      <w:r>
        <w:t xml:space="preserve"> </w:t>
      </w:r>
    </w:p>
    <w:p w:rsidR="000C5942" w:rsidRDefault="000142E9" w:rsidP="00022887">
      <w:pPr>
        <w:pStyle w:val="BodyText"/>
        <w:rPr>
          <w:noProof/>
          <w:lang w:eastAsia="en-NZ"/>
        </w:rPr>
      </w:pPr>
      <w:r w:rsidRPr="000142E9">
        <w:rPr>
          <w:noProof/>
          <w:lang w:eastAsia="en-NZ"/>
        </w:rPr>
        <w:drawing>
          <wp:inline distT="0" distB="0" distL="0" distR="0">
            <wp:extent cx="4572000" cy="274320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1743" w:rsidRDefault="000B6829" w:rsidP="00A17F6F">
      <w:pPr>
        <w:spacing w:after="240"/>
        <w:jc w:val="both"/>
      </w:pPr>
      <w:r>
        <w:t xml:space="preserve">Women </w:t>
      </w:r>
      <w:r w:rsidR="000C5942">
        <w:t xml:space="preserve">have a higher proportion of their EFTS in extramural </w:t>
      </w:r>
      <w:r w:rsidR="00AD6AD2">
        <w:t>courses</w:t>
      </w:r>
      <w:r w:rsidR="000C5942">
        <w:t xml:space="preserve"> than m</w:t>
      </w:r>
      <w:r w:rsidR="00A17F6F">
        <w:t>en</w:t>
      </w:r>
      <w:r w:rsidR="000C5942">
        <w:t xml:space="preserve">. </w:t>
      </w:r>
      <w:r w:rsidR="000C5942">
        <w:rPr>
          <w:noProof/>
          <w:lang w:eastAsia="en-NZ"/>
        </w:rPr>
        <w:t xml:space="preserve">This finding </w:t>
      </w:r>
      <w:r>
        <w:rPr>
          <w:noProof/>
          <w:lang w:eastAsia="en-NZ"/>
        </w:rPr>
        <w:t xml:space="preserve">is consistent with </w:t>
      </w:r>
      <w:r w:rsidR="009E521C">
        <w:rPr>
          <w:noProof/>
          <w:lang w:eastAsia="en-NZ"/>
        </w:rPr>
        <w:t xml:space="preserve">our </w:t>
      </w:r>
      <w:r w:rsidR="008629BF">
        <w:rPr>
          <w:noProof/>
          <w:lang w:eastAsia="en-NZ"/>
        </w:rPr>
        <w:t>c</w:t>
      </w:r>
      <w:r w:rsidR="009E521C">
        <w:rPr>
          <w:noProof/>
          <w:lang w:eastAsia="en-NZ"/>
        </w:rPr>
        <w:t>hapter 2 extramural student</w:t>
      </w:r>
      <w:r w:rsidR="000C5942">
        <w:rPr>
          <w:noProof/>
          <w:lang w:eastAsia="en-NZ"/>
        </w:rPr>
        <w:t xml:space="preserve"> profile</w:t>
      </w:r>
      <w:r>
        <w:rPr>
          <w:noProof/>
          <w:lang w:eastAsia="en-NZ"/>
        </w:rPr>
        <w:t xml:space="preserve">. To some </w:t>
      </w:r>
      <w:r w:rsidRPr="002D3439">
        <w:rPr>
          <w:noProof/>
          <w:lang w:eastAsia="en-NZ"/>
        </w:rPr>
        <w:t>extent, the</w:t>
      </w:r>
      <w:r>
        <w:rPr>
          <w:noProof/>
          <w:lang w:eastAsia="en-NZ"/>
        </w:rPr>
        <w:t xml:space="preserve"> higher incidence of extramural </w:t>
      </w:r>
      <w:r w:rsidR="00566447">
        <w:rPr>
          <w:noProof/>
          <w:lang w:eastAsia="en-NZ"/>
        </w:rPr>
        <w:t>study</w:t>
      </w:r>
      <w:r>
        <w:rPr>
          <w:noProof/>
          <w:lang w:eastAsia="en-NZ"/>
        </w:rPr>
        <w:t xml:space="preserve"> among women is likely </w:t>
      </w:r>
      <w:r w:rsidRPr="002D3439">
        <w:rPr>
          <w:noProof/>
          <w:lang w:eastAsia="en-NZ"/>
        </w:rPr>
        <w:t xml:space="preserve">to reflect the fact that </w:t>
      </w:r>
      <w:r w:rsidR="005B453F" w:rsidRPr="002D3439">
        <w:rPr>
          <w:noProof/>
          <w:lang w:eastAsia="en-NZ"/>
        </w:rPr>
        <w:t>more</w:t>
      </w:r>
      <w:r>
        <w:rPr>
          <w:noProof/>
          <w:lang w:eastAsia="en-NZ"/>
        </w:rPr>
        <w:t xml:space="preserve"> are in caring roles that make it hard</w:t>
      </w:r>
      <w:r w:rsidR="00A17F6F">
        <w:rPr>
          <w:noProof/>
          <w:lang w:eastAsia="en-NZ"/>
        </w:rPr>
        <w:t>er</w:t>
      </w:r>
      <w:r>
        <w:rPr>
          <w:noProof/>
          <w:lang w:eastAsia="en-NZ"/>
        </w:rPr>
        <w:t xml:space="preserve"> for them to attend institutions, while a hig</w:t>
      </w:r>
      <w:r w:rsidR="00A17F6F">
        <w:rPr>
          <w:noProof/>
          <w:lang w:eastAsia="en-NZ"/>
        </w:rPr>
        <w:t xml:space="preserve">her </w:t>
      </w:r>
      <w:r>
        <w:rPr>
          <w:noProof/>
          <w:lang w:eastAsia="en-NZ"/>
        </w:rPr>
        <w:t xml:space="preserve">proportion of men are in careers – an alternative source of learning and development. </w:t>
      </w:r>
    </w:p>
    <w:p w:rsidR="000C5942" w:rsidRDefault="000C5942" w:rsidP="00022887">
      <w:pPr>
        <w:pStyle w:val="Caption"/>
      </w:pPr>
      <w:r>
        <w:lastRenderedPageBreak/>
        <w:t>Figure 5</w:t>
      </w:r>
    </w:p>
    <w:p w:rsidR="000C5942" w:rsidRDefault="000C5942" w:rsidP="00022887">
      <w:pPr>
        <w:pStyle w:val="Figurelabel"/>
      </w:pPr>
      <w:bookmarkStart w:id="18" w:name="_Toc379545998"/>
      <w:r>
        <w:t>Proportion of the total</w:t>
      </w:r>
      <w:r w:rsidR="006A1095" w:rsidRPr="006A1095">
        <w:t xml:space="preserve"> </w:t>
      </w:r>
      <w:r w:rsidR="00D85346">
        <w:t xml:space="preserve">female and male </w:t>
      </w:r>
      <w:r w:rsidR="006A1095">
        <w:t>extramural</w:t>
      </w:r>
      <w:r w:rsidR="006A1095" w:rsidRPr="006A1095">
        <w:t xml:space="preserve"> </w:t>
      </w:r>
      <w:r w:rsidR="006A1095">
        <w:t>and</w:t>
      </w:r>
      <w:r>
        <w:t xml:space="preserve"> intramural </w:t>
      </w:r>
      <w:r w:rsidRPr="003475FC">
        <w:t>EFTS</w:t>
      </w:r>
      <w:r>
        <w:t xml:space="preserve"> in the No </w:t>
      </w:r>
      <w:r w:rsidR="00B22D34">
        <w:t xml:space="preserve">ICT </w:t>
      </w:r>
      <w:r>
        <w:t>and e-learning delivery modes</w:t>
      </w:r>
      <w:bookmarkEnd w:id="18"/>
    </w:p>
    <w:p w:rsidR="000C5942" w:rsidRDefault="00D54079" w:rsidP="00022887">
      <w:pPr>
        <w:pStyle w:val="BodyText"/>
        <w:rPr>
          <w:noProof/>
          <w:lang w:eastAsia="en-NZ"/>
        </w:rPr>
      </w:pPr>
      <w:r w:rsidRPr="00D54079">
        <w:rPr>
          <w:noProof/>
          <w:lang w:eastAsia="en-NZ"/>
        </w:rPr>
        <w:drawing>
          <wp:inline distT="0" distB="0" distL="0" distR="0">
            <wp:extent cx="4572000" cy="2743200"/>
            <wp:effectExtent l="0" t="0" r="0" b="0"/>
            <wp:docPr id="4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54079">
        <w:rPr>
          <w:noProof/>
          <w:lang w:eastAsia="en-NZ"/>
        </w:rPr>
        <w:t xml:space="preserve"> </w:t>
      </w:r>
    </w:p>
    <w:p w:rsidR="000C5942" w:rsidRDefault="000C5942" w:rsidP="00BA559D">
      <w:pPr>
        <w:pStyle w:val="Note"/>
        <w:spacing w:before="0"/>
      </w:pPr>
      <w:r>
        <w:t xml:space="preserve">Note: </w:t>
      </w:r>
      <w:r w:rsidR="00A20F1C">
        <w:t>EL stands for e-learning</w:t>
      </w:r>
      <w:r w:rsidR="00D019FE">
        <w:t>.</w:t>
      </w:r>
      <w:r>
        <w:t xml:space="preserve"> </w:t>
      </w:r>
    </w:p>
    <w:p w:rsidR="000C5942" w:rsidRDefault="000C5942" w:rsidP="00B52C59">
      <w:pPr>
        <w:pStyle w:val="BodyText"/>
      </w:pPr>
      <w:r>
        <w:t xml:space="preserve">The proportion of </w:t>
      </w:r>
      <w:r w:rsidR="00504576">
        <w:t xml:space="preserve">men and women </w:t>
      </w:r>
      <w:r w:rsidR="002923AC">
        <w:t>in</w:t>
      </w:r>
      <w:r>
        <w:t xml:space="preserve"> intramural </w:t>
      </w:r>
      <w:r w:rsidR="002E783E">
        <w:t xml:space="preserve">e-learning </w:t>
      </w:r>
      <w:r w:rsidR="002923AC">
        <w:t xml:space="preserve">courses </w:t>
      </w:r>
      <w:r>
        <w:t xml:space="preserve">increased between 2005 and 2011. </w:t>
      </w:r>
      <w:r w:rsidR="00353AB0">
        <w:t>Over the same period, the</w:t>
      </w:r>
      <w:r>
        <w:t xml:space="preserve"> proportion of extramural </w:t>
      </w:r>
      <w:r w:rsidR="002E783E">
        <w:t xml:space="preserve">traditional delivery </w:t>
      </w:r>
      <w:r>
        <w:t>EFTS</w:t>
      </w:r>
      <w:r w:rsidR="00B52C59">
        <w:t xml:space="preserve"> </w:t>
      </w:r>
      <w:r>
        <w:t xml:space="preserve">increased for </w:t>
      </w:r>
      <w:r w:rsidR="00504576">
        <w:t>women</w:t>
      </w:r>
      <w:r w:rsidR="002923AC">
        <w:t>,</w:t>
      </w:r>
      <w:r w:rsidR="00504576">
        <w:t xml:space="preserve"> but</w:t>
      </w:r>
      <w:r>
        <w:t xml:space="preserve"> fell fractionally for </w:t>
      </w:r>
      <w:r w:rsidR="00504576">
        <w:t>men</w:t>
      </w:r>
      <w:r w:rsidR="002923AC">
        <w:t>. However,</w:t>
      </w:r>
      <w:r w:rsidR="00504576">
        <w:t xml:space="preserve"> the </w:t>
      </w:r>
      <w:r w:rsidR="00504576" w:rsidRPr="00353AB0">
        <w:t>majority of</w:t>
      </w:r>
      <w:r w:rsidRPr="00353AB0">
        <w:t xml:space="preserve"> </w:t>
      </w:r>
      <w:r w:rsidR="00BC6BF1" w:rsidRPr="00353AB0">
        <w:t xml:space="preserve">both male and female </w:t>
      </w:r>
      <w:r w:rsidRPr="00353AB0">
        <w:t xml:space="preserve">extramural </w:t>
      </w:r>
      <w:r w:rsidR="002923AC" w:rsidRPr="00BC339F">
        <w:t>EFTS</w:t>
      </w:r>
      <w:r w:rsidR="00B52C59" w:rsidRPr="00BC339F">
        <w:t xml:space="preserve"> was </w:t>
      </w:r>
      <w:r w:rsidR="002923AC" w:rsidRPr="00BC339F">
        <w:t>delivered</w:t>
      </w:r>
      <w:r w:rsidR="00504576">
        <w:t xml:space="preserve"> by e-learning</w:t>
      </w:r>
      <w:r>
        <w:t>. These results reflect the system</w:t>
      </w:r>
      <w:r w:rsidR="00E2796F">
        <w:t>-</w:t>
      </w:r>
      <w:r>
        <w:t>level findings</w:t>
      </w:r>
      <w:r w:rsidR="00F13B20">
        <w:t>,</w:t>
      </w:r>
      <w:r>
        <w:t xml:space="preserve"> </w:t>
      </w:r>
      <w:r w:rsidR="0015629A">
        <w:t>which</w:t>
      </w:r>
      <w:r>
        <w:t xml:space="preserve"> suggest that </w:t>
      </w:r>
      <w:r w:rsidR="0015629A" w:rsidRPr="00BC339F">
        <w:t>they</w:t>
      </w:r>
      <w:r w:rsidRPr="00BC339F">
        <w:t xml:space="preserve"> were driven</w:t>
      </w:r>
      <w:r>
        <w:t xml:space="preserve"> by changes in institutional and system</w:t>
      </w:r>
      <w:r w:rsidR="00E2796F">
        <w:t>-</w:t>
      </w:r>
      <w:r>
        <w:t>level provision rather than student preferences.</w:t>
      </w:r>
    </w:p>
    <w:p w:rsidR="000C5942" w:rsidRDefault="000C5942" w:rsidP="00F134A7">
      <w:pPr>
        <w:pStyle w:val="BodyText"/>
      </w:pPr>
      <w:r>
        <w:t xml:space="preserve">The increase in the proportion of intramural e-learning </w:t>
      </w:r>
      <w:r w:rsidR="000C44B1">
        <w:t>reflects</w:t>
      </w:r>
      <w:r>
        <w:t xml:space="preserve"> growth in the Web-Supported delivery mode</w:t>
      </w:r>
      <w:r w:rsidR="000C44B1">
        <w:t xml:space="preserve"> </w:t>
      </w:r>
      <w:r w:rsidR="008322D2">
        <w:t xml:space="preserve">– </w:t>
      </w:r>
      <w:r>
        <w:t>the</w:t>
      </w:r>
      <w:r w:rsidR="000C44B1">
        <w:t xml:space="preserve"> </w:t>
      </w:r>
      <w:r>
        <w:t>largest e-learning category</w:t>
      </w:r>
      <w:r w:rsidR="000C44B1">
        <w:t xml:space="preserve"> for intramural courses</w:t>
      </w:r>
      <w:r>
        <w:t xml:space="preserve">. But </w:t>
      </w:r>
      <w:r w:rsidR="000C44B1">
        <w:t xml:space="preserve">in </w:t>
      </w:r>
      <w:r>
        <w:t xml:space="preserve">extramural </w:t>
      </w:r>
      <w:r w:rsidR="000C44B1" w:rsidRPr="00BC339F">
        <w:t>courses there</w:t>
      </w:r>
      <w:r w:rsidR="000C44B1">
        <w:t xml:space="preserve"> was a reduction in those that were </w:t>
      </w:r>
      <w:r>
        <w:t xml:space="preserve">Web-Supported </w:t>
      </w:r>
      <w:r w:rsidR="000C44B1">
        <w:t xml:space="preserve">in favour of </w:t>
      </w:r>
      <w:r>
        <w:t xml:space="preserve">Web-Based </w:t>
      </w:r>
      <w:r w:rsidR="000C44B1">
        <w:t xml:space="preserve">delivery. </w:t>
      </w:r>
      <w:r>
        <w:t xml:space="preserve">This suggests that in intramural </w:t>
      </w:r>
      <w:r w:rsidR="000C44B1" w:rsidRPr="00BC339F">
        <w:t>courses</w:t>
      </w:r>
      <w:r w:rsidR="000C44B1">
        <w:t xml:space="preserve"> providers</w:t>
      </w:r>
      <w:r>
        <w:t xml:space="preserve"> are using e-learning to </w:t>
      </w:r>
      <w:r w:rsidR="00C9200C" w:rsidRPr="00C9200C">
        <w:rPr>
          <w:i/>
        </w:rPr>
        <w:t>support</w:t>
      </w:r>
      <w:r>
        <w:t xml:space="preserve"> their face-to-face </w:t>
      </w:r>
      <w:r w:rsidR="0015629A">
        <w:t>delivery</w:t>
      </w:r>
      <w:r w:rsidR="00BC339F">
        <w:t>,</w:t>
      </w:r>
      <w:r>
        <w:t xml:space="preserve"> while in extramural</w:t>
      </w:r>
      <w:r w:rsidR="000C44B1">
        <w:t xml:space="preserve"> </w:t>
      </w:r>
      <w:r w:rsidR="000C44B1" w:rsidRPr="00BC339F">
        <w:t>courses</w:t>
      </w:r>
      <w:r>
        <w:t xml:space="preserve"> they are using it to </w:t>
      </w:r>
      <w:r w:rsidR="00C9200C" w:rsidRPr="00C9200C">
        <w:rPr>
          <w:i/>
        </w:rPr>
        <w:t>replace</w:t>
      </w:r>
      <w:r>
        <w:t xml:space="preserve"> </w:t>
      </w:r>
      <w:r w:rsidR="0015629A">
        <w:t xml:space="preserve">their </w:t>
      </w:r>
      <w:r>
        <w:t xml:space="preserve">paper-based </w:t>
      </w:r>
      <w:r w:rsidR="0015629A">
        <w:t>delivery</w:t>
      </w:r>
      <w:r>
        <w:t xml:space="preserve">. </w:t>
      </w:r>
    </w:p>
    <w:p w:rsidR="000C5942" w:rsidRDefault="000C5942" w:rsidP="00322CFF">
      <w:pPr>
        <w:pStyle w:val="Caption"/>
      </w:pPr>
      <w:r>
        <w:lastRenderedPageBreak/>
        <w:t>Figure 6</w:t>
      </w:r>
    </w:p>
    <w:p w:rsidR="000C5942" w:rsidRDefault="000C5942" w:rsidP="006E7A1A">
      <w:pPr>
        <w:pStyle w:val="Figurelabel"/>
      </w:pPr>
      <w:bookmarkStart w:id="19" w:name="_Toc379545999"/>
      <w:r>
        <w:t xml:space="preserve">Female and </w:t>
      </w:r>
      <w:r w:rsidR="00D019FE">
        <w:t>m</w:t>
      </w:r>
      <w:r>
        <w:t>ale</w:t>
      </w:r>
      <w:r w:rsidR="00BE33B1" w:rsidRPr="00BE33B1">
        <w:t xml:space="preserve"> </w:t>
      </w:r>
      <w:r w:rsidR="00BE33B1">
        <w:t>extramural</w:t>
      </w:r>
      <w:r w:rsidR="00BE33B1" w:rsidRPr="00BE33B1">
        <w:t xml:space="preserve"> </w:t>
      </w:r>
      <w:r w:rsidR="00BE33B1">
        <w:t>and</w:t>
      </w:r>
      <w:r>
        <w:t xml:space="preserve"> intramural course completion rates </w:t>
      </w:r>
      <w:r w:rsidR="00AD5EE7">
        <w:t>in</w:t>
      </w:r>
      <w:r>
        <w:t xml:space="preserve"> the No </w:t>
      </w:r>
      <w:r w:rsidR="00C43C1D">
        <w:t>ICT</w:t>
      </w:r>
      <w:r>
        <w:t xml:space="preserve"> and e-learning delivery modes</w:t>
      </w:r>
      <w:bookmarkEnd w:id="19"/>
    </w:p>
    <w:p w:rsidR="000C5942" w:rsidRPr="006E7A1A" w:rsidRDefault="00D54079" w:rsidP="006E7A1A">
      <w:pPr>
        <w:pStyle w:val="BodyText"/>
      </w:pPr>
      <w:r w:rsidRPr="00D54079">
        <w:rPr>
          <w:noProof/>
          <w:lang w:eastAsia="en-NZ"/>
        </w:rPr>
        <w:drawing>
          <wp:inline distT="0" distB="0" distL="0" distR="0">
            <wp:extent cx="4572000" cy="2743200"/>
            <wp:effectExtent l="0" t="0" r="0" b="0"/>
            <wp:docPr id="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54079">
        <w:rPr>
          <w:noProof/>
          <w:lang w:eastAsia="en-NZ"/>
        </w:rPr>
        <w:t xml:space="preserve"> </w:t>
      </w:r>
      <w:r w:rsidR="00AF1FEE" w:rsidRPr="00AF1FEE">
        <w:rPr>
          <w:noProof/>
          <w:lang w:eastAsia="en-NZ"/>
        </w:rPr>
        <w:t xml:space="preserve"> </w:t>
      </w:r>
    </w:p>
    <w:p w:rsidR="000C5942" w:rsidRDefault="000C5942" w:rsidP="0023695F">
      <w:pPr>
        <w:pStyle w:val="Note"/>
      </w:pPr>
      <w:r>
        <w:t>Notes:</w:t>
      </w:r>
    </w:p>
    <w:p w:rsidR="000C5942" w:rsidRDefault="000C5942" w:rsidP="0097325D">
      <w:pPr>
        <w:pStyle w:val="Note"/>
        <w:numPr>
          <w:ilvl w:val="0"/>
          <w:numId w:val="8"/>
        </w:numPr>
        <w:spacing w:after="0"/>
      </w:pPr>
      <w:r>
        <w:t>The completion rates are adjusted for the level of courses.</w:t>
      </w:r>
    </w:p>
    <w:p w:rsidR="000C5942" w:rsidRDefault="000C5942" w:rsidP="0097325D">
      <w:pPr>
        <w:pStyle w:val="Note"/>
        <w:numPr>
          <w:ilvl w:val="0"/>
          <w:numId w:val="8"/>
        </w:numPr>
        <w:spacing w:before="0" w:after="0"/>
      </w:pPr>
      <w:r>
        <w:t>Completion rates are EFTS-weighted.</w:t>
      </w:r>
    </w:p>
    <w:p w:rsidR="000C5942" w:rsidRPr="00F3618F" w:rsidRDefault="000C5942" w:rsidP="0097325D">
      <w:pPr>
        <w:pStyle w:val="Note"/>
        <w:numPr>
          <w:ilvl w:val="0"/>
          <w:numId w:val="8"/>
        </w:numPr>
        <w:spacing w:before="0"/>
      </w:pPr>
      <w:r>
        <w:t xml:space="preserve">The completion rates in this graph are the aggregate over the eight years </w:t>
      </w:r>
      <w:r w:rsidRPr="00D12A2B">
        <w:t>2004-2011</w:t>
      </w:r>
      <w:r>
        <w:t>.</w:t>
      </w:r>
    </w:p>
    <w:p w:rsidR="00751743" w:rsidRDefault="000C5942">
      <w:pPr>
        <w:spacing w:after="240"/>
        <w:jc w:val="both"/>
      </w:pPr>
      <w:r w:rsidRPr="00D243AD">
        <w:t>Irrespective</w:t>
      </w:r>
      <w:r>
        <w:t xml:space="preserve"> of gender or delivery mode</w:t>
      </w:r>
      <w:r w:rsidR="005B1DEE">
        <w:t>,</w:t>
      </w:r>
      <w:r>
        <w:t xml:space="preserve"> intramural </w:t>
      </w:r>
      <w:r w:rsidR="000C44B1">
        <w:t xml:space="preserve">courses </w:t>
      </w:r>
      <w:r>
        <w:t>had higher completion rates than extramural</w:t>
      </w:r>
      <w:r w:rsidR="000C44B1">
        <w:t xml:space="preserve"> courses</w:t>
      </w:r>
      <w:r>
        <w:t xml:space="preserve">. </w:t>
      </w:r>
      <w:r w:rsidR="00F05551">
        <w:t>I</w:t>
      </w:r>
      <w:r>
        <w:t xml:space="preserve">ntramural </w:t>
      </w:r>
      <w:r w:rsidR="00F05551">
        <w:t xml:space="preserve">e-learning </w:t>
      </w:r>
      <w:r w:rsidR="000C44B1">
        <w:t xml:space="preserve">courses had similar completion rates to </w:t>
      </w:r>
      <w:r w:rsidR="00F05551">
        <w:t>traditional delivery courses</w:t>
      </w:r>
      <w:r w:rsidR="000C44B1">
        <w:t xml:space="preserve">; this applied to </w:t>
      </w:r>
      <w:r w:rsidR="00A649DC">
        <w:t xml:space="preserve">both </w:t>
      </w:r>
      <w:r w:rsidR="000C44B1">
        <w:t xml:space="preserve">men </w:t>
      </w:r>
      <w:r>
        <w:t xml:space="preserve">and </w:t>
      </w:r>
      <w:r w:rsidR="000C44B1">
        <w:t xml:space="preserve">women. </w:t>
      </w:r>
      <w:r w:rsidR="00513735">
        <w:t xml:space="preserve">However, </w:t>
      </w:r>
      <w:r w:rsidR="005B1DEE">
        <w:t xml:space="preserve">extramural </w:t>
      </w:r>
      <w:r w:rsidR="00F05551">
        <w:t xml:space="preserve">traditional delivery </w:t>
      </w:r>
      <w:r w:rsidR="005B1DEE">
        <w:t>courses</w:t>
      </w:r>
      <w:r w:rsidR="00F05551" w:rsidRPr="00F05551">
        <w:t xml:space="preserve"> </w:t>
      </w:r>
      <w:r w:rsidR="00F05551">
        <w:t>had higher completion rates than e-learning courses</w:t>
      </w:r>
      <w:r w:rsidR="005B1DEE">
        <w:t xml:space="preserve">, especially among women. </w:t>
      </w:r>
      <w:r>
        <w:t xml:space="preserve">  </w:t>
      </w:r>
    </w:p>
    <w:p w:rsidR="000C5942" w:rsidRDefault="000C5942" w:rsidP="00411380">
      <w:pPr>
        <w:pStyle w:val="Heading2"/>
      </w:pPr>
      <w:bookmarkStart w:id="20" w:name="_Toc362283103"/>
      <w:bookmarkStart w:id="21" w:name="_Toc362296951"/>
      <w:bookmarkStart w:id="22" w:name="_Toc379545913"/>
      <w:bookmarkEnd w:id="20"/>
      <w:bookmarkEnd w:id="21"/>
      <w:r>
        <w:t>Age</w:t>
      </w:r>
      <w:bookmarkEnd w:id="22"/>
    </w:p>
    <w:p w:rsidR="000C5942" w:rsidRPr="00841210" w:rsidRDefault="009E521C" w:rsidP="007E28C0">
      <w:pPr>
        <w:pStyle w:val="BodyText"/>
      </w:pPr>
      <w:r>
        <w:t xml:space="preserve">Our </w:t>
      </w:r>
      <w:r w:rsidR="00042AFC">
        <w:t>c</w:t>
      </w:r>
      <w:r>
        <w:t xml:space="preserve">hapter 2 extramural student </w:t>
      </w:r>
      <w:r w:rsidR="005B1DEE">
        <w:t xml:space="preserve">profile </w:t>
      </w:r>
      <w:r w:rsidR="000C5942">
        <w:t xml:space="preserve">suggests that </w:t>
      </w:r>
      <w:r>
        <w:t>they</w:t>
      </w:r>
      <w:r w:rsidR="000C5942">
        <w:t xml:space="preserve"> are more likely to </w:t>
      </w:r>
      <w:r w:rsidR="005B1DEE">
        <w:t>be older</w:t>
      </w:r>
      <w:r w:rsidR="000C5942">
        <w:t xml:space="preserve">. But younger students are more likely to participate and have higher levels of achievement in </w:t>
      </w:r>
      <w:r>
        <w:t xml:space="preserve">          </w:t>
      </w:r>
      <w:r w:rsidR="000C5942">
        <w:t>e-learning courses (Guiney, 2011, 2013</w:t>
      </w:r>
      <w:r w:rsidR="00085158">
        <w:t>a</w:t>
      </w:r>
      <w:r w:rsidR="000C5942">
        <w:t xml:space="preserve">). </w:t>
      </w:r>
      <w:r w:rsidR="00C20D6E">
        <w:t>In t</w:t>
      </w:r>
      <w:r w:rsidR="000C5942">
        <w:t xml:space="preserve">his </w:t>
      </w:r>
      <w:r w:rsidR="000C5942" w:rsidRPr="00A649DC">
        <w:t>section</w:t>
      </w:r>
      <w:r w:rsidR="00144486">
        <w:t>,</w:t>
      </w:r>
      <w:r w:rsidR="00C20D6E" w:rsidRPr="00A649DC">
        <w:t xml:space="preserve"> we</w:t>
      </w:r>
      <w:r w:rsidR="000C5942">
        <w:t xml:space="preserve"> </w:t>
      </w:r>
      <w:r w:rsidR="00513735">
        <w:t>compare</w:t>
      </w:r>
      <w:r w:rsidR="00085158">
        <w:t xml:space="preserve"> participation and achievement in extramural and intramural traditional delivery and e-learning courses by under 25 year olds, 25-39 year olds and the 40+ age group</w:t>
      </w:r>
      <w:r w:rsidR="00513735">
        <w:t xml:space="preserve"> </w:t>
      </w:r>
      <w:r w:rsidR="00060094">
        <w:t>to see if older students have higher levels of participation in extramural courses and younger students have higher levels of participation and achievement in e-learning courses</w:t>
      </w:r>
      <w:r w:rsidR="000C5942">
        <w:t xml:space="preserve">. </w:t>
      </w:r>
    </w:p>
    <w:p w:rsidR="00960267" w:rsidRDefault="00960267" w:rsidP="00960267">
      <w:pPr>
        <w:pStyle w:val="Caption"/>
      </w:pPr>
      <w:r>
        <w:lastRenderedPageBreak/>
        <w:t>Figure 7</w:t>
      </w:r>
    </w:p>
    <w:p w:rsidR="00960267" w:rsidRDefault="00960267" w:rsidP="00960267">
      <w:pPr>
        <w:pStyle w:val="Figurelabel"/>
      </w:pPr>
      <w:bookmarkStart w:id="23" w:name="_Toc359229058"/>
      <w:bookmarkStart w:id="24" w:name="_Toc379546000"/>
      <w:r>
        <w:t xml:space="preserve">Proportion of </w:t>
      </w:r>
      <w:r w:rsidRPr="00E505D9">
        <w:t>the</w:t>
      </w:r>
      <w:r>
        <w:t xml:space="preserve"> under 25 year olds, 25-39 year olds and 40+ age </w:t>
      </w:r>
      <w:r w:rsidRPr="00462CD0">
        <w:t>groups</w:t>
      </w:r>
      <w:r w:rsidR="00462CD0">
        <w:t>’</w:t>
      </w:r>
      <w:r w:rsidRPr="007213CE">
        <w:t xml:space="preserve"> </w:t>
      </w:r>
      <w:r>
        <w:t xml:space="preserve">EFTS in </w:t>
      </w:r>
      <w:r w:rsidR="00D73855">
        <w:t xml:space="preserve">extramural and </w:t>
      </w:r>
      <w:r>
        <w:t>intramural courses</w:t>
      </w:r>
      <w:bookmarkEnd w:id="23"/>
      <w:bookmarkEnd w:id="24"/>
    </w:p>
    <w:p w:rsidR="000C5942" w:rsidRDefault="00B33EB2" w:rsidP="00960267">
      <w:pPr>
        <w:pStyle w:val="BodyText"/>
        <w:rPr>
          <w:noProof/>
          <w:lang w:eastAsia="en-NZ"/>
        </w:rPr>
      </w:pPr>
      <w:r>
        <w:rPr>
          <w:noProof/>
          <w:lang w:eastAsia="en-NZ"/>
        </w:rPr>
        <w:drawing>
          <wp:inline distT="0" distB="0" distL="0" distR="0">
            <wp:extent cx="4572000" cy="27432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5942" w:rsidRDefault="00D71CF4" w:rsidP="00960267">
      <w:pPr>
        <w:pStyle w:val="BodyText"/>
        <w:rPr>
          <w:noProof/>
          <w:lang w:eastAsia="en-NZ"/>
        </w:rPr>
      </w:pPr>
      <w:r>
        <w:rPr>
          <w:noProof/>
          <w:lang w:eastAsia="en-NZ"/>
        </w:rPr>
        <w:t>Those in t</w:t>
      </w:r>
      <w:r w:rsidR="000C5942">
        <w:rPr>
          <w:noProof/>
          <w:lang w:eastAsia="en-NZ"/>
        </w:rPr>
        <w:t xml:space="preserve">he 40+ age group </w:t>
      </w:r>
      <w:r w:rsidR="00A13D8F">
        <w:rPr>
          <w:noProof/>
          <w:lang w:eastAsia="en-NZ"/>
        </w:rPr>
        <w:t>were much more likely</w:t>
      </w:r>
      <w:r w:rsidR="00DE6652" w:rsidRPr="00003451">
        <w:rPr>
          <w:noProof/>
          <w:lang w:eastAsia="en-NZ"/>
        </w:rPr>
        <w:t xml:space="preserve"> to</w:t>
      </w:r>
      <w:r w:rsidR="00DE6652">
        <w:rPr>
          <w:noProof/>
          <w:lang w:eastAsia="en-NZ"/>
        </w:rPr>
        <w:t xml:space="preserve"> take </w:t>
      </w:r>
      <w:r w:rsidR="000C5942">
        <w:rPr>
          <w:noProof/>
          <w:lang w:eastAsia="en-NZ"/>
        </w:rPr>
        <w:t xml:space="preserve">extramural </w:t>
      </w:r>
      <w:r w:rsidR="00960267">
        <w:rPr>
          <w:noProof/>
          <w:lang w:eastAsia="en-NZ"/>
        </w:rPr>
        <w:t xml:space="preserve">courses </w:t>
      </w:r>
      <w:r w:rsidR="000C5942">
        <w:rPr>
          <w:noProof/>
          <w:lang w:eastAsia="en-NZ"/>
        </w:rPr>
        <w:t xml:space="preserve">than the </w:t>
      </w:r>
      <w:r w:rsidR="00960267">
        <w:rPr>
          <w:noProof/>
          <w:lang w:eastAsia="en-NZ"/>
        </w:rPr>
        <w:t>other age groups</w:t>
      </w:r>
      <w:r w:rsidR="005B453F">
        <w:rPr>
          <w:noProof/>
          <w:lang w:eastAsia="en-NZ"/>
        </w:rPr>
        <w:t>. An</w:t>
      </w:r>
      <w:r w:rsidR="005B453F" w:rsidRPr="0007355F">
        <w:rPr>
          <w:noProof/>
          <w:lang w:eastAsia="en-NZ"/>
        </w:rPr>
        <w:t>d</w:t>
      </w:r>
      <w:r w:rsidR="0007355F">
        <w:rPr>
          <w:noProof/>
          <w:lang w:eastAsia="en-NZ"/>
        </w:rPr>
        <w:t>,</w:t>
      </w:r>
      <w:r w:rsidR="005B453F" w:rsidRPr="0007355F">
        <w:rPr>
          <w:noProof/>
          <w:lang w:eastAsia="en-NZ"/>
        </w:rPr>
        <w:t xml:space="preserve"> unlike the other age groups</w:t>
      </w:r>
      <w:r w:rsidR="0007355F">
        <w:rPr>
          <w:noProof/>
          <w:lang w:eastAsia="en-NZ"/>
        </w:rPr>
        <w:t>,</w:t>
      </w:r>
      <w:r w:rsidR="005B453F" w:rsidRPr="0007355F">
        <w:rPr>
          <w:noProof/>
          <w:lang w:eastAsia="en-NZ"/>
        </w:rPr>
        <w:t xml:space="preserve"> their</w:t>
      </w:r>
      <w:r w:rsidR="005B453F">
        <w:rPr>
          <w:noProof/>
          <w:lang w:eastAsia="en-NZ"/>
        </w:rPr>
        <w:t xml:space="preserve"> extramural participation increased over time</w:t>
      </w:r>
      <w:r w:rsidR="000C5942">
        <w:rPr>
          <w:noProof/>
          <w:lang w:eastAsia="en-NZ"/>
        </w:rPr>
        <w:t xml:space="preserve">. The </w:t>
      </w:r>
      <w:r w:rsidR="00960267">
        <w:rPr>
          <w:noProof/>
          <w:lang w:eastAsia="en-NZ"/>
        </w:rPr>
        <w:t>under 25</w:t>
      </w:r>
      <w:r w:rsidR="000C5942">
        <w:rPr>
          <w:noProof/>
          <w:lang w:eastAsia="en-NZ"/>
        </w:rPr>
        <w:t xml:space="preserve"> year olds had a much larger proportion of their EFTS in intramural courses than the </w:t>
      </w:r>
      <w:r w:rsidR="00E7634B">
        <w:rPr>
          <w:noProof/>
          <w:lang w:eastAsia="en-NZ"/>
        </w:rPr>
        <w:t>other age</w:t>
      </w:r>
      <w:r w:rsidR="000C5942">
        <w:rPr>
          <w:noProof/>
          <w:lang w:eastAsia="en-NZ"/>
        </w:rPr>
        <w:t xml:space="preserve"> group</w:t>
      </w:r>
      <w:r w:rsidR="00E7634B">
        <w:rPr>
          <w:noProof/>
          <w:lang w:eastAsia="en-NZ"/>
        </w:rPr>
        <w:t>s</w:t>
      </w:r>
      <w:r w:rsidR="000C5942">
        <w:rPr>
          <w:noProof/>
          <w:lang w:eastAsia="en-NZ"/>
        </w:rPr>
        <w:t>. This finding supports our chapter 2 student profile</w:t>
      </w:r>
      <w:r w:rsidR="00F15DB0">
        <w:rPr>
          <w:noProof/>
          <w:lang w:eastAsia="en-NZ"/>
        </w:rPr>
        <w:t>,</w:t>
      </w:r>
      <w:r w:rsidR="000C5942">
        <w:rPr>
          <w:noProof/>
          <w:lang w:eastAsia="en-NZ"/>
        </w:rPr>
        <w:t xml:space="preserve"> which indicated that older students had higher levels of participation in extramural courses.</w:t>
      </w:r>
    </w:p>
    <w:p w:rsidR="00960267" w:rsidRDefault="00DE6652" w:rsidP="00960267">
      <w:pPr>
        <w:pStyle w:val="BodyText"/>
        <w:rPr>
          <w:noProof/>
          <w:lang w:eastAsia="en-NZ"/>
        </w:rPr>
      </w:pPr>
      <w:r>
        <w:rPr>
          <w:noProof/>
          <w:lang w:eastAsia="en-NZ"/>
        </w:rPr>
        <w:t xml:space="preserve">Between 2005 and </w:t>
      </w:r>
      <w:r w:rsidRPr="00E2796F">
        <w:rPr>
          <w:noProof/>
          <w:lang w:eastAsia="en-NZ"/>
        </w:rPr>
        <w:t>2011 there</w:t>
      </w:r>
      <w:r>
        <w:rPr>
          <w:noProof/>
          <w:lang w:eastAsia="en-NZ"/>
        </w:rPr>
        <w:t xml:space="preserve"> was a large decrease in the number of people aged 40+ participating in tertiary education. </w:t>
      </w:r>
      <w:r w:rsidR="00960267">
        <w:rPr>
          <w:noProof/>
          <w:lang w:eastAsia="en-NZ"/>
        </w:rPr>
        <w:t>E</w:t>
      </w:r>
      <w:r>
        <w:rPr>
          <w:noProof/>
          <w:lang w:eastAsia="en-NZ"/>
        </w:rPr>
        <w:t xml:space="preserve">nrolments in that age group fell by </w:t>
      </w:r>
      <w:r w:rsidR="004A7D34">
        <w:rPr>
          <w:noProof/>
          <w:lang w:eastAsia="en-NZ"/>
        </w:rPr>
        <w:t xml:space="preserve">about </w:t>
      </w:r>
      <w:r>
        <w:rPr>
          <w:noProof/>
          <w:lang w:eastAsia="en-NZ"/>
        </w:rPr>
        <w:t>1</w:t>
      </w:r>
      <w:r w:rsidR="004A7D34">
        <w:rPr>
          <w:noProof/>
          <w:lang w:eastAsia="en-NZ"/>
        </w:rPr>
        <w:t>5</w:t>
      </w:r>
      <w:r>
        <w:rPr>
          <w:noProof/>
          <w:lang w:eastAsia="en-NZ"/>
        </w:rPr>
        <w:t xml:space="preserve"> percent, with intramural </w:t>
      </w:r>
      <w:r w:rsidR="004A7D34">
        <w:rPr>
          <w:noProof/>
          <w:lang w:eastAsia="en-NZ"/>
        </w:rPr>
        <w:t>EFTS</w:t>
      </w:r>
      <w:r>
        <w:rPr>
          <w:noProof/>
          <w:lang w:eastAsia="en-NZ"/>
        </w:rPr>
        <w:t xml:space="preserve"> falling from </w:t>
      </w:r>
      <w:r w:rsidR="004A7D34">
        <w:rPr>
          <w:noProof/>
          <w:lang w:eastAsia="en-NZ"/>
        </w:rPr>
        <w:t>nearly 38</w:t>
      </w:r>
      <w:r>
        <w:rPr>
          <w:noProof/>
          <w:lang w:eastAsia="en-NZ"/>
        </w:rPr>
        <w:t xml:space="preserve">,000 to about </w:t>
      </w:r>
      <w:r w:rsidR="004A7D34">
        <w:rPr>
          <w:noProof/>
          <w:lang w:eastAsia="en-NZ"/>
        </w:rPr>
        <w:t>32</w:t>
      </w:r>
      <w:r>
        <w:rPr>
          <w:noProof/>
          <w:lang w:eastAsia="en-NZ"/>
        </w:rPr>
        <w:t>,000, slightly offset by a</w:t>
      </w:r>
      <w:r w:rsidR="004A7D34">
        <w:rPr>
          <w:noProof/>
          <w:lang w:eastAsia="en-NZ"/>
        </w:rPr>
        <w:t xml:space="preserve"> small</w:t>
      </w:r>
      <w:r>
        <w:rPr>
          <w:noProof/>
          <w:lang w:eastAsia="en-NZ"/>
        </w:rPr>
        <w:t xml:space="preserve"> increase </w:t>
      </w:r>
      <w:r w:rsidR="003B2DE1">
        <w:rPr>
          <w:noProof/>
          <w:lang w:eastAsia="en-NZ"/>
        </w:rPr>
        <w:t>in</w:t>
      </w:r>
      <w:r>
        <w:rPr>
          <w:noProof/>
          <w:lang w:eastAsia="en-NZ"/>
        </w:rPr>
        <w:t xml:space="preserve"> the number participating in extramural courses (from about </w:t>
      </w:r>
      <w:r w:rsidR="004A7D34">
        <w:rPr>
          <w:noProof/>
          <w:lang w:eastAsia="en-NZ"/>
        </w:rPr>
        <w:t>11</w:t>
      </w:r>
      <w:r w:rsidR="003B2DE1">
        <w:rPr>
          <w:noProof/>
          <w:lang w:eastAsia="en-NZ"/>
        </w:rPr>
        <w:t>,</w:t>
      </w:r>
      <w:r w:rsidR="004A7D34">
        <w:rPr>
          <w:noProof/>
          <w:lang w:eastAsia="en-NZ"/>
        </w:rPr>
        <w:t>7</w:t>
      </w:r>
      <w:r w:rsidR="003B2DE1">
        <w:rPr>
          <w:noProof/>
          <w:lang w:eastAsia="en-NZ"/>
        </w:rPr>
        <w:t>00</w:t>
      </w:r>
      <w:r>
        <w:rPr>
          <w:noProof/>
          <w:lang w:eastAsia="en-NZ"/>
        </w:rPr>
        <w:t xml:space="preserve"> to</w:t>
      </w:r>
      <w:r w:rsidR="004A7D34">
        <w:rPr>
          <w:noProof/>
          <w:lang w:eastAsia="en-NZ"/>
        </w:rPr>
        <w:t xml:space="preserve"> just over</w:t>
      </w:r>
      <w:r>
        <w:rPr>
          <w:noProof/>
          <w:lang w:eastAsia="en-NZ"/>
        </w:rPr>
        <w:t xml:space="preserve"> </w:t>
      </w:r>
      <w:r w:rsidR="004A7D34">
        <w:rPr>
          <w:noProof/>
          <w:lang w:eastAsia="en-NZ"/>
        </w:rPr>
        <w:t>12</w:t>
      </w:r>
      <w:r>
        <w:rPr>
          <w:noProof/>
          <w:lang w:eastAsia="en-NZ"/>
        </w:rPr>
        <w:t xml:space="preserve">,000 </w:t>
      </w:r>
      <w:r w:rsidR="004A7D34">
        <w:rPr>
          <w:noProof/>
          <w:lang w:eastAsia="en-NZ"/>
        </w:rPr>
        <w:t>EFTS</w:t>
      </w:r>
      <w:r>
        <w:rPr>
          <w:noProof/>
          <w:lang w:eastAsia="en-NZ"/>
        </w:rPr>
        <w:t xml:space="preserve">). </w:t>
      </w:r>
    </w:p>
    <w:p w:rsidR="000C5942" w:rsidRDefault="000C5942" w:rsidP="00960267">
      <w:pPr>
        <w:pStyle w:val="BodyText"/>
      </w:pPr>
      <w:r>
        <w:t xml:space="preserve">The changes in the </w:t>
      </w:r>
      <w:r w:rsidR="003B2DE1">
        <w:t>patterns of enrolment in</w:t>
      </w:r>
      <w:r>
        <w:t xml:space="preserve"> the 40+ age group </w:t>
      </w:r>
      <w:r w:rsidR="003B2DE1">
        <w:t xml:space="preserve">over that period reflect </w:t>
      </w:r>
      <w:r w:rsidR="00A13D8F">
        <w:t xml:space="preserve">the government’s moves </w:t>
      </w:r>
      <w:r w:rsidR="003B2DE1">
        <w:t xml:space="preserve">to lift quality in the tertiary education system. Those </w:t>
      </w:r>
      <w:r w:rsidR="00A13D8F">
        <w:t>changes</w:t>
      </w:r>
      <w:r w:rsidR="003B2DE1">
        <w:t xml:space="preserve"> led to reductions in the numbers taking some lower</w:t>
      </w:r>
      <w:r w:rsidR="002F1CB1">
        <w:t>-</w:t>
      </w:r>
      <w:r w:rsidR="003B2DE1">
        <w:t>level qualifications and</w:t>
      </w:r>
      <w:r w:rsidR="002F1CB1">
        <w:t>,</w:t>
      </w:r>
      <w:r w:rsidR="003B2DE1">
        <w:t xml:space="preserve"> </w:t>
      </w:r>
      <w:r w:rsidR="003B2DE1" w:rsidRPr="002F1CB1">
        <w:t>consequently, to</w:t>
      </w:r>
      <w:r w:rsidR="003B2DE1">
        <w:t xml:space="preserve"> reductions in the number of older students in the system. </w:t>
      </w:r>
      <w:r>
        <w:t>At the same time</w:t>
      </w:r>
      <w:r w:rsidR="005D4F8A">
        <w:t>,</w:t>
      </w:r>
      <w:r>
        <w:t xml:space="preserve"> institutions were encouraged to increase the participation of the 18-</w:t>
      </w:r>
      <w:r w:rsidRPr="007475BD">
        <w:t>19 year olds age</w:t>
      </w:r>
      <w:r>
        <w:t xml:space="preserve"> group </w:t>
      </w:r>
      <w:r w:rsidR="003B2DE1">
        <w:t xml:space="preserve">through the Tertiary Education Strategies published in 2006 and 2009 </w:t>
      </w:r>
      <w:r>
        <w:rPr>
          <w:noProof/>
          <w:lang w:eastAsia="en-NZ"/>
        </w:rPr>
        <w:t>(Smyth, 2012)</w:t>
      </w:r>
      <w:r>
        <w:t xml:space="preserve">. </w:t>
      </w:r>
    </w:p>
    <w:p w:rsidR="000C5942" w:rsidRDefault="000C5942" w:rsidP="00910C58">
      <w:pPr>
        <w:pStyle w:val="Caption"/>
      </w:pPr>
      <w:r>
        <w:lastRenderedPageBreak/>
        <w:t>Figure 8</w:t>
      </w:r>
    </w:p>
    <w:p w:rsidR="000C5942" w:rsidRDefault="00C43C1D" w:rsidP="00910C58">
      <w:pPr>
        <w:pStyle w:val="Figurelabel"/>
      </w:pPr>
      <w:bookmarkStart w:id="25" w:name="_Toc379546001"/>
      <w:r>
        <w:t xml:space="preserve">Proportion of </w:t>
      </w:r>
      <w:r w:rsidRPr="00E505D9">
        <w:t>under 25 year olds, 25-39 year olds and 40+ age groups</w:t>
      </w:r>
      <w:r w:rsidR="00E505D9">
        <w:t>’</w:t>
      </w:r>
      <w:r w:rsidR="00D73855" w:rsidRPr="00D73855">
        <w:t xml:space="preserve"> </w:t>
      </w:r>
      <w:r w:rsidR="00D73855">
        <w:t>extramural</w:t>
      </w:r>
      <w:r>
        <w:t xml:space="preserve"> </w:t>
      </w:r>
      <w:r w:rsidR="00D73855">
        <w:t xml:space="preserve">and </w:t>
      </w:r>
      <w:r>
        <w:t xml:space="preserve">intramural EFTS in </w:t>
      </w:r>
      <w:r w:rsidR="000C5942">
        <w:t xml:space="preserve">the No </w:t>
      </w:r>
      <w:r>
        <w:t>ICT</w:t>
      </w:r>
      <w:r w:rsidR="00DF102C">
        <w:t xml:space="preserve"> </w:t>
      </w:r>
      <w:r w:rsidR="000C5942">
        <w:t>and           e-learning delivery modes</w:t>
      </w:r>
      <w:bookmarkEnd w:id="25"/>
    </w:p>
    <w:p w:rsidR="000C5942" w:rsidRDefault="00B33EB2" w:rsidP="00D55E4A">
      <w:pPr>
        <w:spacing w:after="240"/>
      </w:pPr>
      <w:r>
        <w:rPr>
          <w:noProof/>
          <w:lang w:eastAsia="en-NZ"/>
        </w:rPr>
        <w:drawing>
          <wp:inline distT="0" distB="0" distL="0" distR="0">
            <wp:extent cx="4572000" cy="27432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3C1D" w:rsidRDefault="003B2DE1">
      <w:pPr>
        <w:spacing w:after="240"/>
        <w:jc w:val="both"/>
      </w:pPr>
      <w:r>
        <w:t xml:space="preserve">Figure 8 shows the </w:t>
      </w:r>
      <w:r w:rsidRPr="0007355F">
        <w:t xml:space="preserve">shift </w:t>
      </w:r>
      <w:r w:rsidR="0007355F">
        <w:t>in</w:t>
      </w:r>
      <w:r w:rsidRPr="0007355F">
        <w:t xml:space="preserve"> </w:t>
      </w:r>
      <w:r w:rsidR="001B1078" w:rsidRPr="0007355F">
        <w:t>participation</w:t>
      </w:r>
      <w:r w:rsidR="001B1078">
        <w:t xml:space="preserve"> in </w:t>
      </w:r>
      <w:r>
        <w:t xml:space="preserve">intramural </w:t>
      </w:r>
      <w:r w:rsidR="001B1078">
        <w:t>courses</w:t>
      </w:r>
      <w:r>
        <w:t xml:space="preserve"> from those delivered by traditional means to </w:t>
      </w:r>
      <w:r w:rsidR="00C43C1D">
        <w:t>e</w:t>
      </w:r>
      <w:r>
        <w:t>-</w:t>
      </w:r>
      <w:r w:rsidR="00C43C1D">
        <w:t>l</w:t>
      </w:r>
      <w:r>
        <w:t xml:space="preserve">earning, also evident in Figures 2 and 5 above. </w:t>
      </w:r>
      <w:r w:rsidR="00294CBE">
        <w:t xml:space="preserve">Among the intramural students, </w:t>
      </w:r>
      <w:r w:rsidR="000C5942">
        <w:t xml:space="preserve">the </w:t>
      </w:r>
      <w:r w:rsidR="00C43C1D">
        <w:t>under 25</w:t>
      </w:r>
      <w:r w:rsidR="000C5942">
        <w:t xml:space="preserve"> year olds had </w:t>
      </w:r>
      <w:r w:rsidR="005B453F">
        <w:t>the</w:t>
      </w:r>
      <w:r w:rsidR="000C5942">
        <w:t xml:space="preserve"> highe</w:t>
      </w:r>
      <w:r w:rsidR="005B453F">
        <w:t>st</w:t>
      </w:r>
      <w:r w:rsidR="000C5942">
        <w:t xml:space="preserve"> proportion of their EFTS in e-learning </w:t>
      </w:r>
      <w:r w:rsidR="00C20F25">
        <w:t>(although they</w:t>
      </w:r>
      <w:r w:rsidR="00C43C1D">
        <w:t xml:space="preserve"> still had a majority of their courses delivered by traditional means</w:t>
      </w:r>
      <w:r w:rsidR="00C20F25">
        <w:t>)</w:t>
      </w:r>
      <w:r w:rsidR="000C5942">
        <w:t xml:space="preserve">. </w:t>
      </w:r>
    </w:p>
    <w:p w:rsidR="00C43C1D" w:rsidRDefault="00294CBE">
      <w:pPr>
        <w:spacing w:after="240"/>
        <w:jc w:val="both"/>
      </w:pPr>
      <w:r>
        <w:t xml:space="preserve">However, when we look at extramural </w:t>
      </w:r>
      <w:r w:rsidR="00946843">
        <w:t>courses</w:t>
      </w:r>
      <w:r>
        <w:t xml:space="preserve">, </w:t>
      </w:r>
      <w:r w:rsidR="000C5942">
        <w:t xml:space="preserve">the </w:t>
      </w:r>
      <w:r w:rsidR="00C43C1D">
        <w:t>under 25</w:t>
      </w:r>
      <w:r w:rsidR="000C5942">
        <w:t xml:space="preserve"> year olds had </w:t>
      </w:r>
      <w:r w:rsidR="005B453F">
        <w:t>the</w:t>
      </w:r>
      <w:r w:rsidR="00946843">
        <w:t xml:space="preserve"> large</w:t>
      </w:r>
      <w:r w:rsidR="005B453F">
        <w:t>st</w:t>
      </w:r>
      <w:r w:rsidR="000C5942">
        <w:t xml:space="preserve"> increase</w:t>
      </w:r>
      <w:r w:rsidR="001B1078">
        <w:t xml:space="preserve"> in participation</w:t>
      </w:r>
      <w:r w:rsidR="00946843">
        <w:t xml:space="preserve"> </w:t>
      </w:r>
      <w:r>
        <w:t xml:space="preserve">in </w:t>
      </w:r>
      <w:r w:rsidR="00060094">
        <w:t xml:space="preserve">traditional delivery </w:t>
      </w:r>
      <w:r>
        <w:t xml:space="preserve">courses. </w:t>
      </w:r>
      <w:r w:rsidR="00946843">
        <w:t>But</w:t>
      </w:r>
      <w:r w:rsidR="00C20F25">
        <w:t xml:space="preserve"> the 25-39 </w:t>
      </w:r>
      <w:r w:rsidR="00C20F25" w:rsidRPr="002C045D">
        <w:t>year olds group</w:t>
      </w:r>
      <w:r w:rsidR="00C20F25">
        <w:t xml:space="preserve"> had</w:t>
      </w:r>
      <w:r w:rsidR="005B453F">
        <w:t xml:space="preserve"> the</w:t>
      </w:r>
      <w:r w:rsidR="00C20F25">
        <w:t xml:space="preserve"> </w:t>
      </w:r>
      <w:r w:rsidR="005B453F">
        <w:t xml:space="preserve">strongest </w:t>
      </w:r>
      <w:r w:rsidR="00C20F25">
        <w:t xml:space="preserve">growth in their extramural </w:t>
      </w:r>
      <w:r w:rsidR="00946843">
        <w:t xml:space="preserve">e-learning </w:t>
      </w:r>
      <w:r w:rsidR="00C20F25">
        <w:t>EFTS</w:t>
      </w:r>
      <w:r w:rsidR="00946843">
        <w:t>. So by</w:t>
      </w:r>
      <w:r w:rsidR="000C5942">
        <w:t xml:space="preserve"> </w:t>
      </w:r>
      <w:r w:rsidR="000C5942" w:rsidRPr="0013525B">
        <w:t>2011</w:t>
      </w:r>
      <w:r w:rsidR="0007355F">
        <w:t>,</w:t>
      </w:r>
      <w:r w:rsidR="000C5942" w:rsidRPr="0013525B">
        <w:t xml:space="preserve"> the </w:t>
      </w:r>
      <w:r w:rsidR="00C43C1D" w:rsidRPr="0013525B">
        <w:t>25-39 year olds</w:t>
      </w:r>
      <w:r w:rsidR="001B1078" w:rsidRPr="0013525B">
        <w:t xml:space="preserve"> age</w:t>
      </w:r>
      <w:r w:rsidR="000C5942" w:rsidRPr="0013525B">
        <w:t xml:space="preserve"> group</w:t>
      </w:r>
      <w:r w:rsidR="000C5942">
        <w:t xml:space="preserve"> had higher </w:t>
      </w:r>
      <w:r w:rsidR="001B1078">
        <w:t>participation in</w:t>
      </w:r>
      <w:r w:rsidR="000C5942">
        <w:t xml:space="preserve"> extramural</w:t>
      </w:r>
      <w:r w:rsidR="001B1078">
        <w:t xml:space="preserve"> </w:t>
      </w:r>
      <w:r w:rsidR="000C5942">
        <w:t xml:space="preserve">e-learning </w:t>
      </w:r>
      <w:r w:rsidR="001B1078">
        <w:t xml:space="preserve">courses </w:t>
      </w:r>
      <w:r w:rsidR="000C5942">
        <w:t xml:space="preserve">than the </w:t>
      </w:r>
      <w:r w:rsidR="00C43C1D">
        <w:t>under 25</w:t>
      </w:r>
      <w:r w:rsidR="000C5942">
        <w:t xml:space="preserve"> year olds. </w:t>
      </w:r>
      <w:r w:rsidR="00060094">
        <w:t xml:space="preserve">This finding is in contrast to our earlier </w:t>
      </w:r>
      <w:r w:rsidR="00060094" w:rsidRPr="002C045D">
        <w:t>report</w:t>
      </w:r>
      <w:r w:rsidR="002C045D">
        <w:t>,</w:t>
      </w:r>
      <w:r w:rsidR="00060094" w:rsidRPr="002C045D">
        <w:t xml:space="preserve"> which</w:t>
      </w:r>
      <w:r w:rsidR="00060094">
        <w:t xml:space="preserve"> showed that younger learners had higher levels of participation in e-learning courses (Guiney, 2011).</w:t>
      </w:r>
    </w:p>
    <w:p w:rsidR="000C5942" w:rsidRDefault="000C5942" w:rsidP="00977C00">
      <w:pPr>
        <w:pStyle w:val="Caption"/>
        <w:jc w:val="both"/>
      </w:pPr>
      <w:r>
        <w:t>Figure 9</w:t>
      </w:r>
    </w:p>
    <w:p w:rsidR="00DF102C" w:rsidRDefault="00DF102C" w:rsidP="00DF102C">
      <w:pPr>
        <w:pStyle w:val="Figurelabel"/>
      </w:pPr>
      <w:bookmarkStart w:id="26" w:name="_Toc359229060"/>
      <w:bookmarkStart w:id="27" w:name="_Toc379546002"/>
      <w:r>
        <w:t xml:space="preserve">Under 25 year olds, 25-39 year olds and 40+ age </w:t>
      </w:r>
      <w:r w:rsidRPr="00E505D9">
        <w:t>groups</w:t>
      </w:r>
      <w:r w:rsidR="00E505D9">
        <w:t>’</w:t>
      </w:r>
      <w:r w:rsidR="00D73855" w:rsidRPr="00E505D9">
        <w:t xml:space="preserve"> extramural</w:t>
      </w:r>
      <w:r w:rsidR="00D73855">
        <w:t xml:space="preserve"> and</w:t>
      </w:r>
      <w:r>
        <w:t xml:space="preserve"> intramural course completion rates </w:t>
      </w:r>
      <w:r w:rsidR="00AD5EE7">
        <w:t>in</w:t>
      </w:r>
      <w:r>
        <w:t xml:space="preserve"> the No ICT and e-learning delivery modes</w:t>
      </w:r>
      <w:bookmarkEnd w:id="26"/>
      <w:bookmarkEnd w:id="27"/>
    </w:p>
    <w:p w:rsidR="00DF102C" w:rsidRDefault="008D6563" w:rsidP="00DF102C">
      <w:pPr>
        <w:pStyle w:val="BodyText"/>
        <w:rPr>
          <w:noProof/>
          <w:lang w:eastAsia="en-NZ"/>
        </w:rPr>
      </w:pPr>
      <w:r w:rsidRPr="008D6563">
        <w:rPr>
          <w:noProof/>
          <w:lang w:eastAsia="en-NZ"/>
        </w:rPr>
        <w:drawing>
          <wp:inline distT="0" distB="0" distL="0" distR="0">
            <wp:extent cx="4572000" cy="2743200"/>
            <wp:effectExtent l="0" t="0" r="0" b="0"/>
            <wp:docPr id="4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D6563">
        <w:rPr>
          <w:noProof/>
          <w:lang w:eastAsia="en-NZ"/>
        </w:rPr>
        <w:t xml:space="preserve"> </w:t>
      </w:r>
      <w:r w:rsidR="00DD5FE0" w:rsidRPr="00DD5FE0">
        <w:rPr>
          <w:noProof/>
          <w:lang w:eastAsia="en-NZ"/>
        </w:rPr>
        <w:t xml:space="preserve"> </w:t>
      </w:r>
      <w:r w:rsidR="000671B3" w:rsidRPr="000671B3">
        <w:rPr>
          <w:noProof/>
          <w:lang w:eastAsia="en-NZ"/>
        </w:rPr>
        <w:t xml:space="preserve"> </w:t>
      </w:r>
    </w:p>
    <w:p w:rsidR="00DB3521" w:rsidRDefault="00DB3521" w:rsidP="00EE34F6">
      <w:pPr>
        <w:pStyle w:val="Note"/>
        <w:spacing w:before="0" w:after="0" w:line="240" w:lineRule="auto"/>
      </w:pPr>
    </w:p>
    <w:p w:rsidR="000C5942" w:rsidRDefault="000C5942" w:rsidP="00EE34F6">
      <w:pPr>
        <w:pStyle w:val="Note"/>
        <w:spacing w:before="0" w:after="0" w:line="240" w:lineRule="auto"/>
      </w:pPr>
      <w:r w:rsidRPr="00890261">
        <w:lastRenderedPageBreak/>
        <w:t>Notes:</w:t>
      </w:r>
    </w:p>
    <w:p w:rsidR="00DB3521" w:rsidRDefault="00DB3521" w:rsidP="00DB3521">
      <w:pPr>
        <w:pStyle w:val="Note"/>
        <w:numPr>
          <w:ilvl w:val="0"/>
          <w:numId w:val="43"/>
        </w:numPr>
        <w:spacing w:before="0" w:after="0" w:line="240" w:lineRule="auto"/>
      </w:pPr>
      <w:r>
        <w:t>The completion rates are adjusted for the level of courses.</w:t>
      </w:r>
    </w:p>
    <w:p w:rsidR="00DB3521" w:rsidRDefault="00DB3521" w:rsidP="00DB3521">
      <w:pPr>
        <w:pStyle w:val="Note"/>
        <w:numPr>
          <w:ilvl w:val="0"/>
          <w:numId w:val="43"/>
        </w:numPr>
        <w:spacing w:before="0" w:after="0" w:line="240" w:lineRule="auto"/>
      </w:pPr>
      <w:r>
        <w:t>Completion rates are EFTS-weighted.</w:t>
      </w:r>
    </w:p>
    <w:p w:rsidR="00DB3521" w:rsidRPr="00F3618F" w:rsidRDefault="00DB3521" w:rsidP="00DB3521">
      <w:pPr>
        <w:pStyle w:val="Note"/>
        <w:numPr>
          <w:ilvl w:val="0"/>
          <w:numId w:val="43"/>
        </w:numPr>
        <w:spacing w:before="0" w:line="240" w:lineRule="auto"/>
      </w:pPr>
      <w:r>
        <w:t xml:space="preserve">The completion rates in this graph are the aggregate over the eight years </w:t>
      </w:r>
      <w:r w:rsidRPr="00D12A2B">
        <w:t>2004-2011</w:t>
      </w:r>
      <w:r>
        <w:t>.</w:t>
      </w:r>
    </w:p>
    <w:p w:rsidR="000C5942" w:rsidRDefault="001B1078" w:rsidP="00977C00">
      <w:pPr>
        <w:pStyle w:val="BodyText"/>
      </w:pPr>
      <w:r>
        <w:t>For all age groups</w:t>
      </w:r>
      <w:r w:rsidR="0081772E">
        <w:t>,</w:t>
      </w:r>
      <w:r>
        <w:t xml:space="preserve"> i</w:t>
      </w:r>
      <w:r w:rsidR="000C5942">
        <w:t xml:space="preserve">ntramural </w:t>
      </w:r>
      <w:r w:rsidR="00EE34F6">
        <w:t xml:space="preserve">courses </w:t>
      </w:r>
      <w:r w:rsidR="000C5942">
        <w:t>had higher completion rate</w:t>
      </w:r>
      <w:r w:rsidR="00EE34F6">
        <w:t>s</w:t>
      </w:r>
      <w:r w:rsidR="000C5942">
        <w:t xml:space="preserve"> than extramural </w:t>
      </w:r>
      <w:r>
        <w:t>courses</w:t>
      </w:r>
      <w:r w:rsidR="0081772E">
        <w:t>,</w:t>
      </w:r>
      <w:r>
        <w:t xml:space="preserve"> </w:t>
      </w:r>
      <w:r w:rsidR="000C5942">
        <w:t xml:space="preserve">regardless of delivery mode. </w:t>
      </w:r>
      <w:r w:rsidR="008D5BDA">
        <w:t>The one exception was among those</w:t>
      </w:r>
      <w:r w:rsidR="00946843">
        <w:t xml:space="preserve"> students</w:t>
      </w:r>
      <w:r w:rsidR="008D5BDA">
        <w:t xml:space="preserve"> aged</w:t>
      </w:r>
      <w:r w:rsidR="000C5942">
        <w:t xml:space="preserve"> 40+ </w:t>
      </w:r>
      <w:r w:rsidR="008D5BDA">
        <w:t xml:space="preserve">studying in </w:t>
      </w:r>
      <w:r w:rsidR="00621608">
        <w:t xml:space="preserve">traditional delivery </w:t>
      </w:r>
      <w:r w:rsidR="008D5BDA">
        <w:t>courses</w:t>
      </w:r>
      <w:r w:rsidR="00485E62">
        <w:t xml:space="preserve"> </w:t>
      </w:r>
      <w:r w:rsidR="008D5BDA">
        <w:t xml:space="preserve">– for that age group and mode of delivery, the pass rate for extramural courses was </w:t>
      </w:r>
      <w:r w:rsidR="000C5942">
        <w:t xml:space="preserve">fractionally higher than </w:t>
      </w:r>
      <w:r w:rsidR="008D5BDA">
        <w:t xml:space="preserve">the rate for </w:t>
      </w:r>
      <w:r w:rsidR="000C5942">
        <w:t xml:space="preserve">intramural </w:t>
      </w:r>
      <w:r w:rsidR="008D5BDA">
        <w:t>courses</w:t>
      </w:r>
      <w:r w:rsidR="000C5942">
        <w:t xml:space="preserve">. </w:t>
      </w:r>
      <w:r w:rsidR="00DF102C">
        <w:t xml:space="preserve">And the 25-39 </w:t>
      </w:r>
      <w:r w:rsidR="00DF102C" w:rsidRPr="0031470F">
        <w:t>year olds and 40+ age groups</w:t>
      </w:r>
      <w:r w:rsidR="00DF102C">
        <w:t xml:space="preserve">, unlike the under 25 year olds, had marginally higher completion rates for intramural courses delivered by e-learning. All age groups had higher completion rates in extramural </w:t>
      </w:r>
      <w:r w:rsidR="00621608">
        <w:t xml:space="preserve">traditional delivery </w:t>
      </w:r>
      <w:r w:rsidR="00DF102C">
        <w:t>courses</w:t>
      </w:r>
      <w:r w:rsidR="00621608">
        <w:t xml:space="preserve">. </w:t>
      </w:r>
      <w:r w:rsidR="00DF102C">
        <w:t xml:space="preserve"> </w:t>
      </w:r>
    </w:p>
    <w:p w:rsidR="00F85BF8" w:rsidRDefault="00060094" w:rsidP="00F85BF8">
      <w:pPr>
        <w:pStyle w:val="BodyText"/>
        <w:rPr>
          <w:lang w:val="en-GB" w:eastAsia="en-GB"/>
        </w:rPr>
      </w:pPr>
      <w:r>
        <w:t xml:space="preserve">The 40+ age group had </w:t>
      </w:r>
      <w:r w:rsidR="00621608">
        <w:t>the highest</w:t>
      </w:r>
      <w:r>
        <w:t xml:space="preserve"> completion rate in extramural course</w:t>
      </w:r>
      <w:r w:rsidRPr="008A514E">
        <w:t>s</w:t>
      </w:r>
      <w:r w:rsidR="008A514E">
        <w:t>,</w:t>
      </w:r>
      <w:r w:rsidRPr="008A514E">
        <w:t xml:space="preserve"> </w:t>
      </w:r>
      <w:r w:rsidR="00621608" w:rsidRPr="008A514E">
        <w:t>ir</w:t>
      </w:r>
      <w:r w:rsidR="00621608">
        <w:t>respective of delivery mode</w:t>
      </w:r>
      <w:r>
        <w:t xml:space="preserve">. </w:t>
      </w:r>
      <w:r w:rsidR="000C5942">
        <w:t xml:space="preserve">Some of the research literature suggests that </w:t>
      </w:r>
      <w:r w:rsidR="00E94127">
        <w:t xml:space="preserve">those in </w:t>
      </w:r>
      <w:r w:rsidR="000C5942">
        <w:t xml:space="preserve">the 40+ age group </w:t>
      </w:r>
      <w:r w:rsidR="000C5942" w:rsidRPr="00E94127">
        <w:t>are</w:t>
      </w:r>
      <w:r w:rsidR="000C5942">
        <w:t xml:space="preserve"> more likely to have higher levels of achievement in e-learning than younger learners because </w:t>
      </w:r>
      <w:r w:rsidR="000C5942" w:rsidRPr="00E94127">
        <w:t>they possess</w:t>
      </w:r>
      <w:r w:rsidR="000C5942">
        <w:t xml:space="preserve"> critical study</w:t>
      </w:r>
      <w:r w:rsidR="008903EE">
        <w:t>-</w:t>
      </w:r>
      <w:r w:rsidR="000C5942">
        <w:t>related characteristics such as motivation and the ability to work independently (</w:t>
      </w:r>
      <w:r w:rsidR="008515F0">
        <w:t>Deka and McMurry, 2006; Coldwell et al., 2008; Nichols, 2008; Nora and Snyder, 2008</w:t>
      </w:r>
      <w:r w:rsidR="000C5942">
        <w:t xml:space="preserve">). The fact that </w:t>
      </w:r>
      <w:r w:rsidR="000E4F7A">
        <w:t xml:space="preserve">those in </w:t>
      </w:r>
      <w:r w:rsidR="000C5942">
        <w:t xml:space="preserve">the 40+ age group </w:t>
      </w:r>
      <w:r w:rsidR="000C5942" w:rsidRPr="000E4F7A">
        <w:t>are</w:t>
      </w:r>
      <w:r w:rsidR="000C5942">
        <w:t xml:space="preserve"> more likely to choose extramural study may</w:t>
      </w:r>
      <w:r w:rsidR="00946843">
        <w:t xml:space="preserve"> also</w:t>
      </w:r>
      <w:r w:rsidR="000C5942">
        <w:t xml:space="preserve"> indicate more positive attitudes towards it than the </w:t>
      </w:r>
      <w:r w:rsidR="00DF102C">
        <w:t>under 25 year</w:t>
      </w:r>
      <w:r w:rsidR="000C5942">
        <w:t xml:space="preserve"> olds. </w:t>
      </w:r>
      <w:r w:rsidR="005B453F">
        <w:t>And t</w:t>
      </w:r>
      <w:r w:rsidR="000C5942">
        <w:t>hese positive attitudes are more likely to lead to success</w:t>
      </w:r>
      <w:r w:rsidR="00F85BF8">
        <w:t xml:space="preserve"> </w:t>
      </w:r>
      <w:r w:rsidR="00F85BF8">
        <w:rPr>
          <w:lang w:val="en-GB" w:eastAsia="en-GB"/>
        </w:rPr>
        <w:t>(Schloss</w:t>
      </w:r>
      <w:r w:rsidR="00F85BF8" w:rsidRPr="000E4F7A">
        <w:rPr>
          <w:lang w:val="en-GB" w:eastAsia="en-GB"/>
        </w:rPr>
        <w:t>er</w:t>
      </w:r>
      <w:r w:rsidR="00CB053D" w:rsidRPr="000E4F7A">
        <w:rPr>
          <w:lang w:val="en-GB" w:eastAsia="en-GB"/>
        </w:rPr>
        <w:t>,</w:t>
      </w:r>
      <w:r w:rsidR="00F85BF8" w:rsidRPr="000E4F7A">
        <w:rPr>
          <w:lang w:val="en-GB" w:eastAsia="en-GB"/>
        </w:rPr>
        <w:t xml:space="preserve"> C.</w:t>
      </w:r>
      <w:r w:rsidR="00F85BF8">
        <w:rPr>
          <w:lang w:val="en-GB" w:eastAsia="en-GB"/>
        </w:rPr>
        <w:t xml:space="preserve"> A</w:t>
      </w:r>
      <w:r w:rsidR="00F85BF8" w:rsidRPr="00CB053D">
        <w:rPr>
          <w:lang w:val="en-GB" w:eastAsia="en-GB"/>
        </w:rPr>
        <w:t>. and</w:t>
      </w:r>
      <w:r w:rsidR="00F85BF8">
        <w:rPr>
          <w:lang w:val="en-GB" w:eastAsia="en-GB"/>
        </w:rPr>
        <w:t xml:space="preserve"> Anderson, 1994; Palloff and Pratt, 2003; </w:t>
      </w:r>
      <w:r w:rsidR="00F85BF8" w:rsidRPr="00890261">
        <w:rPr>
          <w:lang w:val="en-GB" w:eastAsia="en-GB"/>
        </w:rPr>
        <w:t>BoPP</w:t>
      </w:r>
      <w:r w:rsidR="00F85BF8">
        <w:rPr>
          <w:lang w:val="en-GB" w:eastAsia="en-GB"/>
        </w:rPr>
        <w:t xml:space="preserve">, 2012; Brown et al., 2012; Massey University, 2012; </w:t>
      </w:r>
      <w:r w:rsidR="00F85BF8" w:rsidRPr="00890261">
        <w:rPr>
          <w:lang w:val="en-GB" w:eastAsia="en-GB"/>
        </w:rPr>
        <w:t>NMIT</w:t>
      </w:r>
      <w:r w:rsidR="00F85BF8">
        <w:rPr>
          <w:lang w:val="en-GB" w:eastAsia="en-GB"/>
        </w:rPr>
        <w:t>, 2012</w:t>
      </w:r>
      <w:r w:rsidR="00F85BF8">
        <w:rPr>
          <w:rStyle w:val="FootnoteReference"/>
          <w:lang w:val="en-GB" w:eastAsia="en-GB"/>
        </w:rPr>
        <w:footnoteReference w:id="13"/>
      </w:r>
      <w:r w:rsidR="00DD5FE0">
        <w:rPr>
          <w:lang w:val="en-GB" w:eastAsia="en-GB"/>
        </w:rPr>
        <w:t>)</w:t>
      </w:r>
      <w:r w:rsidR="00F85BF8">
        <w:rPr>
          <w:lang w:val="en-GB" w:eastAsia="en-GB"/>
        </w:rPr>
        <w:t xml:space="preserve">. </w:t>
      </w:r>
    </w:p>
    <w:p w:rsidR="000C5942" w:rsidRDefault="000C5942" w:rsidP="00411380">
      <w:pPr>
        <w:pStyle w:val="Heading2"/>
      </w:pPr>
      <w:bookmarkStart w:id="28" w:name="_Toc379545914"/>
      <w:r>
        <w:t>Ethnicity</w:t>
      </w:r>
      <w:bookmarkEnd w:id="28"/>
    </w:p>
    <w:p w:rsidR="000C5942" w:rsidRPr="00841210" w:rsidRDefault="00CA3918" w:rsidP="00EE6DAE">
      <w:pPr>
        <w:pStyle w:val="BodyText"/>
      </w:pPr>
      <w:r>
        <w:t>In t</w:t>
      </w:r>
      <w:r w:rsidR="000C5942">
        <w:t xml:space="preserve">his </w:t>
      </w:r>
      <w:r w:rsidR="000C5942" w:rsidRPr="00144486">
        <w:t>section</w:t>
      </w:r>
      <w:r w:rsidR="00144486">
        <w:t>,</w:t>
      </w:r>
      <w:r w:rsidR="000C5942" w:rsidRPr="00144486">
        <w:t xml:space="preserve"> </w:t>
      </w:r>
      <w:r w:rsidRPr="00144486">
        <w:t>we</w:t>
      </w:r>
      <w:r>
        <w:t xml:space="preserve"> </w:t>
      </w:r>
      <w:r w:rsidR="000C5942">
        <w:t xml:space="preserve">compare participation and achievement in </w:t>
      </w:r>
      <w:r w:rsidR="00BA58E8">
        <w:t>extramural</w:t>
      </w:r>
      <w:r w:rsidR="00BA58E8" w:rsidRPr="00BA58E8">
        <w:t xml:space="preserve"> </w:t>
      </w:r>
      <w:r w:rsidR="00BA58E8">
        <w:t xml:space="preserve">and </w:t>
      </w:r>
      <w:r w:rsidR="000C5942">
        <w:t xml:space="preserve">intramural </w:t>
      </w:r>
      <w:r w:rsidR="0001325A">
        <w:t xml:space="preserve">traditional delivery and e-learning </w:t>
      </w:r>
      <w:r w:rsidR="000C5942">
        <w:t xml:space="preserve">courses </w:t>
      </w:r>
      <w:r w:rsidR="0043215C">
        <w:t>by</w:t>
      </w:r>
      <w:r w:rsidR="000C5942">
        <w:t xml:space="preserve"> </w:t>
      </w:r>
      <w:r w:rsidR="0043215C">
        <w:t xml:space="preserve">ethnic group. </w:t>
      </w:r>
      <w:r w:rsidR="000C5942">
        <w:t xml:space="preserve">The ethnic groups examined </w:t>
      </w:r>
      <w:r>
        <w:t>here</w:t>
      </w:r>
      <w:r w:rsidR="000C5942">
        <w:t xml:space="preserve"> are European, Māori, </w:t>
      </w:r>
      <w:r w:rsidR="000C5942" w:rsidRPr="000E4F7A">
        <w:t>Pasifika and</w:t>
      </w:r>
      <w:r w:rsidR="000C5942">
        <w:t xml:space="preserve"> Asian. </w:t>
      </w:r>
    </w:p>
    <w:p w:rsidR="000C5942" w:rsidRDefault="000C5942" w:rsidP="00F00FF2">
      <w:pPr>
        <w:pStyle w:val="Caption"/>
      </w:pPr>
      <w:r>
        <w:t>Figure 10</w:t>
      </w:r>
    </w:p>
    <w:p w:rsidR="000C5942" w:rsidRDefault="000C5942" w:rsidP="00F00FF2">
      <w:pPr>
        <w:pStyle w:val="Figurelabel"/>
      </w:pPr>
      <w:bookmarkStart w:id="29" w:name="_Toc379546003"/>
      <w:r>
        <w:t xml:space="preserve">Proportion of </w:t>
      </w:r>
      <w:r w:rsidR="003873A1">
        <w:t>each</w:t>
      </w:r>
      <w:r>
        <w:t xml:space="preserve"> ethnic group</w:t>
      </w:r>
      <w:r w:rsidR="004E4D75">
        <w:t>’</w:t>
      </w:r>
      <w:r>
        <w:t>s</w:t>
      </w:r>
      <w:r w:rsidRPr="007213CE">
        <w:t xml:space="preserve"> </w:t>
      </w:r>
      <w:r>
        <w:t>total EFTS in extramural</w:t>
      </w:r>
      <w:bookmarkEnd w:id="29"/>
    </w:p>
    <w:p w:rsidR="000C5942" w:rsidRPr="00F00FF2" w:rsidRDefault="00B33EB2" w:rsidP="00F00FF2">
      <w:pPr>
        <w:pStyle w:val="BodyText"/>
      </w:pPr>
      <w:r>
        <w:rPr>
          <w:noProof/>
          <w:lang w:eastAsia="en-NZ"/>
        </w:rPr>
        <w:drawing>
          <wp:inline distT="0" distB="0" distL="0" distR="0">
            <wp:extent cx="4572000" cy="27432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5942" w:rsidRDefault="000C5942" w:rsidP="00CA0318">
      <w:pPr>
        <w:pStyle w:val="BodyText"/>
      </w:pPr>
      <w:r>
        <w:t xml:space="preserve">Māori had </w:t>
      </w:r>
      <w:r w:rsidR="00A93D72">
        <w:t>the highest</w:t>
      </w:r>
      <w:r>
        <w:t xml:space="preserve"> proportion of their EFTS in extramural courses</w:t>
      </w:r>
      <w:r w:rsidR="00FC377D">
        <w:t xml:space="preserve"> a</w:t>
      </w:r>
      <w:r>
        <w:t xml:space="preserve">nd </w:t>
      </w:r>
      <w:r w:rsidR="00A93D72">
        <w:t>they ha</w:t>
      </w:r>
      <w:r>
        <w:t xml:space="preserve">d </w:t>
      </w:r>
      <w:r w:rsidR="00A93D72">
        <w:t>the largest</w:t>
      </w:r>
      <w:r>
        <w:t xml:space="preserve"> increase over time in the</w:t>
      </w:r>
      <w:r w:rsidR="00CA3918">
        <w:t>ir</w:t>
      </w:r>
      <w:r>
        <w:t xml:space="preserve"> proportion of </w:t>
      </w:r>
      <w:r w:rsidR="00CA3918">
        <w:t>extramural</w:t>
      </w:r>
      <w:r>
        <w:t xml:space="preserve"> EFTS. Asians had </w:t>
      </w:r>
      <w:r w:rsidR="00A93D72">
        <w:t>the lowest</w:t>
      </w:r>
      <w:r>
        <w:t xml:space="preserve"> proportion of their EFTS in extramural. They also had </w:t>
      </w:r>
      <w:r w:rsidR="00A93D72">
        <w:t>the</w:t>
      </w:r>
      <w:r w:rsidR="00A0501B">
        <w:t xml:space="preserve"> large</w:t>
      </w:r>
      <w:r w:rsidR="00CA3918">
        <w:t>st</w:t>
      </w:r>
      <w:r>
        <w:t xml:space="preserve"> decrease over time in their proportion of </w:t>
      </w:r>
      <w:r>
        <w:lastRenderedPageBreak/>
        <w:t xml:space="preserve">extramural EFTS. This result </w:t>
      </w:r>
      <w:r w:rsidR="005768EC">
        <w:t>is consisten</w:t>
      </w:r>
      <w:r w:rsidR="001414D9">
        <w:t>t</w:t>
      </w:r>
      <w:r w:rsidR="005768EC">
        <w:t xml:space="preserve"> with </w:t>
      </w:r>
      <w:r>
        <w:t xml:space="preserve">our </w:t>
      </w:r>
      <w:r w:rsidR="004E4D75">
        <w:t>c</w:t>
      </w:r>
      <w:r>
        <w:t>hapter 2 profile</w:t>
      </w:r>
      <w:r w:rsidR="004E4D75">
        <w:t>,</w:t>
      </w:r>
      <w:r>
        <w:t xml:space="preserve"> which su</w:t>
      </w:r>
      <w:r w:rsidRPr="00890261">
        <w:t>ggest</w:t>
      </w:r>
      <w:r w:rsidR="00890261">
        <w:t>s</w:t>
      </w:r>
      <w:r>
        <w:t xml:space="preserve"> that Māori had higher participation in extramural courses than other ethnic groups. </w:t>
      </w:r>
      <w:r w:rsidR="0030523A">
        <w:t>This higher participation by Māori in extramural courses could be due to the influence of the wānanga (</w:t>
      </w:r>
      <w:r w:rsidR="00196F1E">
        <w:t>e.g.</w:t>
      </w:r>
      <w:r w:rsidR="0030523A">
        <w:t xml:space="preserve"> the Open Wānanga</w:t>
      </w:r>
      <w:r w:rsidR="004E4D75">
        <w:t>,</w:t>
      </w:r>
      <w:r w:rsidR="0030523A">
        <w:t xml:space="preserve"> which is part of Te Wānanga o Aotearoa</w:t>
      </w:r>
      <w:r w:rsidR="004E4D75">
        <w:t>,</w:t>
      </w:r>
      <w:r w:rsidR="0030523A">
        <w:t xml:space="preserve"> has about 5,000 EFTS</w:t>
      </w:r>
      <w:r w:rsidR="0030523A">
        <w:rPr>
          <w:rStyle w:val="FootnoteReference"/>
        </w:rPr>
        <w:footnoteReference w:id="14"/>
      </w:r>
      <w:r w:rsidR="0030523A">
        <w:t>).</w:t>
      </w:r>
    </w:p>
    <w:p w:rsidR="000C5942" w:rsidRDefault="000C5942" w:rsidP="008F5211">
      <w:pPr>
        <w:pStyle w:val="Caption"/>
      </w:pPr>
      <w:r>
        <w:t>Figure 11</w:t>
      </w:r>
    </w:p>
    <w:p w:rsidR="000C5942" w:rsidRDefault="000C5942" w:rsidP="008F5211">
      <w:pPr>
        <w:pStyle w:val="Figurelabel"/>
      </w:pPr>
      <w:bookmarkStart w:id="30" w:name="_Toc379546004"/>
      <w:r>
        <w:t xml:space="preserve">Proportion of the ethnic </w:t>
      </w:r>
      <w:r w:rsidRPr="00514668">
        <w:t>groups</w:t>
      </w:r>
      <w:r w:rsidR="004E4D75" w:rsidRPr="00514668">
        <w:t>’</w:t>
      </w:r>
      <w:r>
        <w:t xml:space="preserve"> total </w:t>
      </w:r>
      <w:r w:rsidR="00BA58E8">
        <w:t>extramural</w:t>
      </w:r>
      <w:r w:rsidR="00BA58E8" w:rsidRPr="00BA58E8">
        <w:t xml:space="preserve"> </w:t>
      </w:r>
      <w:r w:rsidR="00BA58E8">
        <w:t xml:space="preserve">and </w:t>
      </w:r>
      <w:r>
        <w:t>intramural EFTS in the e-learning delivery mode</w:t>
      </w:r>
      <w:bookmarkEnd w:id="30"/>
    </w:p>
    <w:p w:rsidR="000C5942" w:rsidRDefault="00B33EB2" w:rsidP="008F5211">
      <w:pPr>
        <w:pStyle w:val="BodyText"/>
        <w:rPr>
          <w:noProof/>
          <w:lang w:eastAsia="en-NZ"/>
        </w:rPr>
      </w:pPr>
      <w:r>
        <w:rPr>
          <w:noProof/>
          <w:lang w:eastAsia="en-NZ"/>
        </w:rPr>
        <w:drawing>
          <wp:inline distT="0" distB="0" distL="0" distR="0">
            <wp:extent cx="4572000" cy="2743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3C1D" w:rsidRDefault="000C5942">
      <w:pPr>
        <w:spacing w:after="240"/>
        <w:jc w:val="both"/>
      </w:pPr>
      <w:r>
        <w:t>Asian</w:t>
      </w:r>
      <w:r w:rsidR="005768EC">
        <w:t xml:space="preserve"> student</w:t>
      </w:r>
      <w:r>
        <w:t xml:space="preserve">s had </w:t>
      </w:r>
      <w:r w:rsidR="003E2D2D">
        <w:t>the highest</w:t>
      </w:r>
      <w:r>
        <w:t xml:space="preserve"> proportion of their intramural EFTS in e-learning. Europeans had </w:t>
      </w:r>
      <w:r w:rsidR="003E2D2D">
        <w:t xml:space="preserve">the highest </w:t>
      </w:r>
      <w:r>
        <w:t xml:space="preserve">proportion of their </w:t>
      </w:r>
      <w:r w:rsidR="005768EC">
        <w:t xml:space="preserve">extramural </w:t>
      </w:r>
      <w:r>
        <w:t>EFTS in e-learning</w:t>
      </w:r>
      <w:r w:rsidR="0026253B">
        <w:t>, but</w:t>
      </w:r>
      <w:r>
        <w:t xml:space="preserve"> Māori, unlike the other ethnic groups, had a large decline in their proportion of </w:t>
      </w:r>
      <w:r w:rsidR="00A0501B">
        <w:t xml:space="preserve">extramural </w:t>
      </w:r>
      <w:r>
        <w:t xml:space="preserve">EFTS </w:t>
      </w:r>
      <w:r w:rsidR="00CA3918">
        <w:t>in</w:t>
      </w:r>
      <w:r w:rsidR="003E2D2D">
        <w:t xml:space="preserve"> e-learning</w:t>
      </w:r>
      <w:r>
        <w:t xml:space="preserve">. By </w:t>
      </w:r>
      <w:r w:rsidRPr="0013525B">
        <w:t>2011</w:t>
      </w:r>
      <w:r w:rsidR="00144486">
        <w:t>,</w:t>
      </w:r>
      <w:r w:rsidRPr="0013525B">
        <w:t xml:space="preserve"> Māori</w:t>
      </w:r>
      <w:r>
        <w:t xml:space="preserve"> had </w:t>
      </w:r>
      <w:r w:rsidR="003E2D2D">
        <w:t>the lowest</w:t>
      </w:r>
      <w:r>
        <w:t xml:space="preserve"> proportion of </w:t>
      </w:r>
      <w:r w:rsidR="0009176C">
        <w:t xml:space="preserve">their </w:t>
      </w:r>
      <w:r>
        <w:t>intramural and extramural</w:t>
      </w:r>
      <w:r w:rsidR="00CA3918">
        <w:t xml:space="preserve"> </w:t>
      </w:r>
      <w:r w:rsidR="0009176C">
        <w:t xml:space="preserve">EFTS in </w:t>
      </w:r>
      <w:r>
        <w:t xml:space="preserve">e-learning. </w:t>
      </w:r>
    </w:p>
    <w:p w:rsidR="000C5942" w:rsidRDefault="000C5942" w:rsidP="005E1138">
      <w:pPr>
        <w:pStyle w:val="Caption"/>
      </w:pPr>
      <w:r>
        <w:t>Figure 12</w:t>
      </w:r>
    </w:p>
    <w:p w:rsidR="000C5942" w:rsidRDefault="000C5942" w:rsidP="005E1138">
      <w:pPr>
        <w:pStyle w:val="Figurelabel"/>
      </w:pPr>
      <w:bookmarkStart w:id="31" w:name="_Toc379546005"/>
      <w:r>
        <w:t>Ethnicity</w:t>
      </w:r>
      <w:r w:rsidR="00121004" w:rsidRPr="00121004">
        <w:t xml:space="preserve"> </w:t>
      </w:r>
      <w:r w:rsidR="00121004">
        <w:t xml:space="preserve">extramural and </w:t>
      </w:r>
      <w:r>
        <w:t xml:space="preserve">intramural course completion rates in the No </w:t>
      </w:r>
      <w:r w:rsidR="003575E2">
        <w:t>ICT</w:t>
      </w:r>
      <w:r>
        <w:t xml:space="preserve"> and e-learning delivery modes</w:t>
      </w:r>
      <w:bookmarkEnd w:id="31"/>
    </w:p>
    <w:p w:rsidR="000C5942" w:rsidRDefault="008D6563" w:rsidP="005E1138">
      <w:pPr>
        <w:pStyle w:val="BodyText"/>
        <w:rPr>
          <w:noProof/>
          <w:lang w:eastAsia="en-NZ"/>
        </w:rPr>
      </w:pPr>
      <w:r w:rsidRPr="008D6563">
        <w:rPr>
          <w:noProof/>
          <w:lang w:eastAsia="en-NZ"/>
        </w:rPr>
        <w:drawing>
          <wp:inline distT="0" distB="0" distL="0" distR="0">
            <wp:extent cx="4572000" cy="2743200"/>
            <wp:effectExtent l="0" t="0" r="0" b="0"/>
            <wp:docPr id="4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8D6563">
        <w:rPr>
          <w:noProof/>
          <w:lang w:eastAsia="en-NZ"/>
        </w:rPr>
        <w:t xml:space="preserve"> </w:t>
      </w:r>
      <w:r w:rsidR="00FC377D" w:rsidRPr="00FC377D">
        <w:rPr>
          <w:noProof/>
          <w:lang w:eastAsia="en-NZ"/>
        </w:rPr>
        <w:t xml:space="preserve"> </w:t>
      </w:r>
    </w:p>
    <w:p w:rsidR="000C5942" w:rsidRDefault="000C5942" w:rsidP="00C34469">
      <w:pPr>
        <w:pStyle w:val="Note"/>
      </w:pPr>
      <w:r>
        <w:t>Notes:</w:t>
      </w:r>
    </w:p>
    <w:p w:rsidR="000C5942" w:rsidRDefault="000C5942" w:rsidP="0097325D">
      <w:pPr>
        <w:pStyle w:val="Note"/>
        <w:numPr>
          <w:ilvl w:val="0"/>
          <w:numId w:val="9"/>
        </w:numPr>
        <w:spacing w:before="0" w:after="0"/>
      </w:pPr>
      <w:r>
        <w:t>The completion rates are adjusted for the level of courses.</w:t>
      </w:r>
    </w:p>
    <w:p w:rsidR="000C5942" w:rsidRDefault="000C5942" w:rsidP="0097325D">
      <w:pPr>
        <w:pStyle w:val="Note"/>
        <w:numPr>
          <w:ilvl w:val="0"/>
          <w:numId w:val="9"/>
        </w:numPr>
        <w:spacing w:before="0" w:after="0"/>
      </w:pPr>
      <w:r>
        <w:t>Completion rates are EFTS-weighted.</w:t>
      </w:r>
    </w:p>
    <w:p w:rsidR="000C5942" w:rsidRPr="00F3618F" w:rsidRDefault="000C5942" w:rsidP="0097325D">
      <w:pPr>
        <w:pStyle w:val="Note"/>
        <w:numPr>
          <w:ilvl w:val="0"/>
          <w:numId w:val="9"/>
        </w:numPr>
        <w:spacing w:before="0"/>
      </w:pPr>
      <w:r>
        <w:lastRenderedPageBreak/>
        <w:t xml:space="preserve">The completion rates in this graph are the aggregate over the eight years </w:t>
      </w:r>
      <w:r w:rsidRPr="00D12A2B">
        <w:t>2004-2011</w:t>
      </w:r>
      <w:r>
        <w:t>.</w:t>
      </w:r>
    </w:p>
    <w:p w:rsidR="000C5942" w:rsidRDefault="000C5942" w:rsidP="005E1138">
      <w:pPr>
        <w:pStyle w:val="BodyText"/>
        <w:rPr>
          <w:noProof/>
          <w:lang w:eastAsia="en-NZ"/>
        </w:rPr>
      </w:pPr>
      <w:r>
        <w:rPr>
          <w:noProof/>
          <w:lang w:eastAsia="en-NZ"/>
        </w:rPr>
        <w:t xml:space="preserve">Intramural </w:t>
      </w:r>
      <w:r w:rsidR="00A92C96">
        <w:rPr>
          <w:noProof/>
          <w:lang w:eastAsia="en-NZ"/>
        </w:rPr>
        <w:t xml:space="preserve">courses </w:t>
      </w:r>
      <w:r>
        <w:rPr>
          <w:noProof/>
          <w:lang w:eastAsia="en-NZ"/>
        </w:rPr>
        <w:t xml:space="preserve">had higher completion rates than extramural </w:t>
      </w:r>
      <w:r w:rsidR="00A92C96" w:rsidRPr="001760EE">
        <w:rPr>
          <w:noProof/>
          <w:lang w:eastAsia="en-NZ"/>
        </w:rPr>
        <w:t>courses</w:t>
      </w:r>
      <w:r w:rsidR="001760EE">
        <w:rPr>
          <w:noProof/>
          <w:lang w:eastAsia="en-NZ"/>
        </w:rPr>
        <w:t>,</w:t>
      </w:r>
      <w:r w:rsidR="00A92C96" w:rsidRPr="001760EE">
        <w:rPr>
          <w:noProof/>
          <w:lang w:eastAsia="en-NZ"/>
        </w:rPr>
        <w:t xml:space="preserve"> </w:t>
      </w:r>
      <w:r w:rsidR="002448AC" w:rsidRPr="001760EE">
        <w:rPr>
          <w:noProof/>
          <w:lang w:eastAsia="en-NZ"/>
        </w:rPr>
        <w:t>regardless</w:t>
      </w:r>
      <w:r w:rsidR="002448AC">
        <w:rPr>
          <w:noProof/>
          <w:lang w:eastAsia="en-NZ"/>
        </w:rPr>
        <w:t xml:space="preserve"> of the delivery mode</w:t>
      </w:r>
      <w:r w:rsidR="008A35A7">
        <w:rPr>
          <w:noProof/>
          <w:lang w:eastAsia="en-NZ"/>
        </w:rPr>
        <w:t>,</w:t>
      </w:r>
      <w:r w:rsidR="002448AC">
        <w:rPr>
          <w:noProof/>
          <w:lang w:eastAsia="en-NZ"/>
        </w:rPr>
        <w:t xml:space="preserve"> </w:t>
      </w:r>
      <w:r>
        <w:rPr>
          <w:noProof/>
          <w:lang w:eastAsia="en-NZ"/>
        </w:rPr>
        <w:t>for all the ethnic groups</w:t>
      </w:r>
      <w:r w:rsidR="006503C2">
        <w:rPr>
          <w:noProof/>
          <w:lang w:eastAsia="en-NZ"/>
        </w:rPr>
        <w:t>, consistent with Figure 3 above</w:t>
      </w:r>
      <w:r>
        <w:rPr>
          <w:noProof/>
          <w:lang w:eastAsia="en-NZ"/>
        </w:rPr>
        <w:t xml:space="preserve">. </w:t>
      </w:r>
      <w:r w:rsidR="006503C2">
        <w:rPr>
          <w:noProof/>
          <w:lang w:eastAsia="en-NZ"/>
        </w:rPr>
        <w:t xml:space="preserve">Among </w:t>
      </w:r>
      <w:r>
        <w:rPr>
          <w:noProof/>
          <w:lang w:eastAsia="en-NZ"/>
        </w:rPr>
        <w:t>intramural</w:t>
      </w:r>
      <w:r w:rsidR="006503C2">
        <w:rPr>
          <w:noProof/>
          <w:lang w:eastAsia="en-NZ"/>
        </w:rPr>
        <w:t xml:space="preserve"> courses,</w:t>
      </w:r>
      <w:r>
        <w:rPr>
          <w:noProof/>
          <w:lang w:eastAsia="en-NZ"/>
        </w:rPr>
        <w:t xml:space="preserve"> there was little difference </w:t>
      </w:r>
      <w:r w:rsidR="006503C2">
        <w:rPr>
          <w:noProof/>
          <w:lang w:eastAsia="en-NZ"/>
        </w:rPr>
        <w:t xml:space="preserve">in </w:t>
      </w:r>
      <w:r w:rsidR="002448AC">
        <w:rPr>
          <w:noProof/>
          <w:lang w:eastAsia="en-NZ"/>
        </w:rPr>
        <w:t xml:space="preserve">traditional delivery and e-learning </w:t>
      </w:r>
      <w:r w:rsidR="006503C2">
        <w:rPr>
          <w:noProof/>
          <w:lang w:eastAsia="en-NZ"/>
        </w:rPr>
        <w:t>completion rates</w:t>
      </w:r>
      <w:r>
        <w:rPr>
          <w:noProof/>
          <w:lang w:eastAsia="en-NZ"/>
        </w:rPr>
        <w:t xml:space="preserve">. </w:t>
      </w:r>
      <w:r w:rsidR="00CA3918">
        <w:rPr>
          <w:noProof/>
          <w:lang w:eastAsia="en-NZ"/>
        </w:rPr>
        <w:t xml:space="preserve">This was also the case for Europeans in extramural courses. </w:t>
      </w:r>
      <w:r>
        <w:rPr>
          <w:noProof/>
          <w:lang w:eastAsia="en-NZ"/>
        </w:rPr>
        <w:t xml:space="preserve">But </w:t>
      </w:r>
      <w:r w:rsidR="006503C2">
        <w:rPr>
          <w:noProof/>
          <w:lang w:eastAsia="en-NZ"/>
        </w:rPr>
        <w:t xml:space="preserve">students </w:t>
      </w:r>
      <w:r w:rsidR="00A0501B">
        <w:rPr>
          <w:noProof/>
          <w:lang w:eastAsia="en-NZ"/>
        </w:rPr>
        <w:t>from the</w:t>
      </w:r>
      <w:r w:rsidR="006503C2">
        <w:rPr>
          <w:noProof/>
          <w:lang w:eastAsia="en-NZ"/>
        </w:rPr>
        <w:t xml:space="preserve"> </w:t>
      </w:r>
      <w:r>
        <w:rPr>
          <w:noProof/>
          <w:lang w:eastAsia="en-NZ"/>
        </w:rPr>
        <w:t xml:space="preserve">Māori, </w:t>
      </w:r>
      <w:r w:rsidRPr="00E21DBD">
        <w:rPr>
          <w:noProof/>
          <w:lang w:eastAsia="en-NZ"/>
        </w:rPr>
        <w:t>Pasifika</w:t>
      </w:r>
      <w:r>
        <w:rPr>
          <w:noProof/>
          <w:lang w:eastAsia="en-NZ"/>
        </w:rPr>
        <w:t xml:space="preserve"> and Asian</w:t>
      </w:r>
      <w:r w:rsidR="006503C2">
        <w:rPr>
          <w:noProof/>
          <w:lang w:eastAsia="en-NZ"/>
        </w:rPr>
        <w:t xml:space="preserve"> ethnic</w:t>
      </w:r>
      <w:r w:rsidR="00A0501B">
        <w:rPr>
          <w:noProof/>
          <w:lang w:eastAsia="en-NZ"/>
        </w:rPr>
        <w:t xml:space="preserve"> groups</w:t>
      </w:r>
      <w:r w:rsidR="006503C2">
        <w:rPr>
          <w:noProof/>
          <w:lang w:eastAsia="en-NZ"/>
        </w:rPr>
        <w:t xml:space="preserve"> had higher completion rates in </w:t>
      </w:r>
      <w:r w:rsidR="00CA3918">
        <w:rPr>
          <w:noProof/>
          <w:lang w:eastAsia="en-NZ"/>
        </w:rPr>
        <w:t xml:space="preserve">extramural </w:t>
      </w:r>
      <w:r w:rsidR="006C34C0">
        <w:rPr>
          <w:noProof/>
          <w:lang w:eastAsia="en-NZ"/>
        </w:rPr>
        <w:t xml:space="preserve">traditional delivery </w:t>
      </w:r>
      <w:r w:rsidR="006503C2">
        <w:rPr>
          <w:noProof/>
          <w:lang w:eastAsia="en-NZ"/>
        </w:rPr>
        <w:t>courses</w:t>
      </w:r>
      <w:r>
        <w:rPr>
          <w:noProof/>
          <w:lang w:eastAsia="en-NZ"/>
        </w:rPr>
        <w:t xml:space="preserve">. </w:t>
      </w:r>
    </w:p>
    <w:p w:rsidR="000C5942" w:rsidRDefault="000C5942" w:rsidP="00BB1F31">
      <w:pPr>
        <w:pStyle w:val="Heading2"/>
      </w:pPr>
      <w:bookmarkStart w:id="32" w:name="_Toc379545915"/>
      <w:r>
        <w:t>Pre-enrolment activity</w:t>
      </w:r>
      <w:bookmarkEnd w:id="32"/>
    </w:p>
    <w:p w:rsidR="000C5942" w:rsidRPr="00841210" w:rsidRDefault="00C20D6E" w:rsidP="00A806E8">
      <w:pPr>
        <w:pStyle w:val="BodyText"/>
      </w:pPr>
      <w:r>
        <w:t>In t</w:t>
      </w:r>
      <w:r w:rsidR="000C5942">
        <w:t>his section</w:t>
      </w:r>
      <w:r w:rsidR="00144486">
        <w:t>,</w:t>
      </w:r>
      <w:r w:rsidR="000C5942">
        <w:t xml:space="preserve"> </w:t>
      </w:r>
      <w:r>
        <w:t xml:space="preserve">we </w:t>
      </w:r>
      <w:r w:rsidR="000C5942">
        <w:t xml:space="preserve">compare participation and achievement in </w:t>
      </w:r>
      <w:r w:rsidR="00FA039D">
        <w:t>extramural</w:t>
      </w:r>
      <w:r w:rsidR="00FA039D" w:rsidRPr="00FA039D">
        <w:t xml:space="preserve"> </w:t>
      </w:r>
      <w:r w:rsidR="00FA039D">
        <w:t xml:space="preserve">and </w:t>
      </w:r>
      <w:r w:rsidR="000C5942">
        <w:t xml:space="preserve">intramural </w:t>
      </w:r>
      <w:r w:rsidR="00656A30">
        <w:t xml:space="preserve">traditional delivery and e-learning </w:t>
      </w:r>
      <w:r w:rsidR="000C5942">
        <w:t xml:space="preserve">courses by students’ pre-enrolment activity. The </w:t>
      </w:r>
      <w:r w:rsidR="00656A30">
        <w:t xml:space="preserve">               </w:t>
      </w:r>
      <w:r w:rsidR="000C5942">
        <w:t>pre-enrolment activities examined in this report are working, house</w:t>
      </w:r>
      <w:r w:rsidR="00D55E4A">
        <w:t>-</w:t>
      </w:r>
      <w:r w:rsidR="000C5942">
        <w:t>person/retired, not working, schoo</w:t>
      </w:r>
      <w:r w:rsidR="000C5942" w:rsidRPr="001760EE">
        <w:t>l</w:t>
      </w:r>
      <w:r w:rsidR="00E85E5A" w:rsidRPr="001760EE">
        <w:t>,</w:t>
      </w:r>
      <w:r w:rsidR="000C5942">
        <w:t xml:space="preserve"> and tertiary. </w:t>
      </w:r>
      <w:r>
        <w:t>In t</w:t>
      </w:r>
      <w:r w:rsidR="000C5942">
        <w:t>his section</w:t>
      </w:r>
      <w:r w:rsidR="00144486">
        <w:t>,</w:t>
      </w:r>
      <w:r>
        <w:t xml:space="preserve"> we</w:t>
      </w:r>
      <w:r w:rsidR="000C5942">
        <w:t xml:space="preserve"> also determine if students who are in paid employment, caregiver</w:t>
      </w:r>
      <w:r w:rsidR="000C5942" w:rsidRPr="00E21DBD">
        <w:t>s</w:t>
      </w:r>
      <w:r w:rsidR="000C5942">
        <w:t xml:space="preserve"> or from non-working backgrounds are more likely to participate in extramural </w:t>
      </w:r>
      <w:r w:rsidR="000C5942" w:rsidRPr="00E21DBD">
        <w:t>courses a</w:t>
      </w:r>
      <w:r w:rsidR="000C5942">
        <w:t xml:space="preserve">s suggested by our </w:t>
      </w:r>
      <w:r w:rsidR="00E36AB8">
        <w:t>c</w:t>
      </w:r>
      <w:r w:rsidR="000C5942">
        <w:t xml:space="preserve">hapter 2 </w:t>
      </w:r>
      <w:r w:rsidR="00E85E5A">
        <w:t xml:space="preserve">extramural </w:t>
      </w:r>
      <w:r w:rsidR="000C5942">
        <w:t>student profile.</w:t>
      </w:r>
    </w:p>
    <w:p w:rsidR="000C5942" w:rsidRDefault="000C5942" w:rsidP="00391754">
      <w:pPr>
        <w:pStyle w:val="Caption"/>
      </w:pPr>
      <w:r>
        <w:t>Figure 13</w:t>
      </w:r>
    </w:p>
    <w:p w:rsidR="000C5942" w:rsidRDefault="000C5942" w:rsidP="00391754">
      <w:pPr>
        <w:pStyle w:val="Figurelabel"/>
      </w:pPr>
      <w:bookmarkStart w:id="33" w:name="_Toc379546006"/>
      <w:r>
        <w:t xml:space="preserve">Proportion of the </w:t>
      </w:r>
      <w:r w:rsidR="00D85346">
        <w:t>prior activity</w:t>
      </w:r>
      <w:r w:rsidR="000E6289" w:rsidRPr="000E6289">
        <w:t xml:space="preserve"> </w:t>
      </w:r>
      <w:r w:rsidR="000E6289">
        <w:t>total</w:t>
      </w:r>
      <w:r>
        <w:t xml:space="preserve"> EFTS in extramural</w:t>
      </w:r>
      <w:bookmarkEnd w:id="33"/>
    </w:p>
    <w:p w:rsidR="000C5942" w:rsidRPr="00391754" w:rsidRDefault="001738EC" w:rsidP="00391754">
      <w:pPr>
        <w:pStyle w:val="BodyText"/>
      </w:pPr>
      <w:r w:rsidRPr="001738EC">
        <w:rPr>
          <w:noProof/>
          <w:lang w:eastAsia="en-NZ"/>
        </w:rPr>
        <w:drawing>
          <wp:inline distT="0" distB="0" distL="0" distR="0">
            <wp:extent cx="4572000" cy="2743200"/>
            <wp:effectExtent l="0" t="0" r="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738EC">
        <w:rPr>
          <w:noProof/>
          <w:lang w:eastAsia="en-NZ"/>
        </w:rPr>
        <w:t xml:space="preserve"> </w:t>
      </w:r>
    </w:p>
    <w:p w:rsidR="00A87A25" w:rsidRDefault="000C5942">
      <w:pPr>
        <w:pStyle w:val="Note"/>
      </w:pPr>
      <w:r>
        <w:t>Note:</w:t>
      </w:r>
      <w:r w:rsidR="00D019FE">
        <w:t xml:space="preserve"> </w:t>
      </w:r>
      <w:r>
        <w:t xml:space="preserve">HP/R stands for </w:t>
      </w:r>
      <w:r w:rsidRPr="0082212C">
        <w:t>house</w:t>
      </w:r>
      <w:r w:rsidR="00D55E4A" w:rsidRPr="0082212C">
        <w:t>-</w:t>
      </w:r>
      <w:r w:rsidRPr="0082212C">
        <w:t>person</w:t>
      </w:r>
      <w:r>
        <w:t>/retired</w:t>
      </w:r>
      <w:r w:rsidR="00D019FE">
        <w:t>.</w:t>
      </w:r>
      <w:r>
        <w:t xml:space="preserve"> </w:t>
      </w:r>
    </w:p>
    <w:p w:rsidR="00C43C1D" w:rsidRDefault="000C5942">
      <w:pPr>
        <w:spacing w:after="240"/>
        <w:jc w:val="both"/>
      </w:pPr>
      <w:r>
        <w:t>The house</w:t>
      </w:r>
      <w:r w:rsidR="002241DB">
        <w:t>-person/</w:t>
      </w:r>
      <w:r>
        <w:t xml:space="preserve">retired group had the highest proportion of their EFTS in extramural. And they had a large increase </w:t>
      </w:r>
      <w:r w:rsidR="00854D5F">
        <w:t xml:space="preserve">between 2005 and 2011 </w:t>
      </w:r>
      <w:r>
        <w:t>in the</w:t>
      </w:r>
      <w:r w:rsidR="00C20D6E">
        <w:t>ir</w:t>
      </w:r>
      <w:r>
        <w:t xml:space="preserve"> proportion of </w:t>
      </w:r>
      <w:r w:rsidR="000B50CE">
        <w:t xml:space="preserve">extramural </w:t>
      </w:r>
      <w:r w:rsidR="00C20D6E">
        <w:t>EFTS</w:t>
      </w:r>
      <w:r w:rsidR="002241DB">
        <w:t>. T</w:t>
      </w:r>
      <w:r>
        <w:t xml:space="preserve">he working and non-working groups also had higher proportions of their EFTS in extramural. </w:t>
      </w:r>
      <w:r w:rsidR="002241DB">
        <w:t xml:space="preserve">Consistent with the age distribution of extramural learners, the students who entered the tertiary system </w:t>
      </w:r>
      <w:r w:rsidR="002241DB" w:rsidRPr="00890261">
        <w:t>direct</w:t>
      </w:r>
      <w:r w:rsidR="00EC4F15">
        <w:t>ly</w:t>
      </w:r>
      <w:r w:rsidR="002241DB">
        <w:t xml:space="preserve"> from </w:t>
      </w:r>
      <w:r>
        <w:t xml:space="preserve">school had </w:t>
      </w:r>
      <w:r w:rsidR="00C20D6E">
        <w:t>the lowest</w:t>
      </w:r>
      <w:r>
        <w:t xml:space="preserve"> proportion of</w:t>
      </w:r>
      <w:r w:rsidR="00854D5F">
        <w:t xml:space="preserve"> their</w:t>
      </w:r>
      <w:r>
        <w:t xml:space="preserve"> EFTS in extramural courses</w:t>
      </w:r>
      <w:r w:rsidR="002241DB">
        <w:t>. The results shown in Figure 13 are consistent with the</w:t>
      </w:r>
      <w:r>
        <w:t xml:space="preserve"> profile </w:t>
      </w:r>
      <w:r w:rsidR="002241DB">
        <w:t xml:space="preserve">of extramural learners set out in </w:t>
      </w:r>
      <w:r w:rsidR="00211E74">
        <w:t>c</w:t>
      </w:r>
      <w:r w:rsidR="002241DB">
        <w:t xml:space="preserve">hapter 2. That profile </w:t>
      </w:r>
      <w:r>
        <w:t>s</w:t>
      </w:r>
      <w:r w:rsidRPr="00890261">
        <w:t>uggest</w:t>
      </w:r>
      <w:r w:rsidR="00890261">
        <w:t>s</w:t>
      </w:r>
      <w:r>
        <w:t xml:space="preserve"> that students who were in</w:t>
      </w:r>
      <w:r w:rsidR="002241DB">
        <w:t xml:space="preserve"> or had come from</w:t>
      </w:r>
      <w:r>
        <w:t xml:space="preserve"> paid employment, </w:t>
      </w:r>
      <w:r w:rsidR="002241DB">
        <w:t xml:space="preserve">a </w:t>
      </w:r>
      <w:r w:rsidR="00D55E4A">
        <w:t>caregiving</w:t>
      </w:r>
      <w:r w:rsidR="002241DB">
        <w:t xml:space="preserve"> role </w:t>
      </w:r>
      <w:r>
        <w:t xml:space="preserve">or </w:t>
      </w:r>
      <w:r w:rsidR="002241DB">
        <w:t xml:space="preserve">a </w:t>
      </w:r>
      <w:r>
        <w:t xml:space="preserve">non-working background were more likely to participate in extramural study. </w:t>
      </w:r>
    </w:p>
    <w:p w:rsidR="000C5942" w:rsidRDefault="000C5942" w:rsidP="00391754">
      <w:pPr>
        <w:pStyle w:val="Caption"/>
      </w:pPr>
      <w:r>
        <w:lastRenderedPageBreak/>
        <w:t>Figure 14</w:t>
      </w:r>
    </w:p>
    <w:p w:rsidR="000C5942" w:rsidRDefault="000C5942" w:rsidP="00B43AA6">
      <w:pPr>
        <w:pStyle w:val="Figurelabel"/>
      </w:pPr>
      <w:bookmarkStart w:id="34" w:name="_Toc379546007"/>
      <w:r>
        <w:t xml:space="preserve">Proportion of the prior activity </w:t>
      </w:r>
      <w:r w:rsidR="000E6289">
        <w:t xml:space="preserve">total </w:t>
      </w:r>
      <w:r>
        <w:t xml:space="preserve">extramural EFTS in the No </w:t>
      </w:r>
      <w:r w:rsidR="00F42D76">
        <w:t>ICT</w:t>
      </w:r>
      <w:r>
        <w:t xml:space="preserve"> and e-learning delivery modes</w:t>
      </w:r>
      <w:bookmarkEnd w:id="34"/>
    </w:p>
    <w:p w:rsidR="000C5942" w:rsidRDefault="004331A7" w:rsidP="00B43AA6">
      <w:pPr>
        <w:pStyle w:val="Figurelabel"/>
      </w:pPr>
      <w:r w:rsidRPr="004331A7">
        <w:rPr>
          <w:noProof/>
          <w:lang w:eastAsia="en-NZ"/>
        </w:rPr>
        <w:drawing>
          <wp:inline distT="0" distB="0" distL="0" distR="0">
            <wp:extent cx="4572000" cy="2743200"/>
            <wp:effectExtent l="0" t="0" r="0" b="0"/>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331A7">
        <w:rPr>
          <w:noProof/>
          <w:lang w:eastAsia="en-NZ"/>
        </w:rPr>
        <w:t xml:space="preserve">  </w:t>
      </w:r>
      <w:r w:rsidR="00345B75" w:rsidRPr="00345B75">
        <w:rPr>
          <w:noProof/>
          <w:lang w:eastAsia="en-NZ"/>
        </w:rPr>
        <w:t xml:space="preserve"> </w:t>
      </w:r>
    </w:p>
    <w:p w:rsidR="000C5942" w:rsidRDefault="000C5942" w:rsidP="00E8589B">
      <w:pPr>
        <w:pStyle w:val="Note"/>
      </w:pPr>
      <w:r>
        <w:t>Note:</w:t>
      </w:r>
      <w:r w:rsidR="00D019FE">
        <w:t xml:space="preserve"> </w:t>
      </w:r>
      <w:r>
        <w:t>HP/R stands for house</w:t>
      </w:r>
      <w:r w:rsidR="00E21DBD">
        <w:t>-</w:t>
      </w:r>
      <w:r>
        <w:t>person/retired</w:t>
      </w:r>
      <w:r w:rsidR="00D019FE">
        <w:t>.</w:t>
      </w:r>
      <w:r>
        <w:t xml:space="preserve"> </w:t>
      </w:r>
    </w:p>
    <w:p w:rsidR="000C5942" w:rsidRDefault="000E2CB0" w:rsidP="000124F0">
      <w:pPr>
        <w:pStyle w:val="BodyText"/>
      </w:pPr>
      <w:r>
        <w:t>The</w:t>
      </w:r>
      <w:r w:rsidR="002241DB">
        <w:t xml:space="preserve"> no</w:t>
      </w:r>
      <w:r w:rsidR="00EC4F15">
        <w:t>t</w:t>
      </w:r>
      <w:r w:rsidR="00786723">
        <w:t xml:space="preserve"> </w:t>
      </w:r>
      <w:r w:rsidR="002241DB">
        <w:t xml:space="preserve">working </w:t>
      </w:r>
      <w:r>
        <w:t>group</w:t>
      </w:r>
      <w:r w:rsidR="002241DB">
        <w:t xml:space="preserve"> </w:t>
      </w:r>
      <w:r w:rsidR="000C5942">
        <w:t xml:space="preserve">had </w:t>
      </w:r>
      <w:r w:rsidR="00A13926">
        <w:t>the</w:t>
      </w:r>
      <w:r w:rsidR="000C5942">
        <w:t xml:space="preserve"> highe</w:t>
      </w:r>
      <w:r w:rsidR="00A13926">
        <w:t>st</w:t>
      </w:r>
      <w:r w:rsidR="000C5942">
        <w:t xml:space="preserve"> proportion of their extramural EFTS in </w:t>
      </w:r>
      <w:r>
        <w:t xml:space="preserve">traditional delivery </w:t>
      </w:r>
      <w:r w:rsidR="008B3143">
        <w:t>courses</w:t>
      </w:r>
      <w:r w:rsidR="000C5942">
        <w:t xml:space="preserve">. </w:t>
      </w:r>
      <w:r w:rsidR="00C20D6E">
        <w:t xml:space="preserve">But school leavers had the largest increase over time in </w:t>
      </w:r>
      <w:r w:rsidR="00A13926">
        <w:t xml:space="preserve">the proportion of their </w:t>
      </w:r>
      <w:r w:rsidR="00C20D6E">
        <w:t>extramural EFTS</w:t>
      </w:r>
      <w:r>
        <w:t xml:space="preserve"> that </w:t>
      </w:r>
      <w:r w:rsidR="002A26EB">
        <w:t>were</w:t>
      </w:r>
      <w:r>
        <w:t xml:space="preserve"> delivered by traditional methods</w:t>
      </w:r>
      <w:r w:rsidR="00C20D6E">
        <w:t>.</w:t>
      </w:r>
    </w:p>
    <w:p w:rsidR="000C5942" w:rsidRDefault="000C5942" w:rsidP="00FC3605">
      <w:pPr>
        <w:pStyle w:val="Caption"/>
      </w:pPr>
      <w:r>
        <w:t>Figure 15</w:t>
      </w:r>
    </w:p>
    <w:p w:rsidR="000C5942" w:rsidRDefault="000C5942" w:rsidP="00FC3605">
      <w:pPr>
        <w:pStyle w:val="Figurelabel"/>
      </w:pPr>
      <w:bookmarkStart w:id="35" w:name="_Toc379546008"/>
      <w:r>
        <w:t xml:space="preserve">Prior activity </w:t>
      </w:r>
      <w:r w:rsidR="00FA039D">
        <w:t>extramural</w:t>
      </w:r>
      <w:r w:rsidR="00FA039D" w:rsidRPr="00FA039D">
        <w:t xml:space="preserve"> </w:t>
      </w:r>
      <w:r w:rsidR="00FA039D">
        <w:t xml:space="preserve">and </w:t>
      </w:r>
      <w:r>
        <w:t xml:space="preserve">intramural course completion rates </w:t>
      </w:r>
      <w:r w:rsidR="00AD5EE7">
        <w:t>in</w:t>
      </w:r>
      <w:r>
        <w:t xml:space="preserve"> the No </w:t>
      </w:r>
      <w:r w:rsidR="00FF573D">
        <w:t>ICT</w:t>
      </w:r>
      <w:r>
        <w:t xml:space="preserve"> and e-learning delivery modes</w:t>
      </w:r>
      <w:bookmarkEnd w:id="35"/>
    </w:p>
    <w:p w:rsidR="000C5942" w:rsidRPr="00FC3605" w:rsidRDefault="00EC4F15" w:rsidP="00FC3605">
      <w:pPr>
        <w:pStyle w:val="BodyText"/>
      </w:pPr>
      <w:r w:rsidRPr="00EC4F15">
        <w:rPr>
          <w:noProof/>
          <w:lang w:eastAsia="en-NZ"/>
        </w:rPr>
        <w:drawing>
          <wp:inline distT="0" distB="0" distL="0" distR="0">
            <wp:extent cx="4572000" cy="2743200"/>
            <wp:effectExtent l="0" t="0" r="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5942" w:rsidRDefault="000C5942" w:rsidP="0026032F">
      <w:pPr>
        <w:pStyle w:val="Note"/>
      </w:pPr>
      <w:r>
        <w:t>Notes:</w:t>
      </w:r>
    </w:p>
    <w:p w:rsidR="000C5942" w:rsidRDefault="000C5942" w:rsidP="0097325D">
      <w:pPr>
        <w:pStyle w:val="Note"/>
        <w:numPr>
          <w:ilvl w:val="0"/>
          <w:numId w:val="10"/>
        </w:numPr>
        <w:spacing w:before="0" w:after="0"/>
      </w:pPr>
      <w:r>
        <w:t>The completion rates are adjusted for the level of courses.</w:t>
      </w:r>
    </w:p>
    <w:p w:rsidR="000C5942" w:rsidRDefault="000C5942" w:rsidP="0097325D">
      <w:pPr>
        <w:pStyle w:val="Note"/>
        <w:numPr>
          <w:ilvl w:val="0"/>
          <w:numId w:val="10"/>
        </w:numPr>
        <w:spacing w:before="0" w:after="0"/>
      </w:pPr>
      <w:r>
        <w:t>Completion rates are EFTS-weighted.</w:t>
      </w:r>
    </w:p>
    <w:p w:rsidR="000C5942" w:rsidRPr="00F3618F" w:rsidRDefault="000C5942" w:rsidP="0097325D">
      <w:pPr>
        <w:pStyle w:val="Note"/>
        <w:numPr>
          <w:ilvl w:val="0"/>
          <w:numId w:val="10"/>
        </w:numPr>
        <w:spacing w:before="0" w:after="0"/>
      </w:pPr>
      <w:r>
        <w:t xml:space="preserve">The completion rates in this graph are the aggregate over the eight years </w:t>
      </w:r>
      <w:r w:rsidRPr="0010570D">
        <w:t>2004-20</w:t>
      </w:r>
      <w:r>
        <w:t>11.</w:t>
      </w:r>
    </w:p>
    <w:p w:rsidR="000C5942" w:rsidRDefault="000C5942" w:rsidP="0097325D">
      <w:pPr>
        <w:pStyle w:val="Note"/>
        <w:numPr>
          <w:ilvl w:val="0"/>
          <w:numId w:val="10"/>
        </w:numPr>
        <w:spacing w:before="0"/>
      </w:pPr>
      <w:r>
        <w:t>HP/R stands for house</w:t>
      </w:r>
      <w:r w:rsidR="00E21DBD">
        <w:t>-</w:t>
      </w:r>
      <w:r>
        <w:t>person/retired</w:t>
      </w:r>
      <w:r w:rsidR="002A26EB">
        <w:t>.</w:t>
      </w:r>
      <w:r>
        <w:t xml:space="preserve"> </w:t>
      </w:r>
    </w:p>
    <w:p w:rsidR="00230051" w:rsidRDefault="00A07757" w:rsidP="00230051">
      <w:pPr>
        <w:pStyle w:val="BodyText"/>
      </w:pPr>
      <w:r>
        <w:t>Figure 15 shows that extramural courses had lower completion rates than intramural</w:t>
      </w:r>
      <w:r w:rsidR="00BA4E1F">
        <w:t xml:space="preserve"> courses</w:t>
      </w:r>
      <w:r>
        <w:t xml:space="preserve"> for a</w:t>
      </w:r>
      <w:r w:rsidR="000C5942">
        <w:t xml:space="preserve">ll </w:t>
      </w:r>
      <w:r w:rsidR="000C5942" w:rsidRPr="00202AC7">
        <w:t>groups</w:t>
      </w:r>
      <w:r w:rsidR="00202AC7">
        <w:t>,</w:t>
      </w:r>
      <w:r w:rsidR="00230051" w:rsidRPr="00202AC7">
        <w:t xml:space="preserve"> </w:t>
      </w:r>
      <w:r w:rsidR="008B3143" w:rsidRPr="00202AC7">
        <w:t>with</w:t>
      </w:r>
      <w:r w:rsidR="008B3143">
        <w:t xml:space="preserve"> the exception of</w:t>
      </w:r>
      <w:r w:rsidR="00230051">
        <w:t xml:space="preserve"> the </w:t>
      </w:r>
      <w:r w:rsidR="00230051" w:rsidRPr="00202AC7">
        <w:t>not working</w:t>
      </w:r>
      <w:r w:rsidR="00230051">
        <w:t xml:space="preserve"> group</w:t>
      </w:r>
      <w:r w:rsidR="00DE7A78">
        <w:t>,</w:t>
      </w:r>
      <w:r w:rsidR="00230051">
        <w:t xml:space="preserve"> which had marginally higher extramural completion rates in </w:t>
      </w:r>
      <w:r w:rsidR="00B9536B">
        <w:t xml:space="preserve">traditional delivery </w:t>
      </w:r>
      <w:r w:rsidR="00230051">
        <w:t>courses</w:t>
      </w:r>
      <w:r w:rsidR="00983195">
        <w:t xml:space="preserve">. </w:t>
      </w:r>
      <w:r w:rsidR="00230051">
        <w:t>However</w:t>
      </w:r>
      <w:r w:rsidR="008B3143">
        <w:t>,</w:t>
      </w:r>
      <w:r w:rsidR="00230051">
        <w:t xml:space="preserve"> the not working group also had </w:t>
      </w:r>
      <w:r w:rsidR="00E85E5A">
        <w:t xml:space="preserve">the lowest </w:t>
      </w:r>
      <w:r w:rsidR="00230051">
        <w:t>intramural and extramural completion rates. The house</w:t>
      </w:r>
      <w:r w:rsidR="00E21DBD">
        <w:t>-</w:t>
      </w:r>
      <w:r w:rsidR="00230051">
        <w:t xml:space="preserve">person/retired group </w:t>
      </w:r>
      <w:r w:rsidR="00230051">
        <w:lastRenderedPageBreak/>
        <w:t xml:space="preserve">also had relatively high completion rates in extramural courses – especially in those delivered by traditional methods. </w:t>
      </w:r>
    </w:p>
    <w:p w:rsidR="000C5942" w:rsidRDefault="00E85E5A" w:rsidP="00FC3605">
      <w:pPr>
        <w:pStyle w:val="BodyText"/>
        <w:rPr>
          <w:noProof/>
          <w:lang w:eastAsia="en-NZ"/>
        </w:rPr>
      </w:pPr>
      <w:r>
        <w:t>School leavers</w:t>
      </w:r>
      <w:r w:rsidR="000C5942">
        <w:t xml:space="preserve"> had </w:t>
      </w:r>
      <w:r w:rsidR="00A07757">
        <w:t xml:space="preserve">very significant differences between their </w:t>
      </w:r>
      <w:r w:rsidR="00A13926">
        <w:t xml:space="preserve">extramural and intramural </w:t>
      </w:r>
      <w:r w:rsidR="00A07757">
        <w:t>completion rates</w:t>
      </w:r>
      <w:r w:rsidR="00F306A8">
        <w:t>. This might be because</w:t>
      </w:r>
      <w:r w:rsidR="00A07757">
        <w:t xml:space="preserve"> </w:t>
      </w:r>
      <w:r>
        <w:t>they</w:t>
      </w:r>
      <w:r w:rsidR="00A07757">
        <w:t xml:space="preserve"> are younger than the other </w:t>
      </w:r>
      <w:r>
        <w:t xml:space="preserve">student </w:t>
      </w:r>
      <w:r w:rsidR="00A07757">
        <w:t xml:space="preserve">groups and </w:t>
      </w:r>
      <w:r w:rsidR="00A07757" w:rsidRPr="001E1E0B">
        <w:t>few of their number</w:t>
      </w:r>
      <w:r w:rsidR="00A07757">
        <w:t xml:space="preserve"> study extramurally</w:t>
      </w:r>
      <w:r w:rsidR="001E1E0B">
        <w:t>,</w:t>
      </w:r>
      <w:r w:rsidR="00F306A8">
        <w:t xml:space="preserve"> so they have had less time to establish </w:t>
      </w:r>
      <w:r w:rsidR="00A13926">
        <w:t>appropriate</w:t>
      </w:r>
      <w:r w:rsidR="00F306A8">
        <w:t xml:space="preserve"> study habits and have </w:t>
      </w:r>
      <w:r w:rsidR="00AF736B">
        <w:t>fewer opportunities</w:t>
      </w:r>
      <w:r w:rsidR="00F306A8">
        <w:t xml:space="preserve"> to interact with their peers</w:t>
      </w:r>
      <w:r w:rsidR="000C5942">
        <w:t xml:space="preserve">. For all the </w:t>
      </w:r>
      <w:r w:rsidR="00AF736B">
        <w:t xml:space="preserve">student </w:t>
      </w:r>
      <w:r w:rsidR="000C5942">
        <w:t>grou</w:t>
      </w:r>
      <w:r w:rsidR="000C5942" w:rsidRPr="001760EE">
        <w:t>ps</w:t>
      </w:r>
      <w:r w:rsidR="00391B9D" w:rsidRPr="001760EE">
        <w:t>,</w:t>
      </w:r>
      <w:r w:rsidR="000C5942" w:rsidRPr="001760EE">
        <w:t xml:space="preserve"> </w:t>
      </w:r>
      <w:r w:rsidR="000C5942" w:rsidRPr="001760EE">
        <w:rPr>
          <w:noProof/>
          <w:lang w:eastAsia="en-NZ"/>
        </w:rPr>
        <w:t>the</w:t>
      </w:r>
      <w:r w:rsidR="000C5942">
        <w:rPr>
          <w:noProof/>
          <w:lang w:eastAsia="en-NZ"/>
        </w:rPr>
        <w:t xml:space="preserve">re was minimal difference between the </w:t>
      </w:r>
      <w:r w:rsidR="00F306A8">
        <w:rPr>
          <w:noProof/>
          <w:lang w:eastAsia="en-NZ"/>
        </w:rPr>
        <w:t xml:space="preserve">delivery modes in </w:t>
      </w:r>
      <w:r w:rsidR="000C5942">
        <w:rPr>
          <w:noProof/>
          <w:lang w:eastAsia="en-NZ"/>
        </w:rPr>
        <w:t>intramural</w:t>
      </w:r>
      <w:r w:rsidR="00F306A8">
        <w:rPr>
          <w:noProof/>
          <w:lang w:eastAsia="en-NZ"/>
        </w:rPr>
        <w:t xml:space="preserve"> courses</w:t>
      </w:r>
      <w:r w:rsidR="000C5942">
        <w:rPr>
          <w:noProof/>
          <w:lang w:eastAsia="en-NZ"/>
        </w:rPr>
        <w:t xml:space="preserve">. </w:t>
      </w:r>
      <w:r w:rsidR="00A13926">
        <w:rPr>
          <w:noProof/>
          <w:lang w:eastAsia="en-NZ"/>
        </w:rPr>
        <w:t>In contra</w:t>
      </w:r>
      <w:r w:rsidR="00A13926" w:rsidRPr="001E26E7">
        <w:rPr>
          <w:noProof/>
          <w:lang w:eastAsia="en-NZ"/>
        </w:rPr>
        <w:t>st</w:t>
      </w:r>
      <w:r w:rsidR="001E26E7">
        <w:rPr>
          <w:noProof/>
          <w:lang w:eastAsia="en-NZ"/>
        </w:rPr>
        <w:t>,</w:t>
      </w:r>
      <w:r w:rsidR="00A13926" w:rsidRPr="001E26E7">
        <w:rPr>
          <w:noProof/>
          <w:lang w:eastAsia="en-NZ"/>
        </w:rPr>
        <w:t xml:space="preserve"> th</w:t>
      </w:r>
      <w:r w:rsidR="00A13926">
        <w:rPr>
          <w:noProof/>
          <w:lang w:eastAsia="en-NZ"/>
        </w:rPr>
        <w:t xml:space="preserve">ey </w:t>
      </w:r>
      <w:r w:rsidR="00786723">
        <w:rPr>
          <w:noProof/>
          <w:lang w:eastAsia="en-NZ"/>
        </w:rPr>
        <w:t xml:space="preserve">were </w:t>
      </w:r>
      <w:r w:rsidR="00A13926">
        <w:rPr>
          <w:noProof/>
          <w:lang w:eastAsia="en-NZ"/>
        </w:rPr>
        <w:t>all</w:t>
      </w:r>
      <w:r w:rsidR="000C5942">
        <w:rPr>
          <w:noProof/>
          <w:lang w:eastAsia="en-NZ"/>
        </w:rPr>
        <w:t xml:space="preserve"> </w:t>
      </w:r>
      <w:r w:rsidR="00E321DD">
        <w:rPr>
          <w:noProof/>
          <w:lang w:eastAsia="en-NZ"/>
        </w:rPr>
        <w:t>more likely to be successful</w:t>
      </w:r>
      <w:r w:rsidR="000C5942">
        <w:rPr>
          <w:noProof/>
          <w:lang w:eastAsia="en-NZ"/>
        </w:rPr>
        <w:t xml:space="preserve"> in extramural </w:t>
      </w:r>
      <w:r w:rsidR="00DE4F78">
        <w:rPr>
          <w:noProof/>
          <w:lang w:eastAsia="en-NZ"/>
        </w:rPr>
        <w:t xml:space="preserve">traditional delivery </w:t>
      </w:r>
      <w:r w:rsidR="000C5942">
        <w:rPr>
          <w:noProof/>
          <w:lang w:eastAsia="en-NZ"/>
        </w:rPr>
        <w:t>courses.</w:t>
      </w:r>
    </w:p>
    <w:p w:rsidR="000C5942" w:rsidRDefault="00391B9D" w:rsidP="00983195">
      <w:pPr>
        <w:pStyle w:val="Heading1"/>
      </w:pPr>
      <w:r>
        <w:br w:type="page"/>
      </w:r>
      <w:bookmarkStart w:id="36" w:name="_Toc379545916"/>
      <w:r w:rsidR="00980293">
        <w:lastRenderedPageBreak/>
        <w:t>E</w:t>
      </w:r>
      <w:r w:rsidR="009F3935">
        <w:t>xtramural</w:t>
      </w:r>
      <w:r w:rsidR="009F3935" w:rsidRPr="009F3935">
        <w:t xml:space="preserve"> </w:t>
      </w:r>
      <w:r w:rsidR="009F3935">
        <w:t xml:space="preserve">and </w:t>
      </w:r>
      <w:r w:rsidR="000C5942">
        <w:t>Intramural students’ participation and achievement by       study-related characteristics</w:t>
      </w:r>
      <w:bookmarkEnd w:id="36"/>
    </w:p>
    <w:p w:rsidR="000C5942" w:rsidRDefault="00C20D6E" w:rsidP="00DA3418">
      <w:pPr>
        <w:spacing w:after="240"/>
        <w:jc w:val="both"/>
      </w:pPr>
      <w:r>
        <w:t>In t</w:t>
      </w:r>
      <w:r w:rsidR="000C5942">
        <w:t>his chap</w:t>
      </w:r>
      <w:r w:rsidR="000C5942" w:rsidRPr="00144486">
        <w:t>ter</w:t>
      </w:r>
      <w:r w:rsidR="00144486">
        <w:t>,</w:t>
      </w:r>
      <w:r w:rsidR="000C5942" w:rsidRPr="00144486">
        <w:t xml:space="preserve"> </w:t>
      </w:r>
      <w:r w:rsidRPr="00144486">
        <w:t>w</w:t>
      </w:r>
      <w:r>
        <w:t xml:space="preserve">e </w:t>
      </w:r>
      <w:r w:rsidR="000C5942">
        <w:t>look at students’ participation and achievement in</w:t>
      </w:r>
      <w:r w:rsidR="009F3935" w:rsidRPr="009F3935">
        <w:t xml:space="preserve"> </w:t>
      </w:r>
      <w:r w:rsidR="009F3935">
        <w:t>extramural</w:t>
      </w:r>
      <w:r w:rsidR="009F3935" w:rsidRPr="009F3935">
        <w:t xml:space="preserve"> </w:t>
      </w:r>
      <w:r w:rsidR="009F3935">
        <w:t>and</w:t>
      </w:r>
      <w:r w:rsidR="000C5942">
        <w:t xml:space="preserve"> intramural courses by full-time and part-time status, sub-sector, institution, course </w:t>
      </w:r>
      <w:r w:rsidR="000C5942" w:rsidRPr="001E1E0B">
        <w:t>level</w:t>
      </w:r>
      <w:r w:rsidR="00895EDD" w:rsidRPr="001E1E0B">
        <w:t>,</w:t>
      </w:r>
      <w:r w:rsidR="000C5942" w:rsidRPr="001E1E0B">
        <w:t xml:space="preserve"> and</w:t>
      </w:r>
      <w:r w:rsidR="000C5942">
        <w:t xml:space="preserve"> field of study. </w:t>
      </w:r>
    </w:p>
    <w:p w:rsidR="000C5942" w:rsidRDefault="000C5942" w:rsidP="00411380">
      <w:pPr>
        <w:pStyle w:val="Heading2"/>
      </w:pPr>
      <w:bookmarkStart w:id="37" w:name="_Toc379545917"/>
      <w:r>
        <w:t>Full-time and part-time status</w:t>
      </w:r>
      <w:bookmarkEnd w:id="37"/>
      <w:r w:rsidR="00AD5EE7">
        <w:t xml:space="preserve">       </w:t>
      </w:r>
    </w:p>
    <w:p w:rsidR="000C5942" w:rsidRPr="00841210" w:rsidRDefault="000C5942" w:rsidP="000B6D50">
      <w:pPr>
        <w:pStyle w:val="BodyText"/>
      </w:pPr>
      <w:r>
        <w:t xml:space="preserve">Our </w:t>
      </w:r>
      <w:r w:rsidR="004B7348">
        <w:t>c</w:t>
      </w:r>
      <w:r>
        <w:t>hapter 2 profile indic</w:t>
      </w:r>
      <w:r w:rsidRPr="00890261">
        <w:t>ates</w:t>
      </w:r>
      <w:r>
        <w:t xml:space="preserve"> that </w:t>
      </w:r>
      <w:r w:rsidR="00391B9D">
        <w:t>extramural</w:t>
      </w:r>
      <w:r>
        <w:t xml:space="preserve"> students </w:t>
      </w:r>
      <w:r w:rsidR="00AE58A9">
        <w:t>are</w:t>
      </w:r>
      <w:r>
        <w:t xml:space="preserve"> </w:t>
      </w:r>
      <w:r w:rsidR="00391B9D">
        <w:t>disproportionately part-timers</w:t>
      </w:r>
      <w:r>
        <w:t xml:space="preserve">. </w:t>
      </w:r>
      <w:r w:rsidR="00C20D6E">
        <w:t>In t</w:t>
      </w:r>
      <w:r>
        <w:t>his section</w:t>
      </w:r>
      <w:r w:rsidR="00144486">
        <w:t>,</w:t>
      </w:r>
      <w:r w:rsidR="00C20D6E">
        <w:t xml:space="preserve"> we</w:t>
      </w:r>
      <w:r>
        <w:t xml:space="preserve"> look at participation and achievement in extramural study by full-time and </w:t>
      </w:r>
      <w:r w:rsidR="00B01E37">
        <w:t xml:space="preserve">  </w:t>
      </w:r>
      <w:r>
        <w:t>part-time students and compare this to the corresponding rates for their intramural study.</w:t>
      </w:r>
    </w:p>
    <w:p w:rsidR="000C5942" w:rsidRDefault="000C5942" w:rsidP="00D334E5">
      <w:pPr>
        <w:pStyle w:val="Caption"/>
      </w:pPr>
      <w:r>
        <w:t>Figure 1</w:t>
      </w:r>
      <w:r w:rsidR="00F84FC4">
        <w:t>6</w:t>
      </w:r>
    </w:p>
    <w:p w:rsidR="000C5942" w:rsidRDefault="0013419B" w:rsidP="00D334E5">
      <w:pPr>
        <w:pStyle w:val="Figurelabel"/>
      </w:pPr>
      <w:bookmarkStart w:id="38" w:name="_Toc379546009"/>
      <w:r>
        <w:t>Proportion of full-time and part-time EFT</w:t>
      </w:r>
      <w:r w:rsidR="00114C1A">
        <w:t>S</w:t>
      </w:r>
      <w:r>
        <w:t xml:space="preserve"> in</w:t>
      </w:r>
      <w:r w:rsidR="009F3935" w:rsidRPr="009F3935">
        <w:t xml:space="preserve"> </w:t>
      </w:r>
      <w:r w:rsidR="009F3935">
        <w:t>extramural</w:t>
      </w:r>
      <w:r w:rsidR="009F3935" w:rsidRPr="009F3935">
        <w:t xml:space="preserve"> </w:t>
      </w:r>
      <w:r w:rsidR="009F3935">
        <w:t>and</w:t>
      </w:r>
      <w:r>
        <w:t xml:space="preserve"> intramural courses</w:t>
      </w:r>
      <w:bookmarkEnd w:id="38"/>
    </w:p>
    <w:p w:rsidR="000C5942" w:rsidRDefault="00B01E37" w:rsidP="00D334E5">
      <w:pPr>
        <w:pStyle w:val="BodyText"/>
        <w:rPr>
          <w:noProof/>
          <w:lang w:eastAsia="en-NZ"/>
        </w:rPr>
      </w:pPr>
      <w:r w:rsidRPr="00B01E37">
        <w:rPr>
          <w:noProof/>
          <w:lang w:eastAsia="en-NZ"/>
        </w:rPr>
        <w:drawing>
          <wp:inline distT="0" distB="0" distL="0" distR="0">
            <wp:extent cx="4572000" cy="2743200"/>
            <wp:effectExtent l="0" t="0" r="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5942" w:rsidRDefault="000C5942" w:rsidP="00D334E5">
      <w:pPr>
        <w:pStyle w:val="BodyText"/>
        <w:rPr>
          <w:noProof/>
          <w:lang w:eastAsia="en-NZ"/>
        </w:rPr>
      </w:pPr>
      <w:r>
        <w:rPr>
          <w:noProof/>
          <w:lang w:eastAsia="en-NZ"/>
        </w:rPr>
        <w:t xml:space="preserve">Extramural students were </w:t>
      </w:r>
      <w:r w:rsidR="00845350">
        <w:rPr>
          <w:noProof/>
          <w:lang w:eastAsia="en-NZ"/>
        </w:rPr>
        <w:t xml:space="preserve">much </w:t>
      </w:r>
      <w:r>
        <w:rPr>
          <w:noProof/>
          <w:lang w:eastAsia="en-NZ"/>
        </w:rPr>
        <w:t>more likely to be part-time</w:t>
      </w:r>
      <w:r w:rsidR="00391B9D">
        <w:rPr>
          <w:noProof/>
          <w:lang w:eastAsia="en-NZ"/>
        </w:rPr>
        <w:t xml:space="preserve">, with </w:t>
      </w:r>
      <w:r w:rsidR="0013419B">
        <w:rPr>
          <w:noProof/>
          <w:lang w:eastAsia="en-NZ"/>
        </w:rPr>
        <w:t>about 35</w:t>
      </w:r>
      <w:r w:rsidR="00391B9D">
        <w:rPr>
          <w:noProof/>
          <w:lang w:eastAsia="en-NZ"/>
        </w:rPr>
        <w:t xml:space="preserve"> percent of extramural students studying on a part-time basis, </w:t>
      </w:r>
      <w:r w:rsidR="00A03FD8">
        <w:rPr>
          <w:noProof/>
          <w:lang w:eastAsia="en-NZ"/>
        </w:rPr>
        <w:t xml:space="preserve">compared to </w:t>
      </w:r>
      <w:r w:rsidR="0013419B">
        <w:rPr>
          <w:noProof/>
          <w:lang w:eastAsia="en-NZ"/>
        </w:rPr>
        <w:t xml:space="preserve">about </w:t>
      </w:r>
      <w:r w:rsidR="0013419B" w:rsidRPr="001760EE">
        <w:rPr>
          <w:noProof/>
          <w:lang w:eastAsia="en-NZ"/>
        </w:rPr>
        <w:t>six</w:t>
      </w:r>
      <w:r w:rsidR="00391B9D">
        <w:rPr>
          <w:noProof/>
          <w:lang w:eastAsia="en-NZ"/>
        </w:rPr>
        <w:t xml:space="preserve"> percent for </w:t>
      </w:r>
      <w:r w:rsidR="00D90969">
        <w:rPr>
          <w:noProof/>
          <w:lang w:eastAsia="en-NZ"/>
        </w:rPr>
        <w:t>full-time</w:t>
      </w:r>
      <w:r w:rsidR="00391B9D">
        <w:rPr>
          <w:noProof/>
          <w:lang w:eastAsia="en-NZ"/>
        </w:rPr>
        <w:t xml:space="preserve"> students</w:t>
      </w:r>
      <w:r>
        <w:rPr>
          <w:noProof/>
          <w:lang w:eastAsia="en-NZ"/>
        </w:rPr>
        <w:t xml:space="preserve">. This finding </w:t>
      </w:r>
      <w:r w:rsidR="00391B9D">
        <w:rPr>
          <w:noProof/>
          <w:lang w:eastAsia="en-NZ"/>
        </w:rPr>
        <w:t xml:space="preserve">is consistent with </w:t>
      </w:r>
      <w:r>
        <w:rPr>
          <w:noProof/>
          <w:lang w:eastAsia="en-NZ"/>
        </w:rPr>
        <w:t xml:space="preserve">our </w:t>
      </w:r>
      <w:r w:rsidR="0029669F">
        <w:rPr>
          <w:noProof/>
          <w:lang w:eastAsia="en-NZ"/>
        </w:rPr>
        <w:t>c</w:t>
      </w:r>
      <w:r>
        <w:rPr>
          <w:noProof/>
          <w:lang w:eastAsia="en-NZ"/>
        </w:rPr>
        <w:t xml:space="preserve">hapter 2 </w:t>
      </w:r>
      <w:r w:rsidR="00845350">
        <w:rPr>
          <w:noProof/>
          <w:lang w:eastAsia="en-NZ"/>
        </w:rPr>
        <w:t xml:space="preserve">extramural student </w:t>
      </w:r>
      <w:r>
        <w:rPr>
          <w:noProof/>
          <w:lang w:eastAsia="en-NZ"/>
        </w:rPr>
        <w:t>profile.</w:t>
      </w:r>
    </w:p>
    <w:p w:rsidR="000C5942" w:rsidRDefault="000C5942" w:rsidP="00D334E5">
      <w:pPr>
        <w:pStyle w:val="Caption"/>
      </w:pPr>
      <w:r>
        <w:lastRenderedPageBreak/>
        <w:t>Figure 17</w:t>
      </w:r>
    </w:p>
    <w:p w:rsidR="00360F97" w:rsidRDefault="00360F97" w:rsidP="00360F97">
      <w:pPr>
        <w:pStyle w:val="Figurelabel"/>
      </w:pPr>
      <w:bookmarkStart w:id="39" w:name="_Toc379546010"/>
      <w:r>
        <w:t>Proportion of the total full-time and part-time extramural EFTS in the No ICT and e-learning delivery modes</w:t>
      </w:r>
      <w:bookmarkEnd w:id="39"/>
    </w:p>
    <w:p w:rsidR="00360F97" w:rsidRPr="00360F97" w:rsidRDefault="00596F82" w:rsidP="00360F97">
      <w:pPr>
        <w:pStyle w:val="BodyText"/>
      </w:pPr>
      <w:r w:rsidRPr="00596F82">
        <w:rPr>
          <w:noProof/>
          <w:lang w:eastAsia="en-NZ"/>
        </w:rPr>
        <w:drawing>
          <wp:inline distT="0" distB="0" distL="0" distR="0">
            <wp:extent cx="4572000" cy="2743200"/>
            <wp:effectExtent l="0" t="0" r="0" b="0"/>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5942" w:rsidRDefault="00907B8A" w:rsidP="00D334E5">
      <w:pPr>
        <w:pStyle w:val="BodyText"/>
      </w:pPr>
      <w:r>
        <w:t xml:space="preserve">Full-time and part-time students had </w:t>
      </w:r>
      <w:r w:rsidR="00B01E37">
        <w:t>the</w:t>
      </w:r>
      <w:r>
        <w:t xml:space="preserve"> majority of their extramural courses delivered by            e-learning</w:t>
      </w:r>
      <w:r w:rsidR="000C5942">
        <w:t xml:space="preserve">. </w:t>
      </w:r>
    </w:p>
    <w:p w:rsidR="000C5942" w:rsidRDefault="000C5942" w:rsidP="00D334E5">
      <w:pPr>
        <w:pStyle w:val="Caption"/>
      </w:pPr>
      <w:r>
        <w:t>Figure 18</w:t>
      </w:r>
    </w:p>
    <w:p w:rsidR="000C5942" w:rsidRDefault="000C5942" w:rsidP="00B83BBD">
      <w:pPr>
        <w:pStyle w:val="Figurelabel"/>
      </w:pPr>
      <w:bookmarkStart w:id="40" w:name="_Toc379546011"/>
      <w:r>
        <w:t>Full-time and part-time students’</w:t>
      </w:r>
      <w:r w:rsidR="009A2145" w:rsidRPr="009A2145">
        <w:t xml:space="preserve"> </w:t>
      </w:r>
      <w:r w:rsidR="009A2145">
        <w:t>extramural</w:t>
      </w:r>
      <w:r w:rsidR="009A2145" w:rsidRPr="009A2145">
        <w:t xml:space="preserve"> </w:t>
      </w:r>
      <w:r w:rsidR="009A2145">
        <w:t>and</w:t>
      </w:r>
      <w:r>
        <w:t xml:space="preserve"> intramural course completion rates </w:t>
      </w:r>
      <w:r w:rsidR="00E8589B">
        <w:t>in</w:t>
      </w:r>
      <w:r>
        <w:t xml:space="preserve"> the No </w:t>
      </w:r>
      <w:r w:rsidR="006B2F66">
        <w:t>ICT</w:t>
      </w:r>
      <w:r>
        <w:t xml:space="preserve"> and e-learning delivery modes</w:t>
      </w:r>
      <w:bookmarkEnd w:id="40"/>
    </w:p>
    <w:p w:rsidR="000C5942" w:rsidRDefault="00ED60CD" w:rsidP="00B83BBD">
      <w:pPr>
        <w:pStyle w:val="BodyText"/>
        <w:rPr>
          <w:noProof/>
          <w:lang w:eastAsia="en-NZ"/>
        </w:rPr>
      </w:pPr>
      <w:r w:rsidRPr="00ED60CD">
        <w:rPr>
          <w:noProof/>
          <w:lang w:eastAsia="en-NZ"/>
        </w:rPr>
        <w:drawing>
          <wp:inline distT="0" distB="0" distL="0" distR="0">
            <wp:extent cx="4572000" cy="2743200"/>
            <wp:effectExtent l="0" t="0" r="0" b="0"/>
            <wp:docPr id="4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D60CD">
        <w:rPr>
          <w:noProof/>
          <w:lang w:eastAsia="en-NZ"/>
        </w:rPr>
        <w:t xml:space="preserve"> </w:t>
      </w:r>
    </w:p>
    <w:p w:rsidR="000C5942" w:rsidRDefault="000C5942" w:rsidP="00D522A1">
      <w:pPr>
        <w:pStyle w:val="Note"/>
      </w:pPr>
      <w:r>
        <w:t>Notes:</w:t>
      </w:r>
    </w:p>
    <w:p w:rsidR="000C5942" w:rsidRDefault="000C5942" w:rsidP="0097325D">
      <w:pPr>
        <w:pStyle w:val="Note"/>
        <w:numPr>
          <w:ilvl w:val="0"/>
          <w:numId w:val="11"/>
        </w:numPr>
        <w:spacing w:before="0" w:after="0"/>
      </w:pPr>
      <w:r>
        <w:t>The completion rates are adjusted for the level of courses.</w:t>
      </w:r>
    </w:p>
    <w:p w:rsidR="000C5942" w:rsidRDefault="000C5942" w:rsidP="0097325D">
      <w:pPr>
        <w:pStyle w:val="Note"/>
        <w:numPr>
          <w:ilvl w:val="0"/>
          <w:numId w:val="11"/>
        </w:numPr>
        <w:spacing w:before="0" w:after="0"/>
      </w:pPr>
      <w:r>
        <w:t>Completion rates are EFTS-weighted.</w:t>
      </w:r>
    </w:p>
    <w:p w:rsidR="000C5942" w:rsidRPr="00F3618F" w:rsidRDefault="000C5942" w:rsidP="0097325D">
      <w:pPr>
        <w:pStyle w:val="Note"/>
        <w:numPr>
          <w:ilvl w:val="0"/>
          <w:numId w:val="11"/>
        </w:numPr>
        <w:spacing w:before="0"/>
      </w:pPr>
      <w:r>
        <w:t xml:space="preserve">The completion rates in this graph are the aggregate over the eight years </w:t>
      </w:r>
      <w:r w:rsidRPr="0010570D">
        <w:t>2004-20</w:t>
      </w:r>
      <w:r>
        <w:t>11.</w:t>
      </w:r>
    </w:p>
    <w:p w:rsidR="00C43C1D" w:rsidRDefault="000C5942">
      <w:pPr>
        <w:spacing w:after="240"/>
        <w:jc w:val="both"/>
        <w:rPr>
          <w:noProof/>
          <w:lang w:eastAsia="en-NZ"/>
        </w:rPr>
      </w:pPr>
      <w:r>
        <w:t>Irrespective of delivery mode</w:t>
      </w:r>
      <w:r w:rsidR="001414D9">
        <w:t>,</w:t>
      </w:r>
      <w:r>
        <w:t xml:space="preserve"> intramural </w:t>
      </w:r>
      <w:r w:rsidR="001414D9">
        <w:t xml:space="preserve">courses </w:t>
      </w:r>
      <w:r>
        <w:t xml:space="preserve">had higher completion rates than extramural </w:t>
      </w:r>
      <w:r w:rsidR="001414D9">
        <w:t>courses</w:t>
      </w:r>
      <w:r w:rsidR="0029669F">
        <w:t>,</w:t>
      </w:r>
      <w:r w:rsidR="001414D9">
        <w:t xml:space="preserve"> while </w:t>
      </w:r>
      <w:r>
        <w:t xml:space="preserve">full-time </w:t>
      </w:r>
      <w:r w:rsidR="001414D9">
        <w:t xml:space="preserve">students had higher completion rates than </w:t>
      </w:r>
      <w:r>
        <w:t>part-time students</w:t>
      </w:r>
      <w:r w:rsidR="001414D9">
        <w:t xml:space="preserve"> studying in the same mode</w:t>
      </w:r>
      <w:r>
        <w:t>. As noted in previous Ministry of Education reports</w:t>
      </w:r>
      <w:r w:rsidR="0029669F">
        <w:t>,</w:t>
      </w:r>
      <w:r>
        <w:t xml:space="preserve"> full-time students ha</w:t>
      </w:r>
      <w:r w:rsidR="00D90969">
        <w:t>ve</w:t>
      </w:r>
      <w:r>
        <w:t xml:space="preserve"> higher completion rates than part-time students (Scott, 2009; Wensvoort, 2011). </w:t>
      </w:r>
      <w:r>
        <w:rPr>
          <w:noProof/>
          <w:lang w:eastAsia="en-NZ"/>
        </w:rPr>
        <w:t xml:space="preserve"> </w:t>
      </w:r>
    </w:p>
    <w:p w:rsidR="000C5942" w:rsidRDefault="000C5942" w:rsidP="00411380">
      <w:pPr>
        <w:pStyle w:val="Heading2"/>
      </w:pPr>
      <w:bookmarkStart w:id="41" w:name="_Toc362283111"/>
      <w:bookmarkStart w:id="42" w:name="_Toc362296959"/>
      <w:bookmarkStart w:id="43" w:name="_Toc379545918"/>
      <w:bookmarkEnd w:id="41"/>
      <w:bookmarkEnd w:id="42"/>
      <w:r>
        <w:lastRenderedPageBreak/>
        <w:t>Sub-sector</w:t>
      </w:r>
      <w:bookmarkEnd w:id="43"/>
    </w:p>
    <w:p w:rsidR="000C5942" w:rsidRPr="00841210" w:rsidRDefault="00C20D6E" w:rsidP="009D0567">
      <w:pPr>
        <w:pStyle w:val="BodyText"/>
      </w:pPr>
      <w:r>
        <w:t>In t</w:t>
      </w:r>
      <w:r w:rsidR="000C5942">
        <w:t>his section</w:t>
      </w:r>
      <w:r w:rsidR="00144486">
        <w:t>,</w:t>
      </w:r>
      <w:r w:rsidR="000C5942">
        <w:t xml:space="preserve"> </w:t>
      </w:r>
      <w:r>
        <w:t xml:space="preserve">we </w:t>
      </w:r>
      <w:r w:rsidR="003E28B7">
        <w:t xml:space="preserve">look at how </w:t>
      </w:r>
      <w:r w:rsidR="000C5942">
        <w:t xml:space="preserve">intramural and extramural </w:t>
      </w:r>
      <w:r w:rsidR="00F72EF8">
        <w:t>provision</w:t>
      </w:r>
      <w:r w:rsidR="000C5942">
        <w:t xml:space="preserve"> </w:t>
      </w:r>
      <w:r w:rsidR="003E28B7">
        <w:t>is distributed</w:t>
      </w:r>
      <w:r w:rsidR="000C5942">
        <w:t xml:space="preserve"> in</w:t>
      </w:r>
      <w:r w:rsidR="00F72EF8">
        <w:t xml:space="preserve"> and among</w:t>
      </w:r>
      <w:r w:rsidR="000C5942">
        <w:t xml:space="preserve"> universities, polytechnics, </w:t>
      </w:r>
      <w:r w:rsidR="000C5942" w:rsidRPr="00041172">
        <w:t>wānanga and</w:t>
      </w:r>
      <w:r w:rsidR="000C5942">
        <w:t xml:space="preserve"> private training establishments (PTEs).</w:t>
      </w:r>
      <w:r w:rsidR="00C9113F">
        <w:t xml:space="preserve"> </w:t>
      </w:r>
    </w:p>
    <w:p w:rsidR="000C5942" w:rsidRDefault="000C5942" w:rsidP="002B2A7E">
      <w:pPr>
        <w:pStyle w:val="Caption"/>
      </w:pPr>
      <w:r>
        <w:t xml:space="preserve">Figure </w:t>
      </w:r>
      <w:r w:rsidR="00F84FC4">
        <w:t>19</w:t>
      </w:r>
    </w:p>
    <w:p w:rsidR="000C5942" w:rsidRDefault="000C2278" w:rsidP="002B2A7E">
      <w:pPr>
        <w:pStyle w:val="Figurelabel"/>
      </w:pPr>
      <w:bookmarkStart w:id="44" w:name="_Toc379546012"/>
      <w:r>
        <w:t xml:space="preserve">Proportion </w:t>
      </w:r>
      <w:r w:rsidR="000C5942">
        <w:t>of sub-sector EFTS in extramural</w:t>
      </w:r>
      <w:bookmarkEnd w:id="44"/>
    </w:p>
    <w:p w:rsidR="000C5942" w:rsidRDefault="00B33EB2" w:rsidP="002B2A7E">
      <w:pPr>
        <w:pStyle w:val="BodyText"/>
        <w:rPr>
          <w:noProof/>
          <w:lang w:eastAsia="en-NZ"/>
        </w:rPr>
      </w:pPr>
      <w:r>
        <w:rPr>
          <w:noProof/>
          <w:lang w:eastAsia="en-NZ"/>
        </w:rPr>
        <w:drawing>
          <wp:inline distT="0" distB="0" distL="0" distR="0">
            <wp:extent cx="5334000" cy="2743200"/>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454D" w:rsidRDefault="00EB454D" w:rsidP="00EB454D">
      <w:pPr>
        <w:pStyle w:val="BodyText"/>
      </w:pPr>
      <w:r>
        <w:t xml:space="preserve">Polytechnics had the largest share of sub-sector extramural provision and PTEs had the </w:t>
      </w:r>
      <w:r w:rsidR="008D6290">
        <w:t>smallest</w:t>
      </w:r>
      <w:r>
        <w:t xml:space="preserve">. But universities and PTEs had the largest increase over time in their share of </w:t>
      </w:r>
      <w:r w:rsidR="008D6290">
        <w:t xml:space="preserve">          </w:t>
      </w:r>
      <w:r>
        <w:t>sub-sector extramural provision</w:t>
      </w:r>
      <w:r w:rsidR="00300C2B">
        <w:t>, while</w:t>
      </w:r>
      <w:r>
        <w:t xml:space="preserve"> polytechnics had the largest decrease over time in their share of extramural provision.</w:t>
      </w:r>
      <w:r w:rsidRPr="00EB454D">
        <w:t xml:space="preserve"> </w:t>
      </w:r>
      <w:r w:rsidR="00383EB8">
        <w:t>One</w:t>
      </w:r>
      <w:r>
        <w:t xml:space="preserve"> reason for the higher proportion of extramural EFTS in polytechnics is the presence of the Open Polytechnic of New Zealand, an institution that </w:t>
      </w:r>
      <w:r w:rsidR="009E3AE1">
        <w:t>focuses</w:t>
      </w:r>
      <w:r>
        <w:t xml:space="preserve"> almost exclusively on extramural delivery and contributes about 50 percent of the extramural EFTS in that sub-sector. </w:t>
      </w:r>
    </w:p>
    <w:p w:rsidR="000C5942" w:rsidRDefault="000C5942" w:rsidP="00891691">
      <w:pPr>
        <w:pStyle w:val="Caption"/>
      </w:pPr>
      <w:r>
        <w:lastRenderedPageBreak/>
        <w:t>Figure 2</w:t>
      </w:r>
      <w:r w:rsidR="00F84FC4">
        <w:t>0</w:t>
      </w:r>
    </w:p>
    <w:p w:rsidR="000C5942" w:rsidRDefault="00F9112C" w:rsidP="00891691">
      <w:pPr>
        <w:pStyle w:val="Figurelabel"/>
      </w:pPr>
      <w:bookmarkStart w:id="45" w:name="_Toc379546013"/>
      <w:r>
        <w:t>Proportion of</w:t>
      </w:r>
      <w:r w:rsidR="000C5942">
        <w:t xml:space="preserve"> sub-sector extramural EFTS in the No </w:t>
      </w:r>
      <w:r w:rsidR="00C502CD">
        <w:t>ICT</w:t>
      </w:r>
      <w:r w:rsidR="000C5942">
        <w:t xml:space="preserve"> and e-learning delivery modes</w:t>
      </w:r>
      <w:bookmarkEnd w:id="45"/>
    </w:p>
    <w:p w:rsidR="000C5942" w:rsidRDefault="008D6290" w:rsidP="006D27A7">
      <w:pPr>
        <w:pStyle w:val="Figurelabel"/>
        <w:rPr>
          <w:noProof/>
          <w:lang w:eastAsia="en-NZ"/>
        </w:rPr>
      </w:pPr>
      <w:r w:rsidRPr="008D6290">
        <w:rPr>
          <w:noProof/>
          <w:lang w:eastAsia="en-NZ"/>
        </w:rPr>
        <w:drawing>
          <wp:inline distT="0" distB="0" distL="0" distR="0">
            <wp:extent cx="5391150" cy="2743200"/>
            <wp:effectExtent l="0" t="0" r="0" b="0"/>
            <wp:docPr id="4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D6290">
        <w:rPr>
          <w:noProof/>
          <w:lang w:eastAsia="en-NZ"/>
        </w:rPr>
        <w:t xml:space="preserve"> </w:t>
      </w:r>
    </w:p>
    <w:p w:rsidR="000C5942" w:rsidRDefault="000C5942" w:rsidP="00083139">
      <w:pPr>
        <w:pStyle w:val="BodyText"/>
        <w:rPr>
          <w:noProof/>
          <w:lang w:eastAsia="en-NZ"/>
        </w:rPr>
      </w:pPr>
      <w:r>
        <w:rPr>
          <w:noProof/>
          <w:lang w:eastAsia="en-NZ"/>
        </w:rPr>
        <w:t xml:space="preserve">Polytechnics had the highest </w:t>
      </w:r>
      <w:r w:rsidR="0037117E">
        <w:rPr>
          <w:noProof/>
          <w:lang w:eastAsia="en-NZ"/>
        </w:rPr>
        <w:t>prop</w:t>
      </w:r>
      <w:r w:rsidR="00300C2B">
        <w:rPr>
          <w:noProof/>
          <w:lang w:eastAsia="en-NZ"/>
        </w:rPr>
        <w:t>o</w:t>
      </w:r>
      <w:r w:rsidR="0037117E">
        <w:rPr>
          <w:noProof/>
          <w:lang w:eastAsia="en-NZ"/>
        </w:rPr>
        <w:t>rtion</w:t>
      </w:r>
      <w:r>
        <w:rPr>
          <w:noProof/>
          <w:lang w:eastAsia="en-NZ"/>
        </w:rPr>
        <w:t xml:space="preserve"> of extramural e-learning EFTS in 2005</w:t>
      </w:r>
      <w:r w:rsidR="00300C2B">
        <w:rPr>
          <w:noProof/>
          <w:lang w:eastAsia="en-NZ"/>
        </w:rPr>
        <w:t>; but</w:t>
      </w:r>
      <w:r>
        <w:rPr>
          <w:noProof/>
          <w:lang w:eastAsia="en-NZ"/>
        </w:rPr>
        <w:t xml:space="preserve"> universities had the highest </w:t>
      </w:r>
      <w:r w:rsidR="00293D9B">
        <w:rPr>
          <w:noProof/>
          <w:lang w:eastAsia="en-NZ"/>
        </w:rPr>
        <w:t>proportion</w:t>
      </w:r>
      <w:r>
        <w:rPr>
          <w:noProof/>
          <w:lang w:eastAsia="en-NZ"/>
        </w:rPr>
        <w:t xml:space="preserve"> of extramural e-</w:t>
      </w:r>
      <w:r w:rsidR="00167B97">
        <w:rPr>
          <w:noProof/>
          <w:lang w:eastAsia="en-NZ"/>
        </w:rPr>
        <w:t>learning</w:t>
      </w:r>
      <w:r>
        <w:rPr>
          <w:noProof/>
          <w:lang w:eastAsia="en-NZ"/>
        </w:rPr>
        <w:t xml:space="preserve"> EFTS in 2011 because of strong growth and a large decline in polytechnics. Wānanga had the highest number of extramural </w:t>
      </w:r>
      <w:r w:rsidR="00293D9B">
        <w:rPr>
          <w:noProof/>
          <w:lang w:eastAsia="en-NZ"/>
        </w:rPr>
        <w:t xml:space="preserve">traditional delivery </w:t>
      </w:r>
      <w:r>
        <w:rPr>
          <w:noProof/>
          <w:lang w:eastAsia="en-NZ"/>
        </w:rPr>
        <w:t>EFTS</w:t>
      </w:r>
      <w:r w:rsidR="00895EDD">
        <w:rPr>
          <w:noProof/>
          <w:lang w:eastAsia="en-NZ"/>
        </w:rPr>
        <w:t>,</w:t>
      </w:r>
      <w:r>
        <w:rPr>
          <w:noProof/>
          <w:lang w:eastAsia="en-NZ"/>
        </w:rPr>
        <w:t xml:space="preserve"> but PTEs had the strongest growth. </w:t>
      </w:r>
    </w:p>
    <w:p w:rsidR="000C5942" w:rsidRDefault="000C5942" w:rsidP="00E13D37">
      <w:pPr>
        <w:pStyle w:val="Caption"/>
      </w:pPr>
      <w:r>
        <w:t>Figure 2</w:t>
      </w:r>
      <w:r w:rsidR="00F84FC4">
        <w:t>1</w:t>
      </w:r>
    </w:p>
    <w:p w:rsidR="000C5942" w:rsidRDefault="000C5942" w:rsidP="00E13D37">
      <w:pPr>
        <w:pStyle w:val="Figurelabel"/>
      </w:pPr>
      <w:bookmarkStart w:id="46" w:name="_Toc379546014"/>
      <w:r>
        <w:t>Sub-sector</w:t>
      </w:r>
      <w:r w:rsidR="00B41C0E" w:rsidRPr="00B41C0E">
        <w:t xml:space="preserve"> </w:t>
      </w:r>
      <w:r w:rsidR="00B41C0E">
        <w:t>extramural</w:t>
      </w:r>
      <w:r>
        <w:t xml:space="preserve"> </w:t>
      </w:r>
      <w:r w:rsidR="00B41C0E">
        <w:t xml:space="preserve">and </w:t>
      </w:r>
      <w:r>
        <w:t xml:space="preserve">intramural course completion rates </w:t>
      </w:r>
      <w:r w:rsidR="004619FD">
        <w:t>in</w:t>
      </w:r>
      <w:r>
        <w:t xml:space="preserve"> the No </w:t>
      </w:r>
      <w:r w:rsidR="00C502CD">
        <w:t>ICT</w:t>
      </w:r>
      <w:r>
        <w:t xml:space="preserve"> and e-learning delivery modes</w:t>
      </w:r>
      <w:bookmarkEnd w:id="46"/>
    </w:p>
    <w:p w:rsidR="000C5942" w:rsidRPr="00E13D37" w:rsidRDefault="00B75FCE" w:rsidP="00E13D37">
      <w:pPr>
        <w:pStyle w:val="BodyText"/>
      </w:pPr>
      <w:r w:rsidRPr="00B75FCE">
        <w:rPr>
          <w:noProof/>
          <w:lang w:eastAsia="en-NZ"/>
        </w:rPr>
        <w:drawing>
          <wp:inline distT="0" distB="0" distL="0" distR="0">
            <wp:extent cx="4572000" cy="2743200"/>
            <wp:effectExtent l="0" t="0" r="0" b="0"/>
            <wp:docPr id="4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75FCE">
        <w:rPr>
          <w:noProof/>
          <w:lang w:eastAsia="en-NZ"/>
        </w:rPr>
        <w:t xml:space="preserve"> </w:t>
      </w:r>
    </w:p>
    <w:p w:rsidR="000C5942" w:rsidRDefault="000C5942" w:rsidP="008B3ADF">
      <w:pPr>
        <w:pStyle w:val="Note"/>
      </w:pPr>
      <w:r>
        <w:t>Notes:</w:t>
      </w:r>
    </w:p>
    <w:p w:rsidR="000C5942" w:rsidRDefault="000C5942" w:rsidP="003C4801">
      <w:pPr>
        <w:pStyle w:val="Note"/>
        <w:numPr>
          <w:ilvl w:val="0"/>
          <w:numId w:val="40"/>
        </w:numPr>
        <w:spacing w:before="0" w:after="0"/>
      </w:pPr>
      <w:r>
        <w:t>The completion rates are adjusted for the level of courses.</w:t>
      </w:r>
    </w:p>
    <w:p w:rsidR="000C5942" w:rsidRDefault="000C5942" w:rsidP="003C4801">
      <w:pPr>
        <w:pStyle w:val="Note"/>
        <w:numPr>
          <w:ilvl w:val="0"/>
          <w:numId w:val="40"/>
        </w:numPr>
        <w:spacing w:before="0" w:after="0"/>
      </w:pPr>
      <w:r>
        <w:t>Completion rates are EFTS-weighted.</w:t>
      </w:r>
    </w:p>
    <w:p w:rsidR="000C5942" w:rsidRPr="00F3618F" w:rsidRDefault="000C5942" w:rsidP="003C4801">
      <w:pPr>
        <w:pStyle w:val="Note"/>
        <w:numPr>
          <w:ilvl w:val="0"/>
          <w:numId w:val="40"/>
        </w:numPr>
        <w:spacing w:before="0" w:after="0"/>
      </w:pPr>
      <w:r>
        <w:t xml:space="preserve">The completion rates in this graph are the aggregate over the eight years </w:t>
      </w:r>
      <w:r w:rsidRPr="00300C2B">
        <w:t>2004-2011</w:t>
      </w:r>
      <w:r>
        <w:t>.</w:t>
      </w:r>
    </w:p>
    <w:p w:rsidR="000C5942" w:rsidRDefault="000C5942" w:rsidP="003C4801">
      <w:pPr>
        <w:pStyle w:val="Note"/>
        <w:numPr>
          <w:ilvl w:val="0"/>
          <w:numId w:val="40"/>
        </w:numPr>
        <w:spacing w:before="0"/>
      </w:pPr>
      <w:r>
        <w:t xml:space="preserve">PTE stands for </w:t>
      </w:r>
      <w:r w:rsidR="003B121F">
        <w:t>p</w:t>
      </w:r>
      <w:r>
        <w:t xml:space="preserve">rivate </w:t>
      </w:r>
      <w:r w:rsidR="003B121F">
        <w:t>t</w:t>
      </w:r>
      <w:r>
        <w:t xml:space="preserve">raining </w:t>
      </w:r>
      <w:r w:rsidR="003B121F">
        <w:t>e</w:t>
      </w:r>
      <w:r>
        <w:t>stablishment</w:t>
      </w:r>
      <w:r w:rsidR="003B121F">
        <w:t>.</w:t>
      </w:r>
    </w:p>
    <w:p w:rsidR="000C5942" w:rsidRDefault="000C5942" w:rsidP="00E13D37">
      <w:pPr>
        <w:pStyle w:val="BodyText"/>
      </w:pPr>
      <w:r>
        <w:t xml:space="preserve">Universities, polytechnics and PTEs had higher intramural than extramural completion </w:t>
      </w:r>
      <w:r w:rsidRPr="004F31EA">
        <w:t>rates</w:t>
      </w:r>
      <w:r w:rsidR="004F31EA">
        <w:t>,</w:t>
      </w:r>
      <w:r w:rsidRPr="004F31EA">
        <w:t xml:space="preserve"> irrespective</w:t>
      </w:r>
      <w:r>
        <w:t xml:space="preserve"> of delivery mode. In e-learning</w:t>
      </w:r>
      <w:r w:rsidR="00913510">
        <w:t xml:space="preserve"> course</w:t>
      </w:r>
      <w:r w:rsidR="00913510" w:rsidRPr="004F31EA">
        <w:t>s</w:t>
      </w:r>
      <w:r w:rsidR="000C4952" w:rsidRPr="004F31EA">
        <w:t>,</w:t>
      </w:r>
      <w:r>
        <w:t xml:space="preserve"> wānanga also had a higher intramural completion rate than extramural</w:t>
      </w:r>
      <w:r w:rsidR="00B67C50">
        <w:t>; but</w:t>
      </w:r>
      <w:r>
        <w:t xml:space="preserve"> in </w:t>
      </w:r>
      <w:r w:rsidR="00293D9B">
        <w:t xml:space="preserve">traditional delivery </w:t>
      </w:r>
      <w:r w:rsidR="00A331BD">
        <w:t>courses,</w:t>
      </w:r>
      <w:r w:rsidRPr="00D56FB3">
        <w:t xml:space="preserve"> </w:t>
      </w:r>
      <w:r>
        <w:t xml:space="preserve">wānanga had a higher completion rate </w:t>
      </w:r>
      <w:r w:rsidR="00293D9B">
        <w:t xml:space="preserve">in extramural </w:t>
      </w:r>
      <w:r>
        <w:t xml:space="preserve">than </w:t>
      </w:r>
      <w:r w:rsidR="00A331BD">
        <w:t xml:space="preserve">in </w:t>
      </w:r>
      <w:r>
        <w:t xml:space="preserve">intramural. These results for wānanga could be because </w:t>
      </w:r>
      <w:r w:rsidR="00A331BD">
        <w:lastRenderedPageBreak/>
        <w:t>two of the wānanga operat</w:t>
      </w:r>
      <w:r w:rsidR="0037117E">
        <w:t>e</w:t>
      </w:r>
      <w:r w:rsidR="00A331BD">
        <w:t xml:space="preserve"> a </w:t>
      </w:r>
      <w:r>
        <w:t xml:space="preserve">distributed delivery model </w:t>
      </w:r>
      <w:r w:rsidR="00A331BD">
        <w:t>with some courses delivered at marae. Much of this</w:t>
      </w:r>
      <w:r>
        <w:t xml:space="preserve"> marae-based provision </w:t>
      </w:r>
      <w:r w:rsidR="00A331BD">
        <w:t>is classified</w:t>
      </w:r>
      <w:r w:rsidR="00895EDD">
        <w:t xml:space="preserve"> by the wānanga</w:t>
      </w:r>
      <w:r w:rsidR="00A331BD">
        <w:t xml:space="preserve"> </w:t>
      </w:r>
      <w:r>
        <w:t xml:space="preserve">as extramural. </w:t>
      </w:r>
    </w:p>
    <w:p w:rsidR="000C5942" w:rsidRDefault="000C5942" w:rsidP="00E13D37">
      <w:pPr>
        <w:pStyle w:val="BodyText"/>
      </w:pPr>
      <w:r>
        <w:t xml:space="preserve">Universities had the highest completion </w:t>
      </w:r>
      <w:r w:rsidRPr="004F31EA">
        <w:t>rates</w:t>
      </w:r>
      <w:r w:rsidR="004F31EA">
        <w:t>,</w:t>
      </w:r>
      <w:r w:rsidR="00913510" w:rsidRPr="004F31EA">
        <w:t xml:space="preserve"> irrespective</w:t>
      </w:r>
      <w:r w:rsidR="00913510">
        <w:t xml:space="preserve"> of study or delivery mode. </w:t>
      </w:r>
      <w:r>
        <w:t>PTEs had the lowest intramural completion rates</w:t>
      </w:r>
      <w:r w:rsidR="00913510">
        <w:t xml:space="preserve"> regardless of delivery mode</w:t>
      </w:r>
      <w:r w:rsidR="00A331BD">
        <w:t>, consistent with previous analyses (Guiney, 2013</w:t>
      </w:r>
      <w:r w:rsidR="005375E8">
        <w:t>a</w:t>
      </w:r>
      <w:r w:rsidR="00B0701E">
        <w:t>;</w:t>
      </w:r>
      <w:r w:rsidR="00A331BD">
        <w:t xml:space="preserve"> Ministry of Education</w:t>
      </w:r>
      <w:r w:rsidR="00FC445E">
        <w:t>,</w:t>
      </w:r>
      <w:r w:rsidR="00A331BD">
        <w:t xml:space="preserve"> 2013)</w:t>
      </w:r>
      <w:r>
        <w:t xml:space="preserve">. </w:t>
      </w:r>
      <w:r w:rsidR="00851180">
        <w:t>D</w:t>
      </w:r>
      <w:r w:rsidR="00F72EF8">
        <w:t>espite their larger share of provision</w:t>
      </w:r>
      <w:r w:rsidR="00B0701E">
        <w:t>,</w:t>
      </w:r>
      <w:r w:rsidR="00F72EF8">
        <w:t xml:space="preserve"> p</w:t>
      </w:r>
      <w:r>
        <w:t>olytechnics had the lowest extramural completion rates</w:t>
      </w:r>
      <w:r w:rsidR="00231D05">
        <w:t>,</w:t>
      </w:r>
      <w:r w:rsidR="00913510">
        <w:t xml:space="preserve"> irrespective of delivery mode</w:t>
      </w:r>
      <w:r>
        <w:t xml:space="preserve">. </w:t>
      </w:r>
      <w:r w:rsidR="00FC445E">
        <w:t xml:space="preserve">In all sub-sectors, the completion rates of intramural courses differed little </w:t>
      </w:r>
      <w:r w:rsidR="00895EDD">
        <w:t>between the delivery modes</w:t>
      </w:r>
      <w:r w:rsidR="00FC445E">
        <w:t xml:space="preserve">. There were also minimal </w:t>
      </w:r>
      <w:r>
        <w:t>differences between the delivery modes in extramural</w:t>
      </w:r>
      <w:r w:rsidR="00FC445E">
        <w:t xml:space="preserve"> courses taught by universities and PTEs</w:t>
      </w:r>
      <w:r>
        <w:t xml:space="preserve">. </w:t>
      </w:r>
      <w:r w:rsidR="00254234">
        <w:t>In contrast</w:t>
      </w:r>
      <w:r w:rsidR="00B0701E">
        <w:t>,</w:t>
      </w:r>
      <w:r w:rsidR="00254234">
        <w:t xml:space="preserve"> w</w:t>
      </w:r>
      <w:r>
        <w:t xml:space="preserve">ānanga had </w:t>
      </w:r>
      <w:r w:rsidR="003A2CB4">
        <w:t xml:space="preserve">noticeably </w:t>
      </w:r>
      <w:r>
        <w:t>high</w:t>
      </w:r>
      <w:r w:rsidR="003A2CB4">
        <w:t>er</w:t>
      </w:r>
      <w:r>
        <w:t xml:space="preserve"> completion rates in extramural</w:t>
      </w:r>
      <w:r w:rsidR="00FC445E">
        <w:t xml:space="preserve"> </w:t>
      </w:r>
      <w:r w:rsidR="000E05CC">
        <w:t xml:space="preserve">traditional delivery </w:t>
      </w:r>
      <w:r w:rsidR="00FC445E">
        <w:t>courses</w:t>
      </w:r>
      <w:r w:rsidR="00470687">
        <w:t xml:space="preserve"> </w:t>
      </w:r>
      <w:r w:rsidR="003A2CB4">
        <w:t xml:space="preserve">and in intramural </w:t>
      </w:r>
      <w:r w:rsidR="000E05CC">
        <w:t xml:space="preserve">e-learning </w:t>
      </w:r>
      <w:r w:rsidR="003A2CB4">
        <w:t>courses</w:t>
      </w:r>
      <w:r>
        <w:t xml:space="preserve">. </w:t>
      </w:r>
    </w:p>
    <w:p w:rsidR="000C5942" w:rsidRDefault="000C5942" w:rsidP="00E7786B">
      <w:pPr>
        <w:pStyle w:val="Heading2"/>
      </w:pPr>
      <w:bookmarkStart w:id="47" w:name="_Toc379545919"/>
      <w:r>
        <w:t>Institutional provision and achievement</w:t>
      </w:r>
      <w:bookmarkEnd w:id="47"/>
    </w:p>
    <w:p w:rsidR="00E10C7B" w:rsidRDefault="00FC445E" w:rsidP="00434FD2">
      <w:pPr>
        <w:pStyle w:val="BodyText"/>
      </w:pPr>
      <w:r>
        <w:t>Given New Zealand’s scattered population and</w:t>
      </w:r>
      <w:r w:rsidR="00E10C7B">
        <w:t xml:space="preserve"> </w:t>
      </w:r>
      <w:r>
        <w:t xml:space="preserve">the need for opportunities </w:t>
      </w:r>
      <w:r w:rsidR="005519A1">
        <w:t>to access tertiary education</w:t>
      </w:r>
      <w:r>
        <w:t xml:space="preserve"> among </w:t>
      </w:r>
      <w:r w:rsidR="00E10C7B">
        <w:t>those who work or have caregiving roles, i</w:t>
      </w:r>
      <w:r>
        <w:t xml:space="preserve">t is </w:t>
      </w:r>
      <w:r w:rsidR="00E10C7B">
        <w:t>important</w:t>
      </w:r>
      <w:r>
        <w:t xml:space="preserve"> for the New Zealand tertiary </w:t>
      </w:r>
      <w:r w:rsidR="00E10C7B">
        <w:t>education system to make some provision for extramural or distance education. In many</w:t>
      </w:r>
      <w:r w:rsidR="000C5942">
        <w:t xml:space="preserve"> </w:t>
      </w:r>
      <w:r>
        <w:t xml:space="preserve">countries, </w:t>
      </w:r>
      <w:r w:rsidR="000C5942">
        <w:t xml:space="preserve">extramural provision is not widely distributed across providers and </w:t>
      </w:r>
      <w:r w:rsidR="00E10C7B">
        <w:t>is</w:t>
      </w:r>
      <w:r w:rsidR="000C5942">
        <w:t xml:space="preserve"> concentrated in specialist institutions (</w:t>
      </w:r>
      <w:r w:rsidR="000C5942" w:rsidRPr="004F31EA">
        <w:t>Canada’s Athabasca University</w:t>
      </w:r>
      <w:r w:rsidR="004F31EA">
        <w:t>,</w:t>
      </w:r>
      <w:r w:rsidR="000C5942" w:rsidRPr="004F31EA">
        <w:t xml:space="preserve"> for example</w:t>
      </w:r>
      <w:r w:rsidR="000C5942">
        <w:t xml:space="preserve">). </w:t>
      </w:r>
    </w:p>
    <w:p w:rsidR="00E10C7B" w:rsidRDefault="00E10C7B" w:rsidP="00434FD2">
      <w:pPr>
        <w:pStyle w:val="BodyText"/>
      </w:pPr>
      <w:r>
        <w:t xml:space="preserve">The same applies in New Zealand, where there are two institutions with a historical focus and a specialisation in distance education – Massey University and </w:t>
      </w:r>
      <w:r w:rsidRPr="0096083C">
        <w:t>The</w:t>
      </w:r>
      <w:r>
        <w:t xml:space="preserve"> Open Polytechnic of New Zealand. Alongside them are a number of institutions that have acquired a focus on distance education – the Southern Institute of Technology</w:t>
      </w:r>
      <w:r w:rsidR="00A47BE6">
        <w:t xml:space="preserve"> and Waikato Institute of Technology</w:t>
      </w:r>
      <w:r>
        <w:t xml:space="preserve"> (</w:t>
      </w:r>
      <w:r w:rsidR="004B47C8">
        <w:t>about 2</w:t>
      </w:r>
      <w:r w:rsidR="007B7D11">
        <w:t>4</w:t>
      </w:r>
      <w:r>
        <w:t xml:space="preserve"> percent of whose EFTS are in </w:t>
      </w:r>
      <w:r w:rsidR="00DF010A">
        <w:t xml:space="preserve">extramural </w:t>
      </w:r>
      <w:r>
        <w:t>courses), Te Wānanga o Aotearoa (</w:t>
      </w:r>
      <w:r w:rsidR="00E47306">
        <w:t xml:space="preserve">about </w:t>
      </w:r>
      <w:r w:rsidR="00EA694F">
        <w:t>27</w:t>
      </w:r>
      <w:r>
        <w:t xml:space="preserve"> percent) and Te Whare Wānanga o Awa</w:t>
      </w:r>
      <w:r w:rsidRPr="0096083C">
        <w:t>nui</w:t>
      </w:r>
      <w:r w:rsidR="0096083C">
        <w:t>ā</w:t>
      </w:r>
      <w:r w:rsidRPr="0096083C">
        <w:t>r</w:t>
      </w:r>
      <w:r>
        <w:t>angi (</w:t>
      </w:r>
      <w:r w:rsidR="00E47306">
        <w:t xml:space="preserve">about </w:t>
      </w:r>
      <w:r w:rsidR="00EA694F">
        <w:t>44</w:t>
      </w:r>
      <w:r>
        <w:t xml:space="preserve"> percent).</w:t>
      </w:r>
    </w:p>
    <w:p w:rsidR="000C5942" w:rsidRPr="00841210" w:rsidRDefault="00C20D6E" w:rsidP="00434FD2">
      <w:pPr>
        <w:pStyle w:val="BodyText"/>
      </w:pPr>
      <w:r>
        <w:t>In t</w:t>
      </w:r>
      <w:r w:rsidR="000C5942">
        <w:t>his section</w:t>
      </w:r>
      <w:r w:rsidR="00144486">
        <w:t>,</w:t>
      </w:r>
      <w:r>
        <w:t xml:space="preserve"> we</w:t>
      </w:r>
      <w:r w:rsidR="000C5942">
        <w:t xml:space="preserve"> focus on </w:t>
      </w:r>
      <w:r w:rsidR="00C40E89">
        <w:t xml:space="preserve">two </w:t>
      </w:r>
      <w:r w:rsidR="00987688">
        <w:t>institutions</w:t>
      </w:r>
      <w:r w:rsidR="005E6A5A">
        <w:t>,</w:t>
      </w:r>
      <w:r w:rsidR="00987688">
        <w:t xml:space="preserve"> </w:t>
      </w:r>
      <w:r w:rsidR="000C5942">
        <w:t xml:space="preserve">Massey University and </w:t>
      </w:r>
      <w:r w:rsidR="000C5942" w:rsidRPr="0096083C">
        <w:t>The</w:t>
      </w:r>
      <w:r w:rsidR="000C5942">
        <w:t xml:space="preserve"> Open Polytechnic of New Zealand</w:t>
      </w:r>
      <w:r w:rsidR="00987688">
        <w:t xml:space="preserve">, and </w:t>
      </w:r>
      <w:r w:rsidR="00C40E89">
        <w:t xml:space="preserve">we compare them </w:t>
      </w:r>
      <w:r w:rsidR="00836B86">
        <w:t>to</w:t>
      </w:r>
      <w:r w:rsidR="00C40E89">
        <w:t xml:space="preserve"> </w:t>
      </w:r>
      <w:r w:rsidR="00987688">
        <w:t xml:space="preserve">the largest provider of </w:t>
      </w:r>
      <w:r w:rsidR="00C40E89">
        <w:t xml:space="preserve">degree-level </w:t>
      </w:r>
      <w:r w:rsidR="00987688">
        <w:t xml:space="preserve">extramural </w:t>
      </w:r>
      <w:r w:rsidR="00C40E89">
        <w:t xml:space="preserve">courses </w:t>
      </w:r>
      <w:r w:rsidR="00987688">
        <w:t xml:space="preserve">in the United Kingdom, the Open University. </w:t>
      </w:r>
    </w:p>
    <w:p w:rsidR="00F84FC4" w:rsidRDefault="00F84FC4" w:rsidP="00F84FC4">
      <w:pPr>
        <w:pStyle w:val="Caption"/>
      </w:pPr>
      <w:r>
        <w:t>Figure 22</w:t>
      </w:r>
    </w:p>
    <w:p w:rsidR="00F84FC4" w:rsidRDefault="00F84FC4" w:rsidP="00F84FC4">
      <w:pPr>
        <w:pStyle w:val="Figurelabel"/>
      </w:pPr>
      <w:bookmarkStart w:id="48" w:name="_Toc359229073"/>
      <w:bookmarkStart w:id="49" w:name="_Toc379546015"/>
      <w:r>
        <w:t>Proportion of Massey University</w:t>
      </w:r>
      <w:r w:rsidR="00987688">
        <w:t xml:space="preserve">, </w:t>
      </w:r>
      <w:r>
        <w:t xml:space="preserve">The Open Polytechnic of New </w:t>
      </w:r>
      <w:r w:rsidRPr="003160D8">
        <w:t>Zealand</w:t>
      </w:r>
      <w:r w:rsidR="00987688" w:rsidRPr="003160D8">
        <w:t xml:space="preserve"> and</w:t>
      </w:r>
      <w:r w:rsidR="00987688">
        <w:t xml:space="preserve"> Open University</w:t>
      </w:r>
      <w:r>
        <w:t xml:space="preserve"> EFTS in </w:t>
      </w:r>
      <w:r w:rsidR="00825991">
        <w:t xml:space="preserve">extramural and </w:t>
      </w:r>
      <w:r>
        <w:t>intramural courses</w:t>
      </w:r>
      <w:bookmarkEnd w:id="48"/>
      <w:bookmarkEnd w:id="49"/>
    </w:p>
    <w:p w:rsidR="000C5942" w:rsidRPr="00280F79" w:rsidRDefault="00B33EB2" w:rsidP="00F84FC4">
      <w:pPr>
        <w:pStyle w:val="BodyText"/>
      </w:pPr>
      <w:r>
        <w:rPr>
          <w:noProof/>
          <w:lang w:eastAsia="en-NZ"/>
        </w:rPr>
        <w:drawing>
          <wp:inline distT="0" distB="0" distL="0" distR="0">
            <wp:extent cx="4572000" cy="2362200"/>
            <wp:effectExtent l="0" t="0" r="0" b="0"/>
            <wp:docPr id="2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40E89" w:rsidRDefault="00C40E89" w:rsidP="00C40E89">
      <w:pPr>
        <w:pStyle w:val="Note"/>
        <w:spacing w:before="0" w:after="0" w:line="240" w:lineRule="auto"/>
      </w:pPr>
      <w:r>
        <w:t xml:space="preserve">Source: Ministry of Education and </w:t>
      </w:r>
      <w:r w:rsidR="00CD173B">
        <w:t>Higher Education Statistics Agency (</w:t>
      </w:r>
      <w:r w:rsidRPr="00CD173B">
        <w:t>HESA</w:t>
      </w:r>
      <w:r w:rsidR="00CD173B">
        <w:t>)</w:t>
      </w:r>
    </w:p>
    <w:p w:rsidR="00343366" w:rsidRDefault="00343366" w:rsidP="00C40E89">
      <w:pPr>
        <w:pStyle w:val="Note"/>
        <w:spacing w:before="0" w:after="0" w:line="240" w:lineRule="auto"/>
      </w:pPr>
      <w:r>
        <w:t>Notes:</w:t>
      </w:r>
    </w:p>
    <w:p w:rsidR="00343366" w:rsidRDefault="00600F43" w:rsidP="00343366">
      <w:pPr>
        <w:pStyle w:val="Note"/>
        <w:numPr>
          <w:ilvl w:val="0"/>
          <w:numId w:val="15"/>
        </w:numPr>
        <w:spacing w:before="0" w:after="0"/>
      </w:pPr>
      <w:r>
        <w:t xml:space="preserve">The </w:t>
      </w:r>
      <w:r w:rsidR="00343366">
        <w:t>Open University</w:t>
      </w:r>
      <w:r>
        <w:t xml:space="preserve"> data </w:t>
      </w:r>
      <w:r w:rsidR="00343366">
        <w:t>is</w:t>
      </w:r>
      <w:r>
        <w:t xml:space="preserve"> based on </w:t>
      </w:r>
      <w:r w:rsidR="00895EDD">
        <w:t>course numbers not</w:t>
      </w:r>
      <w:r w:rsidR="00343366">
        <w:t xml:space="preserve"> EFTS.</w:t>
      </w:r>
    </w:p>
    <w:p w:rsidR="00343366" w:rsidRDefault="00600F43" w:rsidP="00343366">
      <w:pPr>
        <w:pStyle w:val="Note"/>
        <w:numPr>
          <w:ilvl w:val="0"/>
          <w:numId w:val="15"/>
        </w:numPr>
        <w:spacing w:before="0" w:after="0"/>
      </w:pPr>
      <w:r>
        <w:t xml:space="preserve">The </w:t>
      </w:r>
      <w:r w:rsidR="00343366">
        <w:t xml:space="preserve">Open University’s data covers </w:t>
      </w:r>
      <w:r w:rsidR="00895EDD">
        <w:t xml:space="preserve">1 July </w:t>
      </w:r>
      <w:r w:rsidR="00343366">
        <w:t>2007 to 31 August 2012.</w:t>
      </w:r>
    </w:p>
    <w:p w:rsidR="00343366" w:rsidRDefault="00600F43" w:rsidP="00343366">
      <w:pPr>
        <w:pStyle w:val="Note"/>
        <w:numPr>
          <w:ilvl w:val="0"/>
          <w:numId w:val="15"/>
        </w:numPr>
        <w:spacing w:before="0"/>
      </w:pPr>
      <w:r>
        <w:t xml:space="preserve">The </w:t>
      </w:r>
      <w:r w:rsidR="00343366">
        <w:t>Open University’s data covers degree and postgraduate courses (excluding post</w:t>
      </w:r>
      <w:r w:rsidR="00836B86">
        <w:t>-</w:t>
      </w:r>
      <w:r w:rsidR="00343366">
        <w:t>doctoral) only.</w:t>
      </w:r>
    </w:p>
    <w:p w:rsidR="000C5942" w:rsidRDefault="00C40E89" w:rsidP="00FB63F2">
      <w:pPr>
        <w:pStyle w:val="BodyText"/>
      </w:pPr>
      <w:r>
        <w:lastRenderedPageBreak/>
        <w:t xml:space="preserve">Both the </w:t>
      </w:r>
      <w:r w:rsidR="00993B5C">
        <w:t xml:space="preserve">Open University </w:t>
      </w:r>
      <w:r>
        <w:t>and</w:t>
      </w:r>
      <w:r w:rsidR="00993B5C">
        <w:t xml:space="preserve"> the Open Polytechnic</w:t>
      </w:r>
      <w:r w:rsidR="00360A10">
        <w:t xml:space="preserve"> </w:t>
      </w:r>
      <w:r w:rsidR="008A438C">
        <w:t>have</w:t>
      </w:r>
      <w:r w:rsidR="00993B5C">
        <w:t xml:space="preserve"> almost all of their provision </w:t>
      </w:r>
      <w:r w:rsidR="008A438C" w:rsidRPr="00034180">
        <w:t>in extramural</w:t>
      </w:r>
      <w:r w:rsidR="00FC445E">
        <w:t>.</w:t>
      </w:r>
      <w:r w:rsidR="000C5942">
        <w:t xml:space="preserve"> </w:t>
      </w:r>
      <w:r w:rsidR="004C3A21">
        <w:t>D</w:t>
      </w:r>
      <w:r w:rsidR="000C5942">
        <w:t>espite its status</w:t>
      </w:r>
      <w:r w:rsidR="004D2E1F">
        <w:t xml:space="preserve"> as a </w:t>
      </w:r>
      <w:r w:rsidR="004C3A21">
        <w:t xml:space="preserve">specialist </w:t>
      </w:r>
      <w:r w:rsidR="004D2E1F">
        <w:t>distance education provider</w:t>
      </w:r>
      <w:r w:rsidR="004C3A21">
        <w:t>,</w:t>
      </w:r>
      <w:r w:rsidR="00BE7D45">
        <w:t xml:space="preserve"> </w:t>
      </w:r>
      <w:r w:rsidR="000C5942">
        <w:t>Massey University’s extramural courses</w:t>
      </w:r>
      <w:r w:rsidR="00993B5C">
        <w:t xml:space="preserve"> only</w:t>
      </w:r>
      <w:r w:rsidR="000C5942">
        <w:t xml:space="preserve"> </w:t>
      </w:r>
      <w:r w:rsidR="00E10C7B">
        <w:t xml:space="preserve">represent </w:t>
      </w:r>
      <w:r w:rsidR="00BE7D45">
        <w:t xml:space="preserve">about </w:t>
      </w:r>
      <w:r w:rsidR="004D2E1F">
        <w:t>a third</w:t>
      </w:r>
      <w:r w:rsidR="000C5942">
        <w:t xml:space="preserve"> of its overall provision.  </w:t>
      </w:r>
    </w:p>
    <w:p w:rsidR="00BE7D45" w:rsidRDefault="00BE7D45" w:rsidP="00BE7D45">
      <w:pPr>
        <w:pStyle w:val="Caption"/>
      </w:pPr>
      <w:r>
        <w:t>Figure 23</w:t>
      </w:r>
    </w:p>
    <w:p w:rsidR="00BE7D45" w:rsidRDefault="00BE7D45" w:rsidP="00BE7D45">
      <w:pPr>
        <w:pStyle w:val="Figurelabel"/>
      </w:pPr>
      <w:bookmarkStart w:id="50" w:name="_Toc359229074"/>
      <w:bookmarkStart w:id="51" w:name="_Toc379546016"/>
      <w:r>
        <w:t xml:space="preserve">Proportion of Massey University and </w:t>
      </w:r>
      <w:r w:rsidR="000332F6">
        <w:t xml:space="preserve">The </w:t>
      </w:r>
      <w:r>
        <w:t xml:space="preserve">Open Polytechnic of New Zealand </w:t>
      </w:r>
      <w:r w:rsidR="00A628F3">
        <w:t xml:space="preserve">extramural and </w:t>
      </w:r>
      <w:r>
        <w:t>intramural EFTS in the e-learning delivery mode</w:t>
      </w:r>
      <w:bookmarkEnd w:id="50"/>
      <w:bookmarkEnd w:id="51"/>
    </w:p>
    <w:p w:rsidR="000C5942" w:rsidRPr="00FB63F2" w:rsidRDefault="00B33EB2" w:rsidP="00BE7D45">
      <w:pPr>
        <w:pStyle w:val="BodyText"/>
      </w:pPr>
      <w:r>
        <w:rPr>
          <w:noProof/>
          <w:lang w:eastAsia="en-NZ"/>
        </w:rPr>
        <w:drawing>
          <wp:inline distT="0" distB="0" distL="0" distR="0">
            <wp:extent cx="4572000" cy="2743200"/>
            <wp:effectExtent l="0" t="0" r="0" b="0"/>
            <wp:docPr id="2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07BC" w:rsidRDefault="00CE3143">
      <w:pPr>
        <w:spacing w:after="240"/>
        <w:jc w:val="both"/>
      </w:pPr>
      <w:r>
        <w:t xml:space="preserve">Virtually all the EFTS load of </w:t>
      </w:r>
      <w:r w:rsidR="000C5942">
        <w:t xml:space="preserve">The Open Polytechnic </w:t>
      </w:r>
      <w:r>
        <w:t>is</w:t>
      </w:r>
      <w:r w:rsidR="00D67499">
        <w:t xml:space="preserve"> </w:t>
      </w:r>
      <w:r>
        <w:t>in courses delivered by</w:t>
      </w:r>
      <w:r w:rsidR="000C5942">
        <w:t xml:space="preserve"> e-learning</w:t>
      </w:r>
      <w:r>
        <w:t>.</w:t>
      </w:r>
      <w:r w:rsidR="000C5942">
        <w:t xml:space="preserve"> Massey University</w:t>
      </w:r>
      <w:r w:rsidR="00993B5C">
        <w:t xml:space="preserve"> also</w:t>
      </w:r>
      <w:r w:rsidR="000C5942">
        <w:t xml:space="preserve"> offers </w:t>
      </w:r>
      <w:r>
        <w:t>high proportions of</w:t>
      </w:r>
      <w:r w:rsidR="000C5942">
        <w:t xml:space="preserve"> e-learning</w:t>
      </w:r>
      <w:r>
        <w:t>, especially</w:t>
      </w:r>
      <w:r w:rsidR="000C5942">
        <w:t xml:space="preserve"> in its extramural courses.</w:t>
      </w:r>
    </w:p>
    <w:p w:rsidR="00C40E89" w:rsidRDefault="00C40E89" w:rsidP="00B345B3">
      <w:pPr>
        <w:pStyle w:val="BodyText"/>
      </w:pPr>
      <w:r>
        <w:t>As noted earlier in this report, completion rates are much lower in extramural courses. Figure 24</w:t>
      </w:r>
      <w:r w:rsidR="0013046F">
        <w:t xml:space="preserve"> below</w:t>
      </w:r>
      <w:r>
        <w:t xml:space="preserve"> illustrates the difference in completion rates between intramural and extramural courses at the Open University. </w:t>
      </w:r>
      <w:r w:rsidR="0013046F">
        <w:t>This shows that t</w:t>
      </w:r>
      <w:r>
        <w:t xml:space="preserve">he Open University also has lower completion rates in its extramural courses than other university extramural courses – presumably because the latter are targeted to particular groups, whereas the Open University’s mission is focused on widening access. </w:t>
      </w:r>
    </w:p>
    <w:p w:rsidR="00D67499" w:rsidRDefault="00D67499" w:rsidP="00B345B3">
      <w:pPr>
        <w:pStyle w:val="BodyText"/>
      </w:pPr>
    </w:p>
    <w:p w:rsidR="00C40E89" w:rsidRDefault="00C40E89">
      <w:pPr>
        <w:rPr>
          <w:rFonts w:ascii="Arial" w:hAnsi="Arial" w:cs="Arial"/>
          <w:b/>
          <w:bCs/>
          <w:sz w:val="15"/>
          <w:szCs w:val="20"/>
        </w:rPr>
      </w:pPr>
      <w:r>
        <w:br w:type="page"/>
      </w:r>
    </w:p>
    <w:p w:rsidR="004C3A21" w:rsidRDefault="004C3A21" w:rsidP="004C3A21">
      <w:pPr>
        <w:pStyle w:val="Caption"/>
      </w:pPr>
      <w:r>
        <w:lastRenderedPageBreak/>
        <w:t>Figure 2</w:t>
      </w:r>
      <w:r w:rsidR="00C40E89">
        <w:t>4</w:t>
      </w:r>
      <w:r w:rsidR="00C865B5">
        <w:t xml:space="preserve">          </w:t>
      </w:r>
    </w:p>
    <w:p w:rsidR="004C3A21" w:rsidRDefault="004C3A21" w:rsidP="004C3A21">
      <w:pPr>
        <w:pStyle w:val="Figurelabel"/>
      </w:pPr>
      <w:bookmarkStart w:id="52" w:name="_Toc379546017"/>
      <w:r>
        <w:t>Open University course completion rates</w:t>
      </w:r>
      <w:bookmarkEnd w:id="52"/>
      <w:r>
        <w:t xml:space="preserve"> </w:t>
      </w:r>
    </w:p>
    <w:p w:rsidR="004C3A21" w:rsidRPr="00664FB9" w:rsidRDefault="00B51575" w:rsidP="004C3A21">
      <w:pPr>
        <w:pStyle w:val="BodyText"/>
      </w:pPr>
      <w:r w:rsidRPr="00B51575">
        <w:rPr>
          <w:noProof/>
          <w:lang w:eastAsia="en-NZ"/>
        </w:rPr>
        <w:drawing>
          <wp:inline distT="0" distB="0" distL="0" distR="0">
            <wp:extent cx="4572000" cy="2743200"/>
            <wp:effectExtent l="0" t="0" r="0" b="0"/>
            <wp:docPr id="3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C3A21" w:rsidRDefault="004C3A21" w:rsidP="004C3A21">
      <w:pPr>
        <w:pStyle w:val="Note"/>
      </w:pPr>
      <w:r>
        <w:t xml:space="preserve">Source: </w:t>
      </w:r>
      <w:r w:rsidRPr="00C261B5">
        <w:t>HESA</w:t>
      </w:r>
    </w:p>
    <w:p w:rsidR="004C3A21" w:rsidRDefault="004C3A21" w:rsidP="004C3A21">
      <w:pPr>
        <w:pStyle w:val="Note"/>
      </w:pPr>
      <w:r>
        <w:t>Notes:</w:t>
      </w:r>
    </w:p>
    <w:p w:rsidR="004C3A21" w:rsidRDefault="004C3A21" w:rsidP="004C3A21">
      <w:pPr>
        <w:pStyle w:val="Note"/>
        <w:numPr>
          <w:ilvl w:val="0"/>
          <w:numId w:val="42"/>
        </w:numPr>
        <w:spacing w:before="0" w:after="0"/>
      </w:pPr>
      <w:r>
        <w:t xml:space="preserve">The completion rates are an average of all intramural and extramural course completion rates in the United Kingdom’s university sector and for the Open University from 1 July 2007 to 31 August 2012.  </w:t>
      </w:r>
    </w:p>
    <w:p w:rsidR="004C3A21" w:rsidRDefault="004C3A21" w:rsidP="004C3A21">
      <w:pPr>
        <w:pStyle w:val="Note"/>
        <w:numPr>
          <w:ilvl w:val="0"/>
          <w:numId w:val="42"/>
        </w:numPr>
        <w:spacing w:before="0" w:after="0"/>
      </w:pPr>
      <w:r>
        <w:t>The completion rates are not adjusted for course level.</w:t>
      </w:r>
    </w:p>
    <w:p w:rsidR="004C3A21" w:rsidRDefault="004C3A21" w:rsidP="004C3A21">
      <w:pPr>
        <w:pStyle w:val="Note"/>
        <w:numPr>
          <w:ilvl w:val="0"/>
          <w:numId w:val="42"/>
        </w:numPr>
        <w:spacing w:before="0" w:after="0"/>
      </w:pPr>
      <w:r>
        <w:t>The completion rates are for degree and postgraduate (excluding post</w:t>
      </w:r>
      <w:r w:rsidR="00836B86">
        <w:t>-</w:t>
      </w:r>
      <w:r>
        <w:t>doctoral courses) provision only</w:t>
      </w:r>
      <w:r w:rsidR="005D044F">
        <w:t>,</w:t>
      </w:r>
      <w:r>
        <w:t xml:space="preserve"> which is why they are being examined separately.</w:t>
      </w:r>
    </w:p>
    <w:p w:rsidR="004C3A21" w:rsidRDefault="004C3A21" w:rsidP="004C3A21">
      <w:pPr>
        <w:pStyle w:val="Note"/>
        <w:numPr>
          <w:ilvl w:val="0"/>
          <w:numId w:val="42"/>
        </w:numPr>
        <w:spacing w:before="0"/>
      </w:pPr>
      <w:r>
        <w:t xml:space="preserve">These completion rates are from courses where results are available. This is not 100 percent of the courses that students have participated in. </w:t>
      </w:r>
    </w:p>
    <w:p w:rsidR="00795915" w:rsidRDefault="00C40E89">
      <w:pPr>
        <w:pStyle w:val="BodyText"/>
      </w:pPr>
      <w:r>
        <w:t>Massey’s intramural course completion rate was around 85 percent. This is comparable to the median university course completion rate of 86 percent (Tertiary Education Commission, 2013</w:t>
      </w:r>
      <w:r w:rsidR="00FA39BD">
        <w:t>a</w:t>
      </w:r>
      <w:r>
        <w:t>). Thus, while Massey appears in the educational performance indicators</w:t>
      </w:r>
      <w:r w:rsidDel="00D67499">
        <w:t xml:space="preserve"> </w:t>
      </w:r>
      <w:r>
        <w:t>list as having a course completion rate of 80 percent (which is the lowest course completion rate of the eight New Zealand universities)</w:t>
      </w:r>
      <w:r w:rsidR="003F67DA">
        <w:t>,</w:t>
      </w:r>
      <w:r>
        <w:t xml:space="preserve"> that difference is due to the presence of extramural courses at </w:t>
      </w:r>
      <w:r w:rsidRPr="00A01ECC">
        <w:t>Massey</w:t>
      </w:r>
      <w:r w:rsidR="00A01ECC">
        <w:t>,</w:t>
      </w:r>
      <w:r w:rsidRPr="00A01ECC">
        <w:t xml:space="preserve"> which</w:t>
      </w:r>
      <w:r>
        <w:t xml:space="preserve"> have lower completion rates.</w:t>
      </w:r>
    </w:p>
    <w:p w:rsidR="00795915" w:rsidRDefault="00C40E89">
      <w:pPr>
        <w:pStyle w:val="BodyText"/>
      </w:pPr>
      <w:r>
        <w:t xml:space="preserve">One of the reasons for the low completion rates among extramural students </w:t>
      </w:r>
      <w:r w:rsidRPr="00A01ECC">
        <w:t>is that</w:t>
      </w:r>
      <w:r>
        <w:t xml:space="preserve"> they</w:t>
      </w:r>
      <w:r w:rsidR="008E39DB">
        <w:t xml:space="preserve"> are more likely to be part-time and part</w:t>
      </w:r>
      <w:r w:rsidR="003F67DA">
        <w:t>-</w:t>
      </w:r>
      <w:r w:rsidR="008E39DB">
        <w:t>time study is also associate</w:t>
      </w:r>
      <w:r w:rsidR="00911983">
        <w:t xml:space="preserve">d with lower completion rates. </w:t>
      </w:r>
      <w:r w:rsidR="008E39DB">
        <w:t xml:space="preserve">Figure 25 below looks at the completion rates of part-time extramural bachelors degree students at Massey University and the Open </w:t>
      </w:r>
      <w:r w:rsidR="008E39DB" w:rsidRPr="00B63070">
        <w:t>University</w:t>
      </w:r>
      <w:r w:rsidR="008E39DB">
        <w:t>.</w:t>
      </w:r>
    </w:p>
    <w:p w:rsidR="004C3A21" w:rsidRDefault="004C3A21" w:rsidP="004C3A21">
      <w:pPr>
        <w:pStyle w:val="Caption"/>
      </w:pPr>
      <w:r>
        <w:lastRenderedPageBreak/>
        <w:t xml:space="preserve">Figure </w:t>
      </w:r>
      <w:r w:rsidR="00BE3CD0">
        <w:t>25</w:t>
      </w:r>
    </w:p>
    <w:p w:rsidR="004C3A21" w:rsidRDefault="004C3A21" w:rsidP="004C3A21">
      <w:pPr>
        <w:pStyle w:val="Figurelabel"/>
      </w:pPr>
      <w:bookmarkStart w:id="53" w:name="_Toc379546018"/>
      <w:r>
        <w:t xml:space="preserve">Part-time bachelors degree extramural course completion rates </w:t>
      </w:r>
      <w:r w:rsidRPr="00DE62DF">
        <w:t>for Open</w:t>
      </w:r>
      <w:r>
        <w:t xml:space="preserve"> University and Massey University</w:t>
      </w:r>
      <w:bookmarkEnd w:id="53"/>
    </w:p>
    <w:p w:rsidR="004C3A21" w:rsidRPr="00B97A3F" w:rsidRDefault="00B33EB2" w:rsidP="004C3A21">
      <w:r>
        <w:rPr>
          <w:noProof/>
          <w:lang w:eastAsia="en-NZ"/>
        </w:rPr>
        <w:drawing>
          <wp:inline distT="0" distB="0" distL="0" distR="0">
            <wp:extent cx="4572000" cy="27432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3A21" w:rsidRDefault="004C3A21" w:rsidP="004C3A21">
      <w:pPr>
        <w:pStyle w:val="Note"/>
      </w:pPr>
      <w:r>
        <w:t>Source: HESA and Ministry of Education</w:t>
      </w:r>
    </w:p>
    <w:p w:rsidR="004C3A21" w:rsidRDefault="00593163" w:rsidP="004C3A21">
      <w:pPr>
        <w:pStyle w:val="BodyText"/>
      </w:pPr>
      <w:r>
        <w:t xml:space="preserve">Among that class of students, </w:t>
      </w:r>
      <w:r w:rsidR="004C3A21">
        <w:t xml:space="preserve">Massey University had higher completion rates in bachelors degree courses undertaken by part-time students studying extramurally </w:t>
      </w:r>
      <w:r w:rsidR="004C3A21" w:rsidRPr="00410B7A">
        <w:t xml:space="preserve">than </w:t>
      </w:r>
      <w:r w:rsidR="00410B7A">
        <w:t xml:space="preserve">the </w:t>
      </w:r>
      <w:r w:rsidR="004C3A21" w:rsidRPr="00410B7A">
        <w:t>Open</w:t>
      </w:r>
      <w:r w:rsidR="004C3A21">
        <w:t xml:space="preserve"> University. This could be due to differences in the respective student populations. But it could also be due to institutional factors such as the systems and support Massey University and </w:t>
      </w:r>
      <w:r w:rsidR="00410B7A">
        <w:t xml:space="preserve">the </w:t>
      </w:r>
      <w:r w:rsidR="004C3A21">
        <w:t xml:space="preserve">Open University have in place for their extramural students or differences in the regulatory environments in which Massey University and </w:t>
      </w:r>
      <w:r w:rsidR="00410B7A">
        <w:t xml:space="preserve">the </w:t>
      </w:r>
      <w:r w:rsidR="004C3A21">
        <w:t xml:space="preserve">Open University </w:t>
      </w:r>
      <w:r w:rsidR="000332F6">
        <w:t>operate</w:t>
      </w:r>
      <w:r w:rsidR="004C3A21">
        <w:t>.</w:t>
      </w:r>
    </w:p>
    <w:p w:rsidR="004C3A21" w:rsidRDefault="004C3A21" w:rsidP="004C3A21">
      <w:pPr>
        <w:pStyle w:val="BodyText"/>
      </w:pPr>
      <w:r>
        <w:t>However, when we adjust for course level and do not focus on a particular group of students</w:t>
      </w:r>
      <w:r w:rsidR="00410B7A">
        <w:t>,</w:t>
      </w:r>
      <w:r>
        <w:t xml:space="preserve"> Massey University and </w:t>
      </w:r>
      <w:r w:rsidR="00410B7A">
        <w:t xml:space="preserve">the </w:t>
      </w:r>
      <w:r>
        <w:t xml:space="preserve">Open University have comparable extramural course completion rates. This </w:t>
      </w:r>
      <w:r w:rsidRPr="00BE46AF">
        <w:t>suggests</w:t>
      </w:r>
      <w:r w:rsidR="00BE46AF">
        <w:t>,</w:t>
      </w:r>
      <w:r w:rsidRPr="00BE46AF">
        <w:t xml:space="preserve"> in contrast to Figure </w:t>
      </w:r>
      <w:r w:rsidR="00360A10" w:rsidRPr="00BE46AF">
        <w:t>25</w:t>
      </w:r>
      <w:r w:rsidR="00BE46AF">
        <w:t>,</w:t>
      </w:r>
      <w:r w:rsidR="00360A10" w:rsidRPr="00BE46AF">
        <w:t xml:space="preserve"> </w:t>
      </w:r>
      <w:r w:rsidRPr="00BE46AF">
        <w:t>that</w:t>
      </w:r>
      <w:r>
        <w:t xml:space="preserve"> Massey University and </w:t>
      </w:r>
      <w:r w:rsidR="00410B7A">
        <w:t xml:space="preserve">the </w:t>
      </w:r>
      <w:r>
        <w:t xml:space="preserve">Open University are equally challenged by factors associated with </w:t>
      </w:r>
      <w:r w:rsidR="00F56110">
        <w:t>low</w:t>
      </w:r>
      <w:r>
        <w:t xml:space="preserve"> achievement in extramural study that are not confined to particular institutions or jurisdictions. </w:t>
      </w:r>
      <w:r w:rsidR="00F56110">
        <w:t>B</w:t>
      </w:r>
      <w:r>
        <w:t>oth Massey University and the Open University have much lower extramural completion rates than their respective sector medians</w:t>
      </w:r>
      <w:r w:rsidR="00410B7A">
        <w:t>,</w:t>
      </w:r>
      <w:r>
        <w:t xml:space="preserve"> which tend to be dominated by intramural provision. </w:t>
      </w:r>
    </w:p>
    <w:p w:rsidR="004C3A21" w:rsidRDefault="004C3A21" w:rsidP="00B345B3">
      <w:pPr>
        <w:pStyle w:val="BodyText"/>
      </w:pPr>
    </w:p>
    <w:p w:rsidR="001E142E" w:rsidRDefault="001E142E" w:rsidP="001E142E">
      <w:pPr>
        <w:pStyle w:val="Caption"/>
      </w:pPr>
      <w:r>
        <w:lastRenderedPageBreak/>
        <w:t xml:space="preserve">Figure </w:t>
      </w:r>
      <w:r w:rsidR="00360A10">
        <w:t>26</w:t>
      </w:r>
    </w:p>
    <w:p w:rsidR="001E142E" w:rsidRDefault="008A68C0" w:rsidP="001E142E">
      <w:pPr>
        <w:pStyle w:val="Figurelabel"/>
      </w:pPr>
      <w:bookmarkStart w:id="54" w:name="_Toc359229076"/>
      <w:bookmarkStart w:id="55" w:name="_Toc379546019"/>
      <w:r>
        <w:t xml:space="preserve">The </w:t>
      </w:r>
      <w:r w:rsidR="001E142E" w:rsidRPr="00BE46AF">
        <w:t>Open Polytechnic</w:t>
      </w:r>
      <w:r w:rsidR="001E142E">
        <w:t xml:space="preserve"> of New Zealand course completion rates</w:t>
      </w:r>
      <w:bookmarkEnd w:id="54"/>
      <w:bookmarkEnd w:id="55"/>
      <w:r w:rsidR="001E142E">
        <w:t xml:space="preserve"> </w:t>
      </w:r>
      <w:r w:rsidR="00E3207D">
        <w:t xml:space="preserve">      </w:t>
      </w:r>
    </w:p>
    <w:p w:rsidR="001E142E" w:rsidRDefault="008A68C0" w:rsidP="001E142E">
      <w:pPr>
        <w:pStyle w:val="BodyText"/>
        <w:rPr>
          <w:noProof/>
          <w:lang w:eastAsia="en-NZ"/>
        </w:rPr>
      </w:pPr>
      <w:r w:rsidRPr="008A68C0">
        <w:rPr>
          <w:noProof/>
          <w:lang w:eastAsia="en-NZ"/>
        </w:rPr>
        <w:drawing>
          <wp:inline distT="0" distB="0" distL="0" distR="0">
            <wp:extent cx="4572000" cy="2743200"/>
            <wp:effectExtent l="0" t="0" r="0" b="0"/>
            <wp:docPr id="4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A68C0">
        <w:rPr>
          <w:noProof/>
          <w:lang w:eastAsia="en-NZ"/>
        </w:rPr>
        <w:t xml:space="preserve"> </w:t>
      </w:r>
    </w:p>
    <w:p w:rsidR="001E142E" w:rsidRDefault="001E142E" w:rsidP="001E142E">
      <w:pPr>
        <w:pStyle w:val="Note"/>
      </w:pPr>
      <w:r>
        <w:t>Notes:</w:t>
      </w:r>
    </w:p>
    <w:p w:rsidR="001E142E" w:rsidRDefault="001E142E" w:rsidP="001E142E">
      <w:pPr>
        <w:pStyle w:val="Note"/>
        <w:numPr>
          <w:ilvl w:val="0"/>
          <w:numId w:val="36"/>
        </w:numPr>
        <w:spacing w:before="0" w:after="0"/>
      </w:pPr>
      <w:r>
        <w:t xml:space="preserve">The polytechnic sector and </w:t>
      </w:r>
      <w:r w:rsidRPr="00B36600">
        <w:t>Open</w:t>
      </w:r>
      <w:r>
        <w:t xml:space="preserve"> Polytechnic averages are derived from the Tertiary Education Commission’s 2013 report on the Open Polytechnic’s </w:t>
      </w:r>
      <w:r w:rsidR="00C909D9">
        <w:t>e</w:t>
      </w:r>
      <w:r w:rsidRPr="00C909D9">
        <w:t xml:space="preserve">ducational </w:t>
      </w:r>
      <w:r w:rsidR="00C909D9">
        <w:t>p</w:t>
      </w:r>
      <w:r w:rsidRPr="00C909D9">
        <w:t xml:space="preserve">erformance </w:t>
      </w:r>
      <w:r w:rsidR="00C909D9">
        <w:t>i</w:t>
      </w:r>
      <w:r w:rsidRPr="00C909D9">
        <w:t>ndicators</w:t>
      </w:r>
      <w:r>
        <w:t>.</w:t>
      </w:r>
    </w:p>
    <w:p w:rsidR="001E142E" w:rsidRDefault="001E142E" w:rsidP="001E142E">
      <w:pPr>
        <w:pStyle w:val="Note"/>
        <w:numPr>
          <w:ilvl w:val="0"/>
          <w:numId w:val="36"/>
        </w:numPr>
        <w:spacing w:before="0"/>
      </w:pPr>
      <w:r>
        <w:t>Our completion rate is EFTS-weighted.</w:t>
      </w:r>
    </w:p>
    <w:p w:rsidR="001E142E" w:rsidRDefault="000F6FC2" w:rsidP="001E142E">
      <w:pPr>
        <w:spacing w:after="240"/>
        <w:jc w:val="both"/>
      </w:pPr>
      <w:r>
        <w:t xml:space="preserve">In </w:t>
      </w:r>
      <w:r w:rsidRPr="001012C4">
        <w:t>2012</w:t>
      </w:r>
      <w:r w:rsidR="00144486">
        <w:t>,</w:t>
      </w:r>
      <w:r w:rsidRPr="001012C4">
        <w:t xml:space="preserve"> t</w:t>
      </w:r>
      <w:r w:rsidR="001E142E" w:rsidRPr="001012C4">
        <w:t>he</w:t>
      </w:r>
      <w:r w:rsidR="001E142E">
        <w:t xml:space="preserve"> Open Polytechnic had</w:t>
      </w:r>
      <w:r w:rsidR="008A438C">
        <w:t xml:space="preserve"> a</w:t>
      </w:r>
      <w:r w:rsidR="001E142E">
        <w:t xml:space="preserve"> marginally higher course completion rate than the polytechnic sector average (Tertiary Education Commission, 2013</w:t>
      </w:r>
      <w:r w:rsidR="00FA39BD">
        <w:t>b</w:t>
      </w:r>
      <w:r w:rsidR="001E142E">
        <w:t xml:space="preserve">). But our completion rate calculated over </w:t>
      </w:r>
      <w:r w:rsidR="0016279D">
        <w:t>eight</w:t>
      </w:r>
      <w:r w:rsidR="001E142E">
        <w:t xml:space="preserve"> years and adjusted for course level shows </w:t>
      </w:r>
      <w:r w:rsidR="001E142E" w:rsidRPr="007A35FD">
        <w:t>that Open</w:t>
      </w:r>
      <w:r w:rsidR="001E142E">
        <w:t xml:space="preserve"> Polytechnic’s extramural course completion rate w</w:t>
      </w:r>
      <w:r w:rsidR="008A438C">
        <w:t>as</w:t>
      </w:r>
      <w:r w:rsidR="001E142E">
        <w:t xml:space="preserve"> about 25 percent</w:t>
      </w:r>
      <w:r w:rsidR="00005D07">
        <w:t>age points</w:t>
      </w:r>
      <w:r w:rsidR="001E142E">
        <w:t xml:space="preserve"> below the polytechnic sector average. </w:t>
      </w:r>
    </w:p>
    <w:p w:rsidR="00005D07" w:rsidRDefault="00005D07" w:rsidP="00005D07">
      <w:pPr>
        <w:spacing w:after="240"/>
        <w:jc w:val="both"/>
      </w:pPr>
      <w:r>
        <w:t xml:space="preserve">This could be because the measures taken </w:t>
      </w:r>
      <w:r w:rsidRPr="007A35FD">
        <w:t>by Open</w:t>
      </w:r>
      <w:r>
        <w:t xml:space="preserve"> Polytechnic to improve </w:t>
      </w:r>
      <w:r w:rsidR="0016279D">
        <w:t>its</w:t>
      </w:r>
      <w:r>
        <w:t xml:space="preserve"> performance (many of which are highlighted in our case study in Appendix B below) are most likely the result of the </w:t>
      </w:r>
      <w:r w:rsidRPr="00C909D9">
        <w:t>educational performance indicators</w:t>
      </w:r>
      <w:r>
        <w:t xml:space="preserve"> and so are relatively recent. As a result</w:t>
      </w:r>
      <w:r w:rsidR="0016279D">
        <w:t>,</w:t>
      </w:r>
      <w:r>
        <w:t xml:space="preserve"> they had a limited impact on our longer-term completion rate</w:t>
      </w:r>
      <w:r w:rsidR="0016279D">
        <w:t>.</w:t>
      </w:r>
    </w:p>
    <w:p w:rsidR="000C5942" w:rsidRDefault="000C5942" w:rsidP="00411380">
      <w:pPr>
        <w:pStyle w:val="Heading2"/>
      </w:pPr>
      <w:bookmarkStart w:id="56" w:name="_Toc379545920"/>
      <w:r>
        <w:t>Course level</w:t>
      </w:r>
      <w:bookmarkEnd w:id="56"/>
    </w:p>
    <w:p w:rsidR="000C5942" w:rsidRPr="00841210" w:rsidRDefault="000C5942" w:rsidP="00CB127C">
      <w:pPr>
        <w:pStyle w:val="BodyText"/>
      </w:pPr>
      <w:r>
        <w:t xml:space="preserve">In our earlier report (Guiney, </w:t>
      </w:r>
      <w:r w:rsidRPr="00AB541D">
        <w:t>2011)</w:t>
      </w:r>
      <w:r w:rsidR="00144486">
        <w:t>,</w:t>
      </w:r>
      <w:r w:rsidRPr="00AB541D">
        <w:t xml:space="preserve"> we</w:t>
      </w:r>
      <w:r>
        <w:t xml:space="preserve"> found that higher course levels had much more             e-learning provision than lower course levels. </w:t>
      </w:r>
      <w:r w:rsidR="00982217">
        <w:t xml:space="preserve">In this </w:t>
      </w:r>
      <w:r w:rsidRPr="00AB541D">
        <w:t>section</w:t>
      </w:r>
      <w:r w:rsidR="00982217" w:rsidRPr="00AB541D">
        <w:t>, we</w:t>
      </w:r>
      <w:r w:rsidR="00982217">
        <w:t xml:space="preserve"> look at the distribution of</w:t>
      </w:r>
      <w:r>
        <w:t xml:space="preserve"> </w:t>
      </w:r>
      <w:r w:rsidR="00B14748">
        <w:t>extramural and intramural provision</w:t>
      </w:r>
      <w:r w:rsidR="005519A1">
        <w:t xml:space="preserve"> delivered by traditional and e-learning methods</w:t>
      </w:r>
      <w:r w:rsidR="00B14748">
        <w:t xml:space="preserve"> in and among different course</w:t>
      </w:r>
      <w:r w:rsidR="00982217">
        <w:t xml:space="preserve"> levels</w:t>
      </w:r>
      <w:r>
        <w:t xml:space="preserve">. The course levels examined in this report are certificates (Levels 1-4), diplomas (Levels 5-7), </w:t>
      </w:r>
      <w:r w:rsidR="00982217">
        <w:t xml:space="preserve">bachelors </w:t>
      </w:r>
      <w:r>
        <w:t xml:space="preserve">degrees, postgraduate </w:t>
      </w:r>
      <w:r w:rsidRPr="00AB541D">
        <w:t>(</w:t>
      </w:r>
      <w:r w:rsidR="007D1B85">
        <w:t>L</w:t>
      </w:r>
      <w:r w:rsidR="00982217" w:rsidRPr="00AB541D">
        <w:t>evel</w:t>
      </w:r>
      <w:r w:rsidR="00982217">
        <w:t xml:space="preserve"> 8 bachelors </w:t>
      </w:r>
      <w:r>
        <w:t xml:space="preserve">honours degrees and postgraduate </w:t>
      </w:r>
      <w:r w:rsidR="00982217">
        <w:t xml:space="preserve">diplomas and </w:t>
      </w:r>
      <w:r>
        <w:t>certificates)</w:t>
      </w:r>
      <w:r w:rsidR="00B14748">
        <w:t>,</w:t>
      </w:r>
      <w:r>
        <w:t xml:space="preserve"> and masters</w:t>
      </w:r>
      <w:r w:rsidR="00982217">
        <w:t xml:space="preserve"> </w:t>
      </w:r>
      <w:r w:rsidR="0075430D">
        <w:t>degrees.</w:t>
      </w:r>
    </w:p>
    <w:p w:rsidR="000C5942" w:rsidRDefault="000C5942" w:rsidP="00264C0A">
      <w:pPr>
        <w:pStyle w:val="Caption"/>
      </w:pPr>
      <w:r>
        <w:lastRenderedPageBreak/>
        <w:t xml:space="preserve">Figure </w:t>
      </w:r>
      <w:r w:rsidR="00360A10">
        <w:t>27</w:t>
      </w:r>
    </w:p>
    <w:p w:rsidR="000C5942" w:rsidRDefault="000C5942" w:rsidP="00264C0A">
      <w:pPr>
        <w:pStyle w:val="Figurelabel"/>
      </w:pPr>
      <w:bookmarkStart w:id="57" w:name="_Toc379546020"/>
      <w:r>
        <w:t>Proportion of course</w:t>
      </w:r>
      <w:r w:rsidR="004B1B93">
        <w:t>-</w:t>
      </w:r>
      <w:r>
        <w:t>level EFTS by extramural</w:t>
      </w:r>
      <w:bookmarkEnd w:id="57"/>
    </w:p>
    <w:p w:rsidR="000C5942" w:rsidRDefault="00B33EB2" w:rsidP="00264C0A">
      <w:pPr>
        <w:pStyle w:val="BodyText"/>
        <w:rPr>
          <w:noProof/>
          <w:lang w:eastAsia="en-NZ"/>
        </w:rPr>
      </w:pPr>
      <w:r>
        <w:rPr>
          <w:noProof/>
          <w:lang w:eastAsia="en-NZ"/>
        </w:rPr>
        <w:drawing>
          <wp:inline distT="0" distB="0" distL="0" distR="0">
            <wp:extent cx="4572000" cy="2743200"/>
            <wp:effectExtent l="0" t="0" r="0"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5942" w:rsidRDefault="00660098" w:rsidP="00670E1E">
      <w:pPr>
        <w:pStyle w:val="BodyText"/>
      </w:pPr>
      <w:r>
        <w:t>Certificates had the largest share of course</w:t>
      </w:r>
      <w:r w:rsidR="004B1B93">
        <w:t>-</w:t>
      </w:r>
      <w:r>
        <w:t xml:space="preserve">level extramural EFTS. </w:t>
      </w:r>
      <w:r w:rsidR="000C5942">
        <w:t>However</w:t>
      </w:r>
      <w:r w:rsidR="00982217">
        <w:t xml:space="preserve">, </w:t>
      </w:r>
      <w:r w:rsidR="00565C69">
        <w:t>they</w:t>
      </w:r>
      <w:r w:rsidR="000C5942">
        <w:t xml:space="preserve"> </w:t>
      </w:r>
      <w:r>
        <w:t xml:space="preserve">also </w:t>
      </w:r>
      <w:r w:rsidR="00982217">
        <w:t xml:space="preserve">saw </w:t>
      </w:r>
      <w:r>
        <w:t xml:space="preserve">the largest </w:t>
      </w:r>
      <w:r w:rsidR="000C5942">
        <w:t xml:space="preserve">decline in their </w:t>
      </w:r>
      <w:r>
        <w:t xml:space="preserve">extramural </w:t>
      </w:r>
      <w:r w:rsidR="00CC1CA7">
        <w:t>EFTS</w:t>
      </w:r>
      <w:r w:rsidR="00982217">
        <w:t xml:space="preserve">. That decline reflects the trends described in </w:t>
      </w:r>
      <w:r w:rsidR="00DE2C2E" w:rsidRPr="005D5B15">
        <w:t>c</w:t>
      </w:r>
      <w:r w:rsidR="00982217" w:rsidRPr="005D5B15">
        <w:t xml:space="preserve">hapter </w:t>
      </w:r>
      <w:r w:rsidR="000D0D61" w:rsidRPr="005D5B15">
        <w:t>4.2</w:t>
      </w:r>
      <w:r w:rsidR="00982217">
        <w:t>, which saw a reduction of enrolments across the system by older students and in lower</w:t>
      </w:r>
      <w:r w:rsidR="005D5B15">
        <w:t>-</w:t>
      </w:r>
      <w:r w:rsidR="00982217">
        <w:t>level qualifications</w:t>
      </w:r>
      <w:r w:rsidR="000C5942">
        <w:t xml:space="preserve">. </w:t>
      </w:r>
      <w:r>
        <w:t>Postgraduate courses</w:t>
      </w:r>
      <w:r w:rsidR="00982217">
        <w:t xml:space="preserve"> </w:t>
      </w:r>
      <w:r w:rsidR="000C5942">
        <w:t xml:space="preserve">had </w:t>
      </w:r>
      <w:r w:rsidR="00B14748">
        <w:t xml:space="preserve">the </w:t>
      </w:r>
      <w:r>
        <w:t xml:space="preserve">smallest share </w:t>
      </w:r>
      <w:r w:rsidR="000C5942">
        <w:t xml:space="preserve">of </w:t>
      </w:r>
      <w:r>
        <w:t>course</w:t>
      </w:r>
      <w:r w:rsidR="004B1B93">
        <w:t>-</w:t>
      </w:r>
      <w:r>
        <w:t>level extramural EFTS</w:t>
      </w:r>
      <w:r w:rsidR="000C5942">
        <w:t xml:space="preserve">. </w:t>
      </w:r>
      <w:r>
        <w:t xml:space="preserve">While they (along with degrees and masters courses) increased their share over time, the </w:t>
      </w:r>
      <w:r w:rsidR="00565C69">
        <w:t>strongest growth</w:t>
      </w:r>
      <w:r>
        <w:t xml:space="preserve"> was in diplomas</w:t>
      </w:r>
      <w:r w:rsidR="000C5942">
        <w:t xml:space="preserve">.  </w:t>
      </w:r>
    </w:p>
    <w:p w:rsidR="009F2DE8" w:rsidRDefault="009F2DE8" w:rsidP="009F2DE8">
      <w:pPr>
        <w:pStyle w:val="Caption"/>
      </w:pPr>
      <w:r>
        <w:t xml:space="preserve">Figure </w:t>
      </w:r>
      <w:r w:rsidR="00360A10">
        <w:t>28</w:t>
      </w:r>
    </w:p>
    <w:p w:rsidR="000C5942" w:rsidRDefault="000C5942" w:rsidP="00670E1E">
      <w:pPr>
        <w:pStyle w:val="Figurelabel"/>
      </w:pPr>
      <w:bookmarkStart w:id="58" w:name="_Toc379546021"/>
      <w:r>
        <w:t>Proportion of course</w:t>
      </w:r>
      <w:r w:rsidR="004B1B93">
        <w:t>-</w:t>
      </w:r>
      <w:r>
        <w:t xml:space="preserve">level extramural EFTS in the No </w:t>
      </w:r>
      <w:r w:rsidR="000D0D61">
        <w:t>ICT</w:t>
      </w:r>
      <w:r>
        <w:t xml:space="preserve"> and e-learning delivery modes</w:t>
      </w:r>
      <w:bookmarkEnd w:id="58"/>
    </w:p>
    <w:p w:rsidR="000C5942" w:rsidRDefault="00532418" w:rsidP="00670E1E">
      <w:pPr>
        <w:pStyle w:val="BodyText"/>
        <w:rPr>
          <w:noProof/>
          <w:lang w:eastAsia="en-NZ"/>
        </w:rPr>
      </w:pPr>
      <w:r w:rsidRPr="00532418">
        <w:rPr>
          <w:noProof/>
          <w:lang w:eastAsia="en-NZ"/>
        </w:rPr>
        <w:drawing>
          <wp:inline distT="0" distB="0" distL="0" distR="0">
            <wp:extent cx="4572000" cy="2743200"/>
            <wp:effectExtent l="0" t="0" r="0" b="0"/>
            <wp:docPr id="4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532418">
        <w:rPr>
          <w:noProof/>
          <w:lang w:eastAsia="en-NZ"/>
        </w:rPr>
        <w:t xml:space="preserve"> </w:t>
      </w:r>
    </w:p>
    <w:p w:rsidR="000C5942" w:rsidRPr="00695CC3" w:rsidRDefault="000C5942" w:rsidP="00455B8C">
      <w:pPr>
        <w:pStyle w:val="Note"/>
        <w:spacing w:before="0"/>
      </w:pPr>
      <w:r>
        <w:t xml:space="preserve">Note: </w:t>
      </w:r>
      <w:r w:rsidR="0095450E">
        <w:t>EL stands for e-learning</w:t>
      </w:r>
      <w:r w:rsidR="00D019FE">
        <w:t>.</w:t>
      </w:r>
    </w:p>
    <w:p w:rsidR="000C5942" w:rsidRDefault="000C5942" w:rsidP="000F781C">
      <w:pPr>
        <w:pStyle w:val="BodyText"/>
        <w:rPr>
          <w:noProof/>
          <w:lang w:eastAsia="en-NZ"/>
        </w:rPr>
      </w:pPr>
      <w:r>
        <w:rPr>
          <w:noProof/>
          <w:lang w:eastAsia="en-NZ"/>
        </w:rPr>
        <w:t xml:space="preserve">Certificates had </w:t>
      </w:r>
      <w:r w:rsidR="00B25EFC">
        <w:rPr>
          <w:noProof/>
          <w:lang w:eastAsia="en-NZ"/>
        </w:rPr>
        <w:t>the highest</w:t>
      </w:r>
      <w:r>
        <w:rPr>
          <w:noProof/>
          <w:lang w:eastAsia="en-NZ"/>
        </w:rPr>
        <w:t xml:space="preserve"> proportion of </w:t>
      </w:r>
      <w:r w:rsidR="00F12F14">
        <w:rPr>
          <w:noProof/>
          <w:lang w:eastAsia="en-NZ"/>
        </w:rPr>
        <w:t xml:space="preserve">their extramural </w:t>
      </w:r>
      <w:r w:rsidR="0095450E">
        <w:rPr>
          <w:noProof/>
          <w:lang w:eastAsia="en-NZ"/>
        </w:rPr>
        <w:t xml:space="preserve">courses </w:t>
      </w:r>
      <w:r w:rsidR="00F12F14">
        <w:rPr>
          <w:noProof/>
          <w:lang w:eastAsia="en-NZ"/>
        </w:rPr>
        <w:t>delivered by traditional means</w:t>
      </w:r>
      <w:r>
        <w:rPr>
          <w:noProof/>
          <w:lang w:eastAsia="en-NZ"/>
        </w:rPr>
        <w:t xml:space="preserve">. </w:t>
      </w:r>
      <w:r w:rsidR="00565C69">
        <w:rPr>
          <w:noProof/>
          <w:lang w:eastAsia="en-NZ"/>
        </w:rPr>
        <w:t>They</w:t>
      </w:r>
      <w:r>
        <w:rPr>
          <w:noProof/>
          <w:lang w:eastAsia="en-NZ"/>
        </w:rPr>
        <w:t xml:space="preserve"> also had the largest increase in </w:t>
      </w:r>
      <w:r w:rsidR="00565C69">
        <w:rPr>
          <w:noProof/>
          <w:lang w:eastAsia="en-NZ"/>
        </w:rPr>
        <w:t>traditional delivery</w:t>
      </w:r>
      <w:r>
        <w:rPr>
          <w:noProof/>
          <w:lang w:eastAsia="en-NZ"/>
        </w:rPr>
        <w:t xml:space="preserve"> extramural courses. Postgraduate courses had the </w:t>
      </w:r>
      <w:r w:rsidR="00126447">
        <w:rPr>
          <w:noProof/>
          <w:lang w:eastAsia="en-NZ"/>
        </w:rPr>
        <w:t xml:space="preserve">highest </w:t>
      </w:r>
      <w:r w:rsidR="00565C69">
        <w:rPr>
          <w:noProof/>
          <w:lang w:eastAsia="en-NZ"/>
        </w:rPr>
        <w:t>proportion</w:t>
      </w:r>
      <w:r w:rsidR="00126447">
        <w:rPr>
          <w:noProof/>
          <w:lang w:eastAsia="en-NZ"/>
        </w:rPr>
        <w:t xml:space="preserve"> of their extramural courses delivered by </w:t>
      </w:r>
      <w:r w:rsidR="00565C69">
        <w:rPr>
          <w:noProof/>
          <w:lang w:eastAsia="en-NZ"/>
        </w:rPr>
        <w:t xml:space="preserve">           </w:t>
      </w:r>
      <w:r w:rsidR="00126447">
        <w:rPr>
          <w:noProof/>
          <w:lang w:eastAsia="en-NZ"/>
        </w:rPr>
        <w:t>e-learning</w:t>
      </w:r>
      <w:r w:rsidR="005D5B15">
        <w:rPr>
          <w:noProof/>
          <w:lang w:eastAsia="en-NZ"/>
        </w:rPr>
        <w:t xml:space="preserve"> and</w:t>
      </w:r>
      <w:r w:rsidR="00126447">
        <w:rPr>
          <w:noProof/>
          <w:lang w:eastAsia="en-NZ"/>
        </w:rPr>
        <w:t xml:space="preserve"> also had the </w:t>
      </w:r>
      <w:r>
        <w:rPr>
          <w:noProof/>
          <w:lang w:eastAsia="en-NZ"/>
        </w:rPr>
        <w:t xml:space="preserve">largest increase in </w:t>
      </w:r>
      <w:r w:rsidR="00565C69">
        <w:rPr>
          <w:noProof/>
          <w:lang w:eastAsia="en-NZ"/>
        </w:rPr>
        <w:t>e-learning</w:t>
      </w:r>
      <w:r w:rsidR="00F12F14">
        <w:rPr>
          <w:noProof/>
          <w:lang w:eastAsia="en-NZ"/>
        </w:rPr>
        <w:t xml:space="preserve"> extramural courses</w:t>
      </w:r>
      <w:r>
        <w:rPr>
          <w:noProof/>
          <w:lang w:eastAsia="en-NZ"/>
        </w:rPr>
        <w:t>.</w:t>
      </w:r>
      <w:r w:rsidR="00F24C6F">
        <w:rPr>
          <w:noProof/>
          <w:lang w:eastAsia="en-NZ"/>
        </w:rPr>
        <w:t xml:space="preserve"> </w:t>
      </w:r>
    </w:p>
    <w:p w:rsidR="000C5942" w:rsidRDefault="000C5942" w:rsidP="00411380">
      <w:pPr>
        <w:pStyle w:val="Heading2"/>
      </w:pPr>
      <w:bookmarkStart w:id="59" w:name="_Toc379545921"/>
      <w:r>
        <w:lastRenderedPageBreak/>
        <w:t>Field of study</w:t>
      </w:r>
      <w:bookmarkEnd w:id="59"/>
    </w:p>
    <w:p w:rsidR="00F24C6F" w:rsidRDefault="000C5942" w:rsidP="00F24C6F">
      <w:pPr>
        <w:spacing w:after="240"/>
        <w:jc w:val="both"/>
      </w:pPr>
      <w:r>
        <w:t xml:space="preserve">Our earlier reports on provision, </w:t>
      </w:r>
      <w:r w:rsidRPr="00585799">
        <w:t>participation</w:t>
      </w:r>
      <w:r w:rsidR="000F785C" w:rsidRPr="00585799">
        <w:t>,</w:t>
      </w:r>
      <w:r w:rsidRPr="00585799">
        <w:t xml:space="preserve"> and</w:t>
      </w:r>
      <w:r>
        <w:t xml:space="preserve"> achievement showed differences in</w:t>
      </w:r>
      <w:r w:rsidR="000F785C">
        <w:t xml:space="preserve"> </w:t>
      </w:r>
      <w:r w:rsidR="00E6717D">
        <w:t xml:space="preserve">             </w:t>
      </w:r>
      <w:r>
        <w:t>e-learning provision and achievement between the fields of study (Guiney, 2011, 2013</w:t>
      </w:r>
      <w:r w:rsidR="00E6717D">
        <w:t>a</w:t>
      </w:r>
      <w:r>
        <w:t xml:space="preserve">). The one common theme identified among the fields with low e-learning provision was that they all </w:t>
      </w:r>
      <w:r w:rsidR="00F24C6F">
        <w:t xml:space="preserve">had a large workplace or work-based </w:t>
      </w:r>
      <w:r w:rsidR="00F24C6F" w:rsidRPr="0021355D">
        <w:t>component</w:t>
      </w:r>
      <w:r w:rsidR="0021355D">
        <w:t xml:space="preserve"> </w:t>
      </w:r>
      <w:r w:rsidR="00F24C6F">
        <w:t xml:space="preserve">that </w:t>
      </w:r>
      <w:r w:rsidR="00821D5D">
        <w:t>wa</w:t>
      </w:r>
      <w:r w:rsidR="0021355D">
        <w:t>s</w:t>
      </w:r>
      <w:r w:rsidR="00F24C6F">
        <w:t xml:space="preserve"> typically not </w:t>
      </w:r>
      <w:r w:rsidR="00F24C6F" w:rsidRPr="005D5B15">
        <w:t>computer</w:t>
      </w:r>
      <w:r w:rsidR="0021355D">
        <w:t>-</w:t>
      </w:r>
      <w:r w:rsidR="00F24C6F" w:rsidRPr="005D5B15">
        <w:t>based</w:t>
      </w:r>
      <w:r w:rsidR="00E6717D">
        <w:t>. Fields with these large workplace or work-based components</w:t>
      </w:r>
      <w:r w:rsidR="00F24C6F">
        <w:t xml:space="preserve"> </w:t>
      </w:r>
      <w:r w:rsidR="00E6717D">
        <w:t>do not lend themselves</w:t>
      </w:r>
      <w:r w:rsidR="00F24C6F">
        <w:t xml:space="preserve"> as easily to </w:t>
      </w:r>
      <w:r w:rsidR="00E6717D">
        <w:t xml:space="preserve">       </w:t>
      </w:r>
      <w:r w:rsidR="00F24C6F">
        <w:t>e-learning as fields that are more classroom</w:t>
      </w:r>
      <w:r w:rsidR="005D5B15">
        <w:t>-</w:t>
      </w:r>
      <w:r w:rsidR="00F24C6F">
        <w:t>based (Guiney, 2011). In this section</w:t>
      </w:r>
      <w:r w:rsidR="00144486">
        <w:t>,</w:t>
      </w:r>
      <w:r w:rsidR="00F24C6F">
        <w:t xml:space="preserve"> we assess </w:t>
      </w:r>
      <w:r w:rsidR="00F24C6F" w:rsidRPr="00873DDD">
        <w:t>whether</w:t>
      </w:r>
      <w:r w:rsidR="00F24C6F">
        <w:t xml:space="preserve"> there are differences in provision and achievement between the fields of study in intramural and extramural courses and if these variations can be attributed to fields that have more (or less) of a classroom component.   </w:t>
      </w:r>
    </w:p>
    <w:p w:rsidR="000C5942" w:rsidRDefault="000C5942" w:rsidP="008915BD">
      <w:pPr>
        <w:spacing w:after="240"/>
        <w:jc w:val="both"/>
      </w:pPr>
      <w:r>
        <w:t>Table 1 below shows the aggregate provision</w:t>
      </w:r>
      <w:r w:rsidRPr="004019FD">
        <w:t xml:space="preserve"> </w:t>
      </w:r>
      <w:r>
        <w:t xml:space="preserve">over the eight years </w:t>
      </w:r>
      <w:r w:rsidRPr="001E2AFC">
        <w:t>2004-2011</w:t>
      </w:r>
      <w:r>
        <w:t xml:space="preserve"> for the different fields of study</w:t>
      </w:r>
      <w:r w:rsidRPr="00873DDD">
        <w:rPr>
          <w:rStyle w:val="FootnoteReference"/>
        </w:rPr>
        <w:footnoteReference w:id="15"/>
      </w:r>
      <w:r>
        <w:t xml:space="preserve"> in </w:t>
      </w:r>
      <w:r w:rsidR="007034EB">
        <w:t>extramural</w:t>
      </w:r>
      <w:r w:rsidR="007034EB" w:rsidRPr="007034EB">
        <w:t xml:space="preserve"> </w:t>
      </w:r>
      <w:r w:rsidR="007034EB">
        <w:t xml:space="preserve">and </w:t>
      </w:r>
      <w:r>
        <w:t>intramural provision.</w:t>
      </w:r>
    </w:p>
    <w:p w:rsidR="000C5942" w:rsidRDefault="000C5942" w:rsidP="00AF3CA4">
      <w:pPr>
        <w:pStyle w:val="Caption"/>
      </w:pPr>
      <w:r>
        <w:t xml:space="preserve">Table </w:t>
      </w:r>
      <w:fldSimple w:instr=" SEQ Table \* ARABIC ">
        <w:r w:rsidR="00B215B1">
          <w:rPr>
            <w:noProof/>
          </w:rPr>
          <w:t>1</w:t>
        </w:r>
      </w:fldSimple>
    </w:p>
    <w:p w:rsidR="000C5942" w:rsidRDefault="000C5942" w:rsidP="00AF3CA4">
      <w:pPr>
        <w:pStyle w:val="Tablelabel"/>
      </w:pPr>
      <w:bookmarkStart w:id="60" w:name="_Toc379546086"/>
      <w:r>
        <w:t xml:space="preserve">Proportion of total </w:t>
      </w:r>
      <w:r w:rsidRPr="004619FD">
        <w:t>Field of Study</w:t>
      </w:r>
      <w:r>
        <w:t xml:space="preserve"> provision by</w:t>
      </w:r>
      <w:r w:rsidR="00417CF4" w:rsidRPr="00417CF4">
        <w:t xml:space="preserve"> </w:t>
      </w:r>
      <w:r w:rsidR="00417CF4">
        <w:t>extramural</w:t>
      </w:r>
      <w:r>
        <w:t xml:space="preserve"> </w:t>
      </w:r>
      <w:r w:rsidR="00417CF4">
        <w:t xml:space="preserve">and </w:t>
      </w:r>
      <w:r w:rsidR="003E4E5A">
        <w:t>i</w:t>
      </w:r>
      <w:r>
        <w:t>ntramural</w:t>
      </w:r>
      <w:bookmarkEnd w:id="60"/>
      <w:r>
        <w:t xml:space="preserve"> </w:t>
      </w:r>
    </w:p>
    <w:tbl>
      <w:tblPr>
        <w:tblW w:w="0" w:type="auto"/>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0A0"/>
      </w:tblPr>
      <w:tblGrid>
        <w:gridCol w:w="2252"/>
        <w:gridCol w:w="1948"/>
        <w:gridCol w:w="2175"/>
      </w:tblGrid>
      <w:tr w:rsidR="00417CF4" w:rsidRPr="003664C2" w:rsidTr="00237DFA">
        <w:tc>
          <w:tcPr>
            <w:tcW w:w="2252" w:type="dxa"/>
            <w:tcBorders>
              <w:top w:val="single" w:sz="4" w:space="0" w:color="7F7F7F"/>
              <w:bottom w:val="single" w:sz="4" w:space="0" w:color="7F7F7F"/>
            </w:tcBorders>
            <w:shd w:val="clear" w:color="auto" w:fill="C2D8EA"/>
          </w:tcPr>
          <w:p w:rsidR="00417CF4" w:rsidRPr="003664C2" w:rsidRDefault="00417CF4" w:rsidP="008D6C42">
            <w:pPr>
              <w:pStyle w:val="Tabletext"/>
              <w:jc w:val="center"/>
            </w:pPr>
            <w:r>
              <w:t xml:space="preserve">Field of </w:t>
            </w:r>
            <w:r w:rsidR="00CB5B1D">
              <w:t>s</w:t>
            </w:r>
            <w:r w:rsidRPr="00CB5B1D">
              <w:t>tudy</w:t>
            </w:r>
          </w:p>
        </w:tc>
        <w:tc>
          <w:tcPr>
            <w:tcW w:w="1948" w:type="dxa"/>
            <w:tcBorders>
              <w:top w:val="single" w:sz="4" w:space="0" w:color="7F7F7F"/>
              <w:bottom w:val="single" w:sz="4" w:space="0" w:color="7F7F7F"/>
            </w:tcBorders>
            <w:shd w:val="clear" w:color="auto" w:fill="C2D8EA"/>
          </w:tcPr>
          <w:p w:rsidR="00417CF4" w:rsidRPr="003664C2" w:rsidRDefault="00417CF4" w:rsidP="00237DFA">
            <w:pPr>
              <w:pStyle w:val="Tabletext"/>
              <w:jc w:val="center"/>
            </w:pPr>
            <w:r>
              <w:t xml:space="preserve">Proportion of </w:t>
            </w:r>
            <w:r w:rsidR="00CB5B1D">
              <w:t>e</w:t>
            </w:r>
            <w:r>
              <w:t xml:space="preserve">xtramural </w:t>
            </w:r>
            <w:r w:rsidR="00CB5B1D">
              <w:t>p</w:t>
            </w:r>
            <w:r>
              <w:t>rovision</w:t>
            </w:r>
          </w:p>
        </w:tc>
        <w:tc>
          <w:tcPr>
            <w:tcW w:w="2175" w:type="dxa"/>
            <w:tcBorders>
              <w:top w:val="single" w:sz="4" w:space="0" w:color="7F7F7F"/>
              <w:bottom w:val="single" w:sz="4" w:space="0" w:color="7F7F7F"/>
            </w:tcBorders>
            <w:shd w:val="clear" w:color="auto" w:fill="C2D8EA"/>
          </w:tcPr>
          <w:p w:rsidR="00417CF4" w:rsidRPr="003664C2" w:rsidRDefault="00417CF4" w:rsidP="008D6C42">
            <w:pPr>
              <w:pStyle w:val="Tabletext"/>
              <w:jc w:val="center"/>
            </w:pPr>
            <w:r>
              <w:t xml:space="preserve">Proportion of </w:t>
            </w:r>
            <w:r w:rsidR="00CB5B1D">
              <w:t>i</w:t>
            </w:r>
            <w:r>
              <w:t xml:space="preserve">ntramural </w:t>
            </w:r>
            <w:r w:rsidR="00CB5B1D">
              <w:t>p</w:t>
            </w:r>
            <w:r>
              <w:t>rovision</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Agriculture, Envir</w:t>
            </w:r>
            <w:r w:rsidRPr="00307E42">
              <w:t>onment</w:t>
            </w:r>
            <w:r w:rsidR="00E6717D">
              <w:t>al</w:t>
            </w:r>
            <w:r>
              <w:t xml:space="preserve"> and Related Studies</w:t>
            </w:r>
          </w:p>
        </w:tc>
        <w:tc>
          <w:tcPr>
            <w:tcW w:w="1948" w:type="dxa"/>
            <w:tcBorders>
              <w:top w:val="nil"/>
              <w:bottom w:val="nil"/>
            </w:tcBorders>
            <w:shd w:val="clear" w:color="auto" w:fill="C2D8EA"/>
          </w:tcPr>
          <w:p w:rsidR="00417CF4" w:rsidRPr="003664C2" w:rsidRDefault="00417CF4" w:rsidP="00237DFA">
            <w:pPr>
              <w:pStyle w:val="Tabletext"/>
            </w:pPr>
            <w:r>
              <w:t>13.6%</w:t>
            </w:r>
          </w:p>
        </w:tc>
        <w:tc>
          <w:tcPr>
            <w:tcW w:w="2175" w:type="dxa"/>
            <w:tcBorders>
              <w:top w:val="nil"/>
              <w:bottom w:val="nil"/>
            </w:tcBorders>
            <w:shd w:val="clear" w:color="auto" w:fill="C2D8EA"/>
          </w:tcPr>
          <w:p w:rsidR="00417CF4" w:rsidRPr="003664C2" w:rsidRDefault="00417CF4" w:rsidP="0072787F">
            <w:pPr>
              <w:pStyle w:val="Tabletext"/>
            </w:pPr>
            <w:r>
              <w:t>86.4%</w:t>
            </w:r>
          </w:p>
        </w:tc>
      </w:tr>
      <w:tr w:rsidR="00417CF4" w:rsidRPr="003664C2" w:rsidTr="00237DFA">
        <w:tc>
          <w:tcPr>
            <w:tcW w:w="2252" w:type="dxa"/>
            <w:tcBorders>
              <w:top w:val="nil"/>
              <w:bottom w:val="nil"/>
            </w:tcBorders>
          </w:tcPr>
          <w:p w:rsidR="00417CF4" w:rsidRPr="003664C2" w:rsidRDefault="00417CF4" w:rsidP="008D6C42">
            <w:pPr>
              <w:pStyle w:val="Tabletext"/>
            </w:pPr>
            <w:r>
              <w:t>Architecture and Building</w:t>
            </w:r>
          </w:p>
        </w:tc>
        <w:tc>
          <w:tcPr>
            <w:tcW w:w="1948" w:type="dxa"/>
            <w:tcBorders>
              <w:top w:val="nil"/>
              <w:bottom w:val="nil"/>
            </w:tcBorders>
          </w:tcPr>
          <w:p w:rsidR="00417CF4" w:rsidRPr="003664C2" w:rsidRDefault="00417CF4" w:rsidP="00237DFA">
            <w:pPr>
              <w:pStyle w:val="Tabletext"/>
            </w:pPr>
            <w:r>
              <w:t>7.7%</w:t>
            </w:r>
          </w:p>
        </w:tc>
        <w:tc>
          <w:tcPr>
            <w:tcW w:w="2175" w:type="dxa"/>
            <w:tcBorders>
              <w:top w:val="nil"/>
              <w:bottom w:val="nil"/>
            </w:tcBorders>
          </w:tcPr>
          <w:p w:rsidR="00417CF4" w:rsidRPr="003664C2" w:rsidRDefault="00417CF4" w:rsidP="0072787F">
            <w:pPr>
              <w:pStyle w:val="Tabletext"/>
            </w:pPr>
            <w:r>
              <w:t>92.3%</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Creative Arts</w:t>
            </w:r>
          </w:p>
        </w:tc>
        <w:tc>
          <w:tcPr>
            <w:tcW w:w="1948" w:type="dxa"/>
            <w:tcBorders>
              <w:top w:val="nil"/>
              <w:bottom w:val="nil"/>
            </w:tcBorders>
            <w:shd w:val="clear" w:color="auto" w:fill="C2D8EA"/>
          </w:tcPr>
          <w:p w:rsidR="00417CF4" w:rsidRPr="003664C2" w:rsidRDefault="00417CF4" w:rsidP="00237DFA">
            <w:pPr>
              <w:pStyle w:val="Tabletext"/>
            </w:pPr>
            <w:r>
              <w:t>5.6%</w:t>
            </w:r>
          </w:p>
        </w:tc>
        <w:tc>
          <w:tcPr>
            <w:tcW w:w="2175" w:type="dxa"/>
            <w:tcBorders>
              <w:top w:val="nil"/>
              <w:bottom w:val="nil"/>
            </w:tcBorders>
            <w:shd w:val="clear" w:color="auto" w:fill="C2D8EA"/>
          </w:tcPr>
          <w:p w:rsidR="00417CF4" w:rsidRPr="003664C2" w:rsidRDefault="00417CF4" w:rsidP="0072787F">
            <w:pPr>
              <w:pStyle w:val="Tabletext"/>
            </w:pPr>
            <w:r>
              <w:t>94.4%</w:t>
            </w:r>
          </w:p>
        </w:tc>
      </w:tr>
      <w:tr w:rsidR="00417CF4" w:rsidRPr="003664C2" w:rsidTr="00237DFA">
        <w:tc>
          <w:tcPr>
            <w:tcW w:w="2252" w:type="dxa"/>
            <w:tcBorders>
              <w:top w:val="nil"/>
              <w:bottom w:val="nil"/>
            </w:tcBorders>
          </w:tcPr>
          <w:p w:rsidR="00417CF4" w:rsidRPr="003664C2" w:rsidRDefault="00417CF4" w:rsidP="008D6C42">
            <w:pPr>
              <w:pStyle w:val="Tabletext"/>
            </w:pPr>
            <w:r>
              <w:t>Education</w:t>
            </w:r>
          </w:p>
        </w:tc>
        <w:tc>
          <w:tcPr>
            <w:tcW w:w="1948" w:type="dxa"/>
            <w:tcBorders>
              <w:top w:val="nil"/>
              <w:bottom w:val="nil"/>
            </w:tcBorders>
          </w:tcPr>
          <w:p w:rsidR="00417CF4" w:rsidRPr="003664C2" w:rsidRDefault="00417CF4" w:rsidP="00237DFA">
            <w:pPr>
              <w:pStyle w:val="Tabletext"/>
            </w:pPr>
            <w:r>
              <w:t>20.1%</w:t>
            </w:r>
          </w:p>
        </w:tc>
        <w:tc>
          <w:tcPr>
            <w:tcW w:w="2175" w:type="dxa"/>
            <w:tcBorders>
              <w:top w:val="nil"/>
              <w:bottom w:val="nil"/>
            </w:tcBorders>
          </w:tcPr>
          <w:p w:rsidR="00417CF4" w:rsidRPr="003664C2" w:rsidRDefault="00417CF4" w:rsidP="0072787F">
            <w:pPr>
              <w:pStyle w:val="Tabletext"/>
            </w:pPr>
            <w:r>
              <w:t>79.9%</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Engineering and Related Technologies</w:t>
            </w:r>
          </w:p>
        </w:tc>
        <w:tc>
          <w:tcPr>
            <w:tcW w:w="1948" w:type="dxa"/>
            <w:tcBorders>
              <w:top w:val="nil"/>
              <w:bottom w:val="nil"/>
            </w:tcBorders>
            <w:shd w:val="clear" w:color="auto" w:fill="C2D8EA"/>
          </w:tcPr>
          <w:p w:rsidR="00417CF4" w:rsidRPr="003664C2" w:rsidRDefault="00417CF4" w:rsidP="00237DFA">
            <w:pPr>
              <w:pStyle w:val="Tabletext"/>
            </w:pPr>
            <w:r>
              <w:t>8.4%</w:t>
            </w:r>
          </w:p>
        </w:tc>
        <w:tc>
          <w:tcPr>
            <w:tcW w:w="2175" w:type="dxa"/>
            <w:tcBorders>
              <w:top w:val="nil"/>
              <w:bottom w:val="nil"/>
            </w:tcBorders>
            <w:shd w:val="clear" w:color="auto" w:fill="C2D8EA"/>
          </w:tcPr>
          <w:p w:rsidR="00417CF4" w:rsidRPr="003664C2" w:rsidRDefault="00417CF4" w:rsidP="0072787F">
            <w:pPr>
              <w:pStyle w:val="Tabletext"/>
            </w:pPr>
            <w:r>
              <w:t>91.6%</w:t>
            </w:r>
          </w:p>
        </w:tc>
      </w:tr>
      <w:tr w:rsidR="00417CF4" w:rsidRPr="003664C2" w:rsidTr="00237DFA">
        <w:tc>
          <w:tcPr>
            <w:tcW w:w="2252" w:type="dxa"/>
            <w:tcBorders>
              <w:top w:val="nil"/>
              <w:bottom w:val="nil"/>
            </w:tcBorders>
          </w:tcPr>
          <w:p w:rsidR="00417CF4" w:rsidRPr="003664C2" w:rsidRDefault="00417CF4" w:rsidP="008D6C42">
            <w:pPr>
              <w:pStyle w:val="Tabletext"/>
            </w:pPr>
            <w:r>
              <w:t>Food, Hospitality and Personal Services</w:t>
            </w:r>
          </w:p>
        </w:tc>
        <w:tc>
          <w:tcPr>
            <w:tcW w:w="1948" w:type="dxa"/>
            <w:tcBorders>
              <w:top w:val="nil"/>
              <w:bottom w:val="nil"/>
            </w:tcBorders>
          </w:tcPr>
          <w:p w:rsidR="00417CF4" w:rsidRPr="003664C2" w:rsidRDefault="00417CF4" w:rsidP="00237DFA">
            <w:pPr>
              <w:pStyle w:val="Tabletext"/>
            </w:pPr>
            <w:r>
              <w:t>1.0%</w:t>
            </w:r>
          </w:p>
        </w:tc>
        <w:tc>
          <w:tcPr>
            <w:tcW w:w="2175" w:type="dxa"/>
            <w:tcBorders>
              <w:top w:val="nil"/>
              <w:bottom w:val="nil"/>
            </w:tcBorders>
          </w:tcPr>
          <w:p w:rsidR="00417CF4" w:rsidRPr="003664C2" w:rsidRDefault="00417CF4" w:rsidP="0072787F">
            <w:pPr>
              <w:pStyle w:val="Tabletext"/>
            </w:pPr>
            <w:r>
              <w:t>99.0%</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Health</w:t>
            </w:r>
          </w:p>
        </w:tc>
        <w:tc>
          <w:tcPr>
            <w:tcW w:w="1948" w:type="dxa"/>
            <w:tcBorders>
              <w:top w:val="nil"/>
              <w:bottom w:val="nil"/>
            </w:tcBorders>
            <w:shd w:val="clear" w:color="auto" w:fill="C2D8EA"/>
          </w:tcPr>
          <w:p w:rsidR="00417CF4" w:rsidRPr="003664C2" w:rsidRDefault="00417CF4" w:rsidP="00237DFA">
            <w:pPr>
              <w:pStyle w:val="Tabletext"/>
            </w:pPr>
            <w:r>
              <w:t>11.1%</w:t>
            </w:r>
          </w:p>
        </w:tc>
        <w:tc>
          <w:tcPr>
            <w:tcW w:w="2175" w:type="dxa"/>
            <w:tcBorders>
              <w:top w:val="nil"/>
              <w:bottom w:val="nil"/>
            </w:tcBorders>
            <w:shd w:val="clear" w:color="auto" w:fill="C2D8EA"/>
          </w:tcPr>
          <w:p w:rsidR="00417CF4" w:rsidRPr="003664C2" w:rsidRDefault="00417CF4" w:rsidP="0072787F">
            <w:pPr>
              <w:pStyle w:val="Tabletext"/>
            </w:pPr>
            <w:r>
              <w:t>88.9%</w:t>
            </w:r>
          </w:p>
        </w:tc>
      </w:tr>
      <w:tr w:rsidR="00417CF4" w:rsidRPr="003664C2" w:rsidTr="00237DFA">
        <w:tc>
          <w:tcPr>
            <w:tcW w:w="2252" w:type="dxa"/>
            <w:tcBorders>
              <w:top w:val="nil"/>
              <w:bottom w:val="nil"/>
            </w:tcBorders>
          </w:tcPr>
          <w:p w:rsidR="00417CF4" w:rsidRPr="003664C2" w:rsidRDefault="00417CF4" w:rsidP="008D6C42">
            <w:pPr>
              <w:pStyle w:val="Tabletext"/>
            </w:pPr>
            <w:r>
              <w:t>Information Technology</w:t>
            </w:r>
          </w:p>
        </w:tc>
        <w:tc>
          <w:tcPr>
            <w:tcW w:w="1948" w:type="dxa"/>
            <w:tcBorders>
              <w:top w:val="nil"/>
              <w:bottom w:val="nil"/>
            </w:tcBorders>
          </w:tcPr>
          <w:p w:rsidR="00417CF4" w:rsidRPr="003664C2" w:rsidRDefault="00417CF4" w:rsidP="00237DFA">
            <w:pPr>
              <w:pStyle w:val="Tabletext"/>
            </w:pPr>
            <w:r>
              <w:t>7.3%</w:t>
            </w:r>
          </w:p>
        </w:tc>
        <w:tc>
          <w:tcPr>
            <w:tcW w:w="2175" w:type="dxa"/>
            <w:tcBorders>
              <w:top w:val="nil"/>
              <w:bottom w:val="nil"/>
            </w:tcBorders>
          </w:tcPr>
          <w:p w:rsidR="00417CF4" w:rsidRPr="003664C2" w:rsidRDefault="00417CF4" w:rsidP="0072787F">
            <w:pPr>
              <w:pStyle w:val="Tabletext"/>
            </w:pPr>
            <w:r>
              <w:t>92.7%</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Management and Commerce</w:t>
            </w:r>
          </w:p>
        </w:tc>
        <w:tc>
          <w:tcPr>
            <w:tcW w:w="1948" w:type="dxa"/>
            <w:tcBorders>
              <w:top w:val="nil"/>
              <w:bottom w:val="nil"/>
            </w:tcBorders>
            <w:shd w:val="clear" w:color="auto" w:fill="C2D8EA"/>
          </w:tcPr>
          <w:p w:rsidR="00417CF4" w:rsidRPr="003664C2" w:rsidRDefault="00417CF4" w:rsidP="00237DFA">
            <w:pPr>
              <w:pStyle w:val="Tabletext"/>
            </w:pPr>
            <w:r>
              <w:t>7.6%</w:t>
            </w:r>
          </w:p>
        </w:tc>
        <w:tc>
          <w:tcPr>
            <w:tcW w:w="2175" w:type="dxa"/>
            <w:tcBorders>
              <w:top w:val="nil"/>
              <w:bottom w:val="nil"/>
            </w:tcBorders>
            <w:shd w:val="clear" w:color="auto" w:fill="C2D8EA"/>
          </w:tcPr>
          <w:p w:rsidR="00417CF4" w:rsidRPr="003664C2" w:rsidRDefault="00417CF4" w:rsidP="0072787F">
            <w:pPr>
              <w:pStyle w:val="Tabletext"/>
            </w:pPr>
            <w:r>
              <w:t>82.4%</w:t>
            </w:r>
          </w:p>
        </w:tc>
      </w:tr>
      <w:tr w:rsidR="00417CF4" w:rsidRPr="003664C2" w:rsidTr="00237DFA">
        <w:tc>
          <w:tcPr>
            <w:tcW w:w="2252" w:type="dxa"/>
            <w:tcBorders>
              <w:top w:val="nil"/>
              <w:bottom w:val="nil"/>
            </w:tcBorders>
          </w:tcPr>
          <w:p w:rsidR="00417CF4" w:rsidRPr="003664C2" w:rsidRDefault="00417CF4" w:rsidP="008D6C42">
            <w:pPr>
              <w:pStyle w:val="Tabletext"/>
            </w:pPr>
            <w:r>
              <w:t>Mixed Field Programmes</w:t>
            </w:r>
          </w:p>
        </w:tc>
        <w:tc>
          <w:tcPr>
            <w:tcW w:w="1948" w:type="dxa"/>
            <w:tcBorders>
              <w:top w:val="nil"/>
              <w:bottom w:val="nil"/>
            </w:tcBorders>
          </w:tcPr>
          <w:p w:rsidR="00417CF4" w:rsidRPr="003664C2" w:rsidRDefault="00417CF4" w:rsidP="00237DFA">
            <w:pPr>
              <w:pStyle w:val="Tabletext"/>
            </w:pPr>
            <w:r>
              <w:t>35.1%</w:t>
            </w:r>
          </w:p>
        </w:tc>
        <w:tc>
          <w:tcPr>
            <w:tcW w:w="2175" w:type="dxa"/>
            <w:tcBorders>
              <w:top w:val="nil"/>
              <w:bottom w:val="nil"/>
            </w:tcBorders>
          </w:tcPr>
          <w:p w:rsidR="00417CF4" w:rsidRPr="003664C2" w:rsidRDefault="00417CF4" w:rsidP="0072787F">
            <w:pPr>
              <w:pStyle w:val="Tabletext"/>
            </w:pPr>
            <w:r>
              <w:t>64.9%</w:t>
            </w:r>
          </w:p>
        </w:tc>
      </w:tr>
      <w:tr w:rsidR="00417CF4" w:rsidRPr="003664C2" w:rsidTr="00237DFA">
        <w:tc>
          <w:tcPr>
            <w:tcW w:w="2252" w:type="dxa"/>
            <w:tcBorders>
              <w:top w:val="nil"/>
              <w:bottom w:val="nil"/>
            </w:tcBorders>
            <w:shd w:val="clear" w:color="auto" w:fill="C2D8EA"/>
          </w:tcPr>
          <w:p w:rsidR="00417CF4" w:rsidRPr="003664C2" w:rsidRDefault="00417CF4" w:rsidP="008D6C42">
            <w:pPr>
              <w:pStyle w:val="Tabletext"/>
            </w:pPr>
            <w:r>
              <w:t>Natural and Physical Sciences</w:t>
            </w:r>
          </w:p>
        </w:tc>
        <w:tc>
          <w:tcPr>
            <w:tcW w:w="1948" w:type="dxa"/>
            <w:tcBorders>
              <w:top w:val="nil"/>
              <w:bottom w:val="nil"/>
            </w:tcBorders>
            <w:shd w:val="clear" w:color="auto" w:fill="C2D8EA"/>
          </w:tcPr>
          <w:p w:rsidR="00417CF4" w:rsidRPr="003664C2" w:rsidRDefault="00417CF4" w:rsidP="00237DFA">
            <w:pPr>
              <w:pStyle w:val="Tabletext"/>
            </w:pPr>
            <w:r>
              <w:t>4.3%</w:t>
            </w:r>
          </w:p>
        </w:tc>
        <w:tc>
          <w:tcPr>
            <w:tcW w:w="2175" w:type="dxa"/>
            <w:tcBorders>
              <w:top w:val="nil"/>
              <w:bottom w:val="nil"/>
            </w:tcBorders>
            <w:shd w:val="clear" w:color="auto" w:fill="C2D8EA"/>
          </w:tcPr>
          <w:p w:rsidR="00417CF4" w:rsidRPr="003664C2" w:rsidRDefault="00417CF4" w:rsidP="0072787F">
            <w:pPr>
              <w:pStyle w:val="Tabletext"/>
            </w:pPr>
            <w:r>
              <w:t>95.7%</w:t>
            </w:r>
          </w:p>
        </w:tc>
      </w:tr>
      <w:tr w:rsidR="00417CF4" w:rsidRPr="003664C2" w:rsidTr="00237DFA">
        <w:tc>
          <w:tcPr>
            <w:tcW w:w="2252" w:type="dxa"/>
            <w:tcBorders>
              <w:top w:val="nil"/>
              <w:bottom w:val="single" w:sz="4" w:space="0" w:color="auto"/>
            </w:tcBorders>
          </w:tcPr>
          <w:p w:rsidR="00417CF4" w:rsidRPr="003664C2" w:rsidRDefault="00417CF4" w:rsidP="008D6C42">
            <w:pPr>
              <w:pStyle w:val="Tabletext"/>
            </w:pPr>
            <w:r>
              <w:t>Society and Culture</w:t>
            </w:r>
          </w:p>
        </w:tc>
        <w:tc>
          <w:tcPr>
            <w:tcW w:w="1948" w:type="dxa"/>
            <w:tcBorders>
              <w:top w:val="nil"/>
              <w:bottom w:val="single" w:sz="4" w:space="0" w:color="auto"/>
            </w:tcBorders>
          </w:tcPr>
          <w:p w:rsidR="00417CF4" w:rsidRPr="003664C2" w:rsidRDefault="00417CF4" w:rsidP="00237DFA">
            <w:pPr>
              <w:pStyle w:val="Tabletext"/>
            </w:pPr>
            <w:r>
              <w:t>14.0%</w:t>
            </w:r>
          </w:p>
        </w:tc>
        <w:tc>
          <w:tcPr>
            <w:tcW w:w="2175" w:type="dxa"/>
            <w:tcBorders>
              <w:top w:val="nil"/>
              <w:bottom w:val="single" w:sz="4" w:space="0" w:color="auto"/>
            </w:tcBorders>
          </w:tcPr>
          <w:p w:rsidR="00417CF4" w:rsidRPr="003664C2" w:rsidRDefault="00417CF4" w:rsidP="0072787F">
            <w:pPr>
              <w:pStyle w:val="Tabletext"/>
            </w:pPr>
            <w:r>
              <w:t>86.0%</w:t>
            </w:r>
          </w:p>
        </w:tc>
      </w:tr>
    </w:tbl>
    <w:p w:rsidR="00F24C6F" w:rsidRDefault="000C5942" w:rsidP="00622283">
      <w:pPr>
        <w:spacing w:before="240" w:after="240"/>
      </w:pPr>
      <w:r>
        <w:t xml:space="preserve">All fields had </w:t>
      </w:r>
      <w:r w:rsidR="006D3EA9">
        <w:t>less extramural than</w:t>
      </w:r>
      <w:r>
        <w:t xml:space="preserve"> intramural provision. </w:t>
      </w:r>
      <w:r w:rsidRPr="00C778C9">
        <w:t>Mixed Field Programmes</w:t>
      </w:r>
      <w:r>
        <w:t xml:space="preserve"> had </w:t>
      </w:r>
      <w:r w:rsidR="000F785C">
        <w:t xml:space="preserve">the highest </w:t>
      </w:r>
      <w:r>
        <w:t>proportion of extramural provision</w:t>
      </w:r>
      <w:r w:rsidR="00BE1BE4">
        <w:t>, and</w:t>
      </w:r>
      <w:r>
        <w:t xml:space="preserve"> Food, Hospitality and Personal Services had </w:t>
      </w:r>
      <w:r w:rsidR="000F785C">
        <w:t xml:space="preserve">the </w:t>
      </w:r>
      <w:r w:rsidR="00622283">
        <w:t>lowest</w:t>
      </w:r>
      <w:r w:rsidR="000F785C">
        <w:t xml:space="preserve"> </w:t>
      </w:r>
      <w:r>
        <w:t xml:space="preserve">proportion. </w:t>
      </w:r>
      <w:r w:rsidR="00F24C6F">
        <w:t xml:space="preserve">Fields with a greater workplace or work-based </w:t>
      </w:r>
      <w:r w:rsidR="00F24C6F" w:rsidRPr="00BE1BE4">
        <w:t>component which</w:t>
      </w:r>
      <w:r w:rsidR="00F24C6F">
        <w:t xml:space="preserve"> is typically not </w:t>
      </w:r>
      <w:r w:rsidR="00F24C6F" w:rsidRPr="001E2AFC">
        <w:t>computer</w:t>
      </w:r>
      <w:r w:rsidR="001E2AFC">
        <w:t>-</w:t>
      </w:r>
      <w:r w:rsidR="00F24C6F" w:rsidRPr="001E2AFC">
        <w:t>based</w:t>
      </w:r>
      <w:r w:rsidR="00307E42">
        <w:t>,</w:t>
      </w:r>
      <w:r w:rsidR="00F24C6F">
        <w:t xml:space="preserve"> such as Architecture and Building and Engineering and Related Technologies</w:t>
      </w:r>
      <w:r w:rsidR="001E2AFC">
        <w:t>,</w:t>
      </w:r>
      <w:r w:rsidR="00F24C6F">
        <w:t xml:space="preserve"> tended to have </w:t>
      </w:r>
      <w:r w:rsidR="00622283">
        <w:t xml:space="preserve">lower </w:t>
      </w:r>
      <w:r w:rsidR="00F24C6F">
        <w:t xml:space="preserve">proportions of </w:t>
      </w:r>
      <w:r w:rsidR="00622283">
        <w:t>ex</w:t>
      </w:r>
      <w:r w:rsidR="00F24C6F">
        <w:t xml:space="preserve">tramural provision. But </w:t>
      </w:r>
      <w:r w:rsidR="00F24C6F" w:rsidRPr="0032268C">
        <w:t>Health and Agriculture, Environmental and Related Studies</w:t>
      </w:r>
      <w:r w:rsidR="00307E42">
        <w:t>,</w:t>
      </w:r>
      <w:r w:rsidR="00F24C6F">
        <w:t xml:space="preserve"> which also have a large workplace or </w:t>
      </w:r>
      <w:r w:rsidR="00E6717D">
        <w:t xml:space="preserve">      </w:t>
      </w:r>
      <w:r w:rsidR="00F24C6F">
        <w:t xml:space="preserve">work-based </w:t>
      </w:r>
      <w:r w:rsidR="00F24C6F" w:rsidRPr="00BE1BE4">
        <w:t>component that</w:t>
      </w:r>
      <w:r w:rsidR="00F24C6F">
        <w:t xml:space="preserve"> is not generally computer</w:t>
      </w:r>
      <w:r w:rsidR="001E2AFC">
        <w:t>-</w:t>
      </w:r>
      <w:r w:rsidR="00F24C6F">
        <w:t>based</w:t>
      </w:r>
      <w:r w:rsidR="00307E42">
        <w:t>,</w:t>
      </w:r>
      <w:r w:rsidR="00F24C6F">
        <w:t xml:space="preserve"> had higher proportions of extramural provision than fields such as Management and Commerce and Information Technology</w:t>
      </w:r>
      <w:r w:rsidR="00307E42">
        <w:t>,</w:t>
      </w:r>
      <w:r w:rsidR="00F24C6F">
        <w:t xml:space="preserve"> which have a larger classroom</w:t>
      </w:r>
      <w:r w:rsidR="00307E42">
        <w:t>-</w:t>
      </w:r>
      <w:r w:rsidR="00F24C6F">
        <w:t>based component.</w:t>
      </w:r>
    </w:p>
    <w:p w:rsidR="000C5942" w:rsidRDefault="000C5942" w:rsidP="008915BD">
      <w:pPr>
        <w:spacing w:after="240"/>
        <w:jc w:val="both"/>
      </w:pPr>
      <w:r>
        <w:t>Table 2 shows the aggregate provision</w:t>
      </w:r>
      <w:r w:rsidRPr="004019FD">
        <w:t xml:space="preserve"> </w:t>
      </w:r>
      <w:r>
        <w:t xml:space="preserve">over the eight years </w:t>
      </w:r>
      <w:r w:rsidRPr="001E2AFC">
        <w:t>2004-2011</w:t>
      </w:r>
      <w:r>
        <w:t xml:space="preserve"> for the different fields of study</w:t>
      </w:r>
      <w:r w:rsidRPr="00873DDD">
        <w:rPr>
          <w:rStyle w:val="FootnoteReference"/>
        </w:rPr>
        <w:footnoteReference w:id="16"/>
      </w:r>
      <w:r>
        <w:t xml:space="preserve"> in intramural and extramural </w:t>
      </w:r>
      <w:r w:rsidR="00622283">
        <w:t xml:space="preserve">traditional delivery and e-learning </w:t>
      </w:r>
      <w:r w:rsidR="00C823CD">
        <w:t>courses</w:t>
      </w:r>
      <w:r>
        <w:t>.</w:t>
      </w:r>
    </w:p>
    <w:p w:rsidR="000C5942" w:rsidRDefault="000C5942" w:rsidP="008D6C42">
      <w:pPr>
        <w:pStyle w:val="Caption"/>
      </w:pPr>
      <w:r>
        <w:lastRenderedPageBreak/>
        <w:t xml:space="preserve">Table </w:t>
      </w:r>
      <w:fldSimple w:instr=" SEQ Table \* ARABIC ">
        <w:r w:rsidR="00B215B1">
          <w:rPr>
            <w:noProof/>
          </w:rPr>
          <w:t>2</w:t>
        </w:r>
      </w:fldSimple>
    </w:p>
    <w:p w:rsidR="000C5942" w:rsidRDefault="000C5942" w:rsidP="008D6C42">
      <w:pPr>
        <w:pStyle w:val="Tablelabel"/>
      </w:pPr>
      <w:bookmarkStart w:id="61" w:name="_Toc379546087"/>
      <w:r>
        <w:t xml:space="preserve">Proportions of Field of Study </w:t>
      </w:r>
      <w:r w:rsidR="007034EB">
        <w:t>extramural</w:t>
      </w:r>
      <w:r w:rsidR="007034EB" w:rsidRPr="007034EB">
        <w:t xml:space="preserve"> </w:t>
      </w:r>
      <w:r w:rsidR="007034EB">
        <w:t xml:space="preserve">and </w:t>
      </w:r>
      <w:r>
        <w:t xml:space="preserve">intramural provision in the No </w:t>
      </w:r>
      <w:r w:rsidR="00CB5362">
        <w:t>ICT</w:t>
      </w:r>
      <w:r>
        <w:t xml:space="preserve"> and e-learning delivery modes</w:t>
      </w:r>
      <w:bookmarkEnd w:id="61"/>
    </w:p>
    <w:tbl>
      <w:tblPr>
        <w:tblW w:w="7196" w:type="dxa"/>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0A0"/>
      </w:tblPr>
      <w:tblGrid>
        <w:gridCol w:w="1583"/>
        <w:gridCol w:w="1439"/>
        <w:gridCol w:w="1439"/>
        <w:gridCol w:w="1464"/>
        <w:gridCol w:w="1271"/>
      </w:tblGrid>
      <w:tr w:rsidR="007034EB" w:rsidRPr="003664C2" w:rsidTr="007034EB">
        <w:tc>
          <w:tcPr>
            <w:tcW w:w="1583" w:type="dxa"/>
            <w:tcBorders>
              <w:top w:val="single" w:sz="4" w:space="0" w:color="7F7F7F"/>
              <w:bottom w:val="single" w:sz="4" w:space="0" w:color="7F7F7F"/>
            </w:tcBorders>
            <w:shd w:val="clear" w:color="auto" w:fill="C2D8EA"/>
          </w:tcPr>
          <w:p w:rsidR="007034EB" w:rsidRPr="003664C2" w:rsidRDefault="007034EB" w:rsidP="00DE4962">
            <w:pPr>
              <w:pStyle w:val="Tabletext"/>
              <w:jc w:val="center"/>
            </w:pPr>
            <w:r>
              <w:t xml:space="preserve">Field of </w:t>
            </w:r>
            <w:r w:rsidRPr="004619FD">
              <w:t>study</w:t>
            </w:r>
          </w:p>
        </w:tc>
        <w:tc>
          <w:tcPr>
            <w:tcW w:w="1439" w:type="dxa"/>
            <w:tcBorders>
              <w:top w:val="single" w:sz="4" w:space="0" w:color="7F7F7F"/>
              <w:bottom w:val="single" w:sz="4" w:space="0" w:color="7F7F7F"/>
            </w:tcBorders>
            <w:shd w:val="clear" w:color="auto" w:fill="C2D8EA"/>
          </w:tcPr>
          <w:p w:rsidR="007034EB" w:rsidRPr="003664C2" w:rsidRDefault="007034EB" w:rsidP="00237DFA">
            <w:pPr>
              <w:pStyle w:val="Tabletext"/>
              <w:jc w:val="center"/>
            </w:pPr>
            <w:r>
              <w:t>Extramural No ICT</w:t>
            </w:r>
          </w:p>
        </w:tc>
        <w:tc>
          <w:tcPr>
            <w:tcW w:w="1439" w:type="dxa"/>
            <w:tcBorders>
              <w:top w:val="single" w:sz="4" w:space="0" w:color="7F7F7F"/>
              <w:bottom w:val="single" w:sz="4" w:space="0" w:color="7F7F7F"/>
            </w:tcBorders>
            <w:shd w:val="clear" w:color="auto" w:fill="C2D8EA"/>
          </w:tcPr>
          <w:p w:rsidR="007034EB" w:rsidRDefault="007034EB" w:rsidP="00237DFA">
            <w:pPr>
              <w:pStyle w:val="Tabletext"/>
              <w:jc w:val="center"/>
            </w:pPr>
            <w:r>
              <w:t>Extramural            e-learning</w:t>
            </w:r>
          </w:p>
        </w:tc>
        <w:tc>
          <w:tcPr>
            <w:tcW w:w="1464" w:type="dxa"/>
            <w:tcBorders>
              <w:top w:val="single" w:sz="4" w:space="0" w:color="7F7F7F"/>
              <w:bottom w:val="single" w:sz="4" w:space="0" w:color="7F7F7F"/>
            </w:tcBorders>
            <w:shd w:val="clear" w:color="auto" w:fill="C2D8EA"/>
          </w:tcPr>
          <w:p w:rsidR="007034EB" w:rsidRPr="003664C2" w:rsidRDefault="007034EB" w:rsidP="00CB5362">
            <w:pPr>
              <w:pStyle w:val="Tabletext"/>
              <w:jc w:val="center"/>
            </w:pPr>
            <w:r>
              <w:t>Intramural No ICT</w:t>
            </w:r>
          </w:p>
        </w:tc>
        <w:tc>
          <w:tcPr>
            <w:tcW w:w="1271" w:type="dxa"/>
            <w:tcBorders>
              <w:top w:val="single" w:sz="4" w:space="0" w:color="7F7F7F"/>
              <w:bottom w:val="single" w:sz="4" w:space="0" w:color="7F7F7F"/>
            </w:tcBorders>
            <w:shd w:val="clear" w:color="auto" w:fill="C2D8EA"/>
          </w:tcPr>
          <w:p w:rsidR="007034EB" w:rsidRDefault="007034EB" w:rsidP="00B22678">
            <w:pPr>
              <w:pStyle w:val="Tabletext"/>
              <w:jc w:val="center"/>
            </w:pPr>
            <w:r>
              <w:t>Intramural         e-learning</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Agriculture, Environm</w:t>
            </w:r>
            <w:r w:rsidRPr="0032268C">
              <w:t>ent</w:t>
            </w:r>
            <w:r w:rsidR="003A4B4B">
              <w:t>al</w:t>
            </w:r>
            <w:r>
              <w:t xml:space="preserve"> and Related Studies</w:t>
            </w:r>
          </w:p>
        </w:tc>
        <w:tc>
          <w:tcPr>
            <w:tcW w:w="1439" w:type="dxa"/>
            <w:tcBorders>
              <w:top w:val="nil"/>
              <w:bottom w:val="nil"/>
            </w:tcBorders>
            <w:shd w:val="clear" w:color="auto" w:fill="C2D8EA"/>
          </w:tcPr>
          <w:p w:rsidR="007034EB" w:rsidRPr="003664C2" w:rsidRDefault="007034EB" w:rsidP="00237DFA">
            <w:pPr>
              <w:pStyle w:val="Tabletext"/>
            </w:pPr>
            <w:r>
              <w:t>56.6%</w:t>
            </w:r>
          </w:p>
        </w:tc>
        <w:tc>
          <w:tcPr>
            <w:tcW w:w="1439" w:type="dxa"/>
            <w:tcBorders>
              <w:top w:val="nil"/>
              <w:bottom w:val="nil"/>
            </w:tcBorders>
            <w:shd w:val="clear" w:color="auto" w:fill="C2D8EA"/>
          </w:tcPr>
          <w:p w:rsidR="007034EB" w:rsidRDefault="007034EB" w:rsidP="00237DFA">
            <w:pPr>
              <w:pStyle w:val="Tabletext"/>
            </w:pPr>
            <w:r>
              <w:t>43.4%</w:t>
            </w:r>
          </w:p>
        </w:tc>
        <w:tc>
          <w:tcPr>
            <w:tcW w:w="1464" w:type="dxa"/>
            <w:tcBorders>
              <w:top w:val="nil"/>
              <w:bottom w:val="nil"/>
            </w:tcBorders>
            <w:shd w:val="clear" w:color="auto" w:fill="C2D8EA"/>
          </w:tcPr>
          <w:p w:rsidR="007034EB" w:rsidRPr="003664C2" w:rsidRDefault="007034EB" w:rsidP="0072787F">
            <w:pPr>
              <w:pStyle w:val="Tabletext"/>
            </w:pPr>
            <w:r>
              <w:t>82.9%</w:t>
            </w:r>
          </w:p>
        </w:tc>
        <w:tc>
          <w:tcPr>
            <w:tcW w:w="1271" w:type="dxa"/>
            <w:tcBorders>
              <w:top w:val="nil"/>
              <w:bottom w:val="nil"/>
            </w:tcBorders>
            <w:shd w:val="clear" w:color="auto" w:fill="C2D8EA"/>
          </w:tcPr>
          <w:p w:rsidR="007034EB" w:rsidRDefault="007034EB" w:rsidP="0072787F">
            <w:pPr>
              <w:pStyle w:val="Tabletext"/>
            </w:pPr>
            <w:r>
              <w:t>17.1%</w:t>
            </w:r>
          </w:p>
        </w:tc>
      </w:tr>
      <w:tr w:rsidR="007034EB" w:rsidRPr="003664C2" w:rsidTr="007034EB">
        <w:tc>
          <w:tcPr>
            <w:tcW w:w="1583" w:type="dxa"/>
            <w:tcBorders>
              <w:top w:val="nil"/>
              <w:bottom w:val="nil"/>
            </w:tcBorders>
          </w:tcPr>
          <w:p w:rsidR="007034EB" w:rsidRPr="003664C2" w:rsidRDefault="007034EB" w:rsidP="00DE4962">
            <w:pPr>
              <w:pStyle w:val="Tabletext"/>
            </w:pPr>
            <w:r>
              <w:t>Architecture and Building</w:t>
            </w:r>
          </w:p>
        </w:tc>
        <w:tc>
          <w:tcPr>
            <w:tcW w:w="1439" w:type="dxa"/>
            <w:tcBorders>
              <w:top w:val="nil"/>
              <w:bottom w:val="nil"/>
            </w:tcBorders>
          </w:tcPr>
          <w:p w:rsidR="007034EB" w:rsidRPr="003664C2" w:rsidRDefault="007034EB" w:rsidP="00237DFA">
            <w:pPr>
              <w:pStyle w:val="Tabletext"/>
            </w:pPr>
            <w:r>
              <w:t>51.5%</w:t>
            </w:r>
          </w:p>
        </w:tc>
        <w:tc>
          <w:tcPr>
            <w:tcW w:w="1439" w:type="dxa"/>
            <w:tcBorders>
              <w:top w:val="nil"/>
              <w:bottom w:val="nil"/>
            </w:tcBorders>
          </w:tcPr>
          <w:p w:rsidR="007034EB" w:rsidRDefault="007034EB" w:rsidP="00237DFA">
            <w:pPr>
              <w:pStyle w:val="Tabletext"/>
            </w:pPr>
            <w:r>
              <w:t>48.5%</w:t>
            </w:r>
          </w:p>
        </w:tc>
        <w:tc>
          <w:tcPr>
            <w:tcW w:w="1464" w:type="dxa"/>
            <w:tcBorders>
              <w:top w:val="nil"/>
              <w:bottom w:val="nil"/>
            </w:tcBorders>
          </w:tcPr>
          <w:p w:rsidR="007034EB" w:rsidRPr="003664C2" w:rsidRDefault="007034EB" w:rsidP="0072787F">
            <w:pPr>
              <w:pStyle w:val="Tabletext"/>
            </w:pPr>
            <w:r>
              <w:t>72.1%</w:t>
            </w:r>
          </w:p>
        </w:tc>
        <w:tc>
          <w:tcPr>
            <w:tcW w:w="1271" w:type="dxa"/>
            <w:tcBorders>
              <w:top w:val="nil"/>
              <w:bottom w:val="nil"/>
            </w:tcBorders>
          </w:tcPr>
          <w:p w:rsidR="007034EB" w:rsidRDefault="007034EB" w:rsidP="0072787F">
            <w:pPr>
              <w:pStyle w:val="Tabletext"/>
            </w:pPr>
            <w:r>
              <w:t>27.9%</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Creative Arts</w:t>
            </w:r>
          </w:p>
        </w:tc>
        <w:tc>
          <w:tcPr>
            <w:tcW w:w="1439" w:type="dxa"/>
            <w:tcBorders>
              <w:top w:val="nil"/>
              <w:bottom w:val="nil"/>
            </w:tcBorders>
            <w:shd w:val="clear" w:color="auto" w:fill="C2D8EA"/>
          </w:tcPr>
          <w:p w:rsidR="007034EB" w:rsidRPr="003664C2" w:rsidRDefault="007034EB" w:rsidP="00237DFA">
            <w:pPr>
              <w:pStyle w:val="Tabletext"/>
            </w:pPr>
            <w:r>
              <w:t>45.7%</w:t>
            </w:r>
          </w:p>
        </w:tc>
        <w:tc>
          <w:tcPr>
            <w:tcW w:w="1439" w:type="dxa"/>
            <w:tcBorders>
              <w:top w:val="nil"/>
              <w:bottom w:val="nil"/>
            </w:tcBorders>
            <w:shd w:val="clear" w:color="auto" w:fill="C2D8EA"/>
          </w:tcPr>
          <w:p w:rsidR="007034EB" w:rsidRDefault="007034EB" w:rsidP="00237DFA">
            <w:pPr>
              <w:pStyle w:val="Tabletext"/>
            </w:pPr>
            <w:r>
              <w:t>54.3%</w:t>
            </w:r>
          </w:p>
        </w:tc>
        <w:tc>
          <w:tcPr>
            <w:tcW w:w="1464" w:type="dxa"/>
            <w:tcBorders>
              <w:top w:val="nil"/>
              <w:bottom w:val="nil"/>
            </w:tcBorders>
            <w:shd w:val="clear" w:color="auto" w:fill="C2D8EA"/>
          </w:tcPr>
          <w:p w:rsidR="007034EB" w:rsidRPr="003664C2" w:rsidRDefault="007034EB" w:rsidP="0072787F">
            <w:pPr>
              <w:pStyle w:val="Tabletext"/>
            </w:pPr>
            <w:r>
              <w:t>63.2%</w:t>
            </w:r>
          </w:p>
        </w:tc>
        <w:tc>
          <w:tcPr>
            <w:tcW w:w="1271" w:type="dxa"/>
            <w:tcBorders>
              <w:top w:val="nil"/>
              <w:bottom w:val="nil"/>
            </w:tcBorders>
            <w:shd w:val="clear" w:color="auto" w:fill="C2D8EA"/>
          </w:tcPr>
          <w:p w:rsidR="007034EB" w:rsidRDefault="007034EB" w:rsidP="0072787F">
            <w:pPr>
              <w:pStyle w:val="Tabletext"/>
            </w:pPr>
            <w:r>
              <w:t>36.8%</w:t>
            </w:r>
          </w:p>
        </w:tc>
      </w:tr>
      <w:tr w:rsidR="007034EB" w:rsidRPr="003664C2" w:rsidTr="007034EB">
        <w:tc>
          <w:tcPr>
            <w:tcW w:w="1583" w:type="dxa"/>
            <w:tcBorders>
              <w:top w:val="nil"/>
              <w:bottom w:val="nil"/>
            </w:tcBorders>
          </w:tcPr>
          <w:p w:rsidR="007034EB" w:rsidRPr="003664C2" w:rsidRDefault="007034EB" w:rsidP="00DE4962">
            <w:pPr>
              <w:pStyle w:val="Tabletext"/>
            </w:pPr>
            <w:r>
              <w:t>Education</w:t>
            </w:r>
          </w:p>
        </w:tc>
        <w:tc>
          <w:tcPr>
            <w:tcW w:w="1439" w:type="dxa"/>
            <w:tcBorders>
              <w:top w:val="nil"/>
              <w:bottom w:val="nil"/>
            </w:tcBorders>
          </w:tcPr>
          <w:p w:rsidR="007034EB" w:rsidRPr="003664C2" w:rsidRDefault="007034EB" w:rsidP="00237DFA">
            <w:pPr>
              <w:pStyle w:val="Tabletext"/>
            </w:pPr>
            <w:r>
              <w:t>36.4%</w:t>
            </w:r>
          </w:p>
        </w:tc>
        <w:tc>
          <w:tcPr>
            <w:tcW w:w="1439" w:type="dxa"/>
            <w:tcBorders>
              <w:top w:val="nil"/>
              <w:bottom w:val="nil"/>
            </w:tcBorders>
          </w:tcPr>
          <w:p w:rsidR="007034EB" w:rsidRDefault="007034EB" w:rsidP="00237DFA">
            <w:pPr>
              <w:pStyle w:val="Tabletext"/>
            </w:pPr>
            <w:r>
              <w:t>63.6%</w:t>
            </w:r>
          </w:p>
        </w:tc>
        <w:tc>
          <w:tcPr>
            <w:tcW w:w="1464" w:type="dxa"/>
            <w:tcBorders>
              <w:top w:val="nil"/>
              <w:bottom w:val="nil"/>
            </w:tcBorders>
          </w:tcPr>
          <w:p w:rsidR="007034EB" w:rsidRPr="003664C2" w:rsidRDefault="007034EB" w:rsidP="0072787F">
            <w:pPr>
              <w:pStyle w:val="Tabletext"/>
            </w:pPr>
            <w:r>
              <w:t>49.0%</w:t>
            </w:r>
          </w:p>
        </w:tc>
        <w:tc>
          <w:tcPr>
            <w:tcW w:w="1271" w:type="dxa"/>
            <w:tcBorders>
              <w:top w:val="nil"/>
              <w:bottom w:val="nil"/>
            </w:tcBorders>
          </w:tcPr>
          <w:p w:rsidR="007034EB" w:rsidRDefault="007034EB" w:rsidP="0072787F">
            <w:pPr>
              <w:pStyle w:val="Tabletext"/>
            </w:pPr>
            <w:r>
              <w:t>51.0%</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Engineering and Related Technologies</w:t>
            </w:r>
          </w:p>
        </w:tc>
        <w:tc>
          <w:tcPr>
            <w:tcW w:w="1439" w:type="dxa"/>
            <w:tcBorders>
              <w:top w:val="nil"/>
              <w:bottom w:val="nil"/>
            </w:tcBorders>
            <w:shd w:val="clear" w:color="auto" w:fill="C2D8EA"/>
          </w:tcPr>
          <w:p w:rsidR="007034EB" w:rsidRPr="003664C2" w:rsidRDefault="007034EB" w:rsidP="00237DFA">
            <w:pPr>
              <w:pStyle w:val="Tabletext"/>
            </w:pPr>
            <w:r>
              <w:t>60.2%</w:t>
            </w:r>
          </w:p>
        </w:tc>
        <w:tc>
          <w:tcPr>
            <w:tcW w:w="1439" w:type="dxa"/>
            <w:tcBorders>
              <w:top w:val="nil"/>
              <w:bottom w:val="nil"/>
            </w:tcBorders>
            <w:shd w:val="clear" w:color="auto" w:fill="C2D8EA"/>
          </w:tcPr>
          <w:p w:rsidR="007034EB" w:rsidRDefault="007034EB" w:rsidP="00237DFA">
            <w:pPr>
              <w:pStyle w:val="Tabletext"/>
            </w:pPr>
            <w:r>
              <w:t>39.8%</w:t>
            </w:r>
          </w:p>
        </w:tc>
        <w:tc>
          <w:tcPr>
            <w:tcW w:w="1464" w:type="dxa"/>
            <w:tcBorders>
              <w:top w:val="nil"/>
              <w:bottom w:val="nil"/>
            </w:tcBorders>
            <w:shd w:val="clear" w:color="auto" w:fill="C2D8EA"/>
          </w:tcPr>
          <w:p w:rsidR="007034EB" w:rsidRPr="003664C2" w:rsidRDefault="007034EB" w:rsidP="0072787F">
            <w:pPr>
              <w:pStyle w:val="Tabletext"/>
            </w:pPr>
            <w:r>
              <w:t>63.8%</w:t>
            </w:r>
          </w:p>
        </w:tc>
        <w:tc>
          <w:tcPr>
            <w:tcW w:w="1271" w:type="dxa"/>
            <w:tcBorders>
              <w:top w:val="nil"/>
              <w:bottom w:val="nil"/>
            </w:tcBorders>
            <w:shd w:val="clear" w:color="auto" w:fill="C2D8EA"/>
          </w:tcPr>
          <w:p w:rsidR="007034EB" w:rsidRDefault="007034EB" w:rsidP="0072787F">
            <w:pPr>
              <w:pStyle w:val="Tabletext"/>
            </w:pPr>
            <w:r>
              <w:t>36.2%</w:t>
            </w:r>
          </w:p>
        </w:tc>
      </w:tr>
      <w:tr w:rsidR="007034EB" w:rsidRPr="003664C2" w:rsidTr="007034EB">
        <w:tc>
          <w:tcPr>
            <w:tcW w:w="1583" w:type="dxa"/>
            <w:tcBorders>
              <w:top w:val="nil"/>
              <w:bottom w:val="nil"/>
            </w:tcBorders>
          </w:tcPr>
          <w:p w:rsidR="007034EB" w:rsidRPr="003664C2" w:rsidRDefault="007034EB" w:rsidP="00DE4962">
            <w:pPr>
              <w:pStyle w:val="Tabletext"/>
            </w:pPr>
            <w:r>
              <w:t>Food, Hospitality and Personal Services</w:t>
            </w:r>
          </w:p>
        </w:tc>
        <w:tc>
          <w:tcPr>
            <w:tcW w:w="1439" w:type="dxa"/>
            <w:tcBorders>
              <w:top w:val="nil"/>
              <w:bottom w:val="nil"/>
            </w:tcBorders>
          </w:tcPr>
          <w:p w:rsidR="007034EB" w:rsidRPr="003664C2" w:rsidRDefault="007034EB" w:rsidP="00237DFA">
            <w:pPr>
              <w:pStyle w:val="Tabletext"/>
            </w:pPr>
            <w:r>
              <w:t>58.2%</w:t>
            </w:r>
          </w:p>
        </w:tc>
        <w:tc>
          <w:tcPr>
            <w:tcW w:w="1439" w:type="dxa"/>
            <w:tcBorders>
              <w:top w:val="nil"/>
              <w:bottom w:val="nil"/>
            </w:tcBorders>
          </w:tcPr>
          <w:p w:rsidR="007034EB" w:rsidRDefault="007034EB" w:rsidP="00237DFA">
            <w:pPr>
              <w:pStyle w:val="Tabletext"/>
            </w:pPr>
            <w:r>
              <w:t>41.8%</w:t>
            </w:r>
          </w:p>
        </w:tc>
        <w:tc>
          <w:tcPr>
            <w:tcW w:w="1464" w:type="dxa"/>
            <w:tcBorders>
              <w:top w:val="nil"/>
              <w:bottom w:val="nil"/>
            </w:tcBorders>
          </w:tcPr>
          <w:p w:rsidR="007034EB" w:rsidRPr="003664C2" w:rsidRDefault="007034EB" w:rsidP="0072787F">
            <w:pPr>
              <w:pStyle w:val="Tabletext"/>
            </w:pPr>
            <w:r>
              <w:t>83.0%</w:t>
            </w:r>
          </w:p>
        </w:tc>
        <w:tc>
          <w:tcPr>
            <w:tcW w:w="1271" w:type="dxa"/>
            <w:tcBorders>
              <w:top w:val="nil"/>
              <w:bottom w:val="nil"/>
            </w:tcBorders>
          </w:tcPr>
          <w:p w:rsidR="007034EB" w:rsidRDefault="007034EB" w:rsidP="0072787F">
            <w:pPr>
              <w:pStyle w:val="Tabletext"/>
            </w:pPr>
            <w:r>
              <w:t>17.0%</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Health</w:t>
            </w:r>
          </w:p>
        </w:tc>
        <w:tc>
          <w:tcPr>
            <w:tcW w:w="1439" w:type="dxa"/>
            <w:tcBorders>
              <w:top w:val="nil"/>
              <w:bottom w:val="nil"/>
            </w:tcBorders>
            <w:shd w:val="clear" w:color="auto" w:fill="C2D8EA"/>
          </w:tcPr>
          <w:p w:rsidR="007034EB" w:rsidRPr="003664C2" w:rsidRDefault="007034EB" w:rsidP="00237DFA">
            <w:pPr>
              <w:pStyle w:val="Tabletext"/>
            </w:pPr>
            <w:r>
              <w:t>46.9%</w:t>
            </w:r>
          </w:p>
        </w:tc>
        <w:tc>
          <w:tcPr>
            <w:tcW w:w="1439" w:type="dxa"/>
            <w:tcBorders>
              <w:top w:val="nil"/>
              <w:bottom w:val="nil"/>
            </w:tcBorders>
            <w:shd w:val="clear" w:color="auto" w:fill="C2D8EA"/>
          </w:tcPr>
          <w:p w:rsidR="007034EB" w:rsidRDefault="007034EB" w:rsidP="00237DFA">
            <w:pPr>
              <w:pStyle w:val="Tabletext"/>
            </w:pPr>
            <w:r>
              <w:t>53.1%</w:t>
            </w:r>
          </w:p>
        </w:tc>
        <w:tc>
          <w:tcPr>
            <w:tcW w:w="1464" w:type="dxa"/>
            <w:tcBorders>
              <w:top w:val="nil"/>
              <w:bottom w:val="nil"/>
            </w:tcBorders>
            <w:shd w:val="clear" w:color="auto" w:fill="C2D8EA"/>
          </w:tcPr>
          <w:p w:rsidR="007034EB" w:rsidRPr="003664C2" w:rsidRDefault="007034EB" w:rsidP="0072787F">
            <w:pPr>
              <w:pStyle w:val="Tabletext"/>
            </w:pPr>
            <w:r>
              <w:t>51.5%</w:t>
            </w:r>
          </w:p>
        </w:tc>
        <w:tc>
          <w:tcPr>
            <w:tcW w:w="1271" w:type="dxa"/>
            <w:tcBorders>
              <w:top w:val="nil"/>
              <w:bottom w:val="nil"/>
            </w:tcBorders>
            <w:shd w:val="clear" w:color="auto" w:fill="C2D8EA"/>
          </w:tcPr>
          <w:p w:rsidR="007034EB" w:rsidRDefault="007034EB" w:rsidP="0072787F">
            <w:pPr>
              <w:pStyle w:val="Tabletext"/>
            </w:pPr>
            <w:r>
              <w:t>48.5%</w:t>
            </w:r>
          </w:p>
        </w:tc>
      </w:tr>
      <w:tr w:rsidR="007034EB" w:rsidRPr="003664C2" w:rsidTr="007034EB">
        <w:tc>
          <w:tcPr>
            <w:tcW w:w="1583" w:type="dxa"/>
            <w:tcBorders>
              <w:top w:val="nil"/>
              <w:bottom w:val="nil"/>
            </w:tcBorders>
          </w:tcPr>
          <w:p w:rsidR="007034EB" w:rsidRPr="003664C2" w:rsidRDefault="007034EB" w:rsidP="00DE4962">
            <w:pPr>
              <w:pStyle w:val="Tabletext"/>
            </w:pPr>
            <w:r>
              <w:t>Information Technology</w:t>
            </w:r>
          </w:p>
        </w:tc>
        <w:tc>
          <w:tcPr>
            <w:tcW w:w="1439" w:type="dxa"/>
            <w:tcBorders>
              <w:top w:val="nil"/>
              <w:bottom w:val="nil"/>
            </w:tcBorders>
          </w:tcPr>
          <w:p w:rsidR="007034EB" w:rsidRPr="003664C2" w:rsidRDefault="007034EB" w:rsidP="00237DFA">
            <w:pPr>
              <w:pStyle w:val="Tabletext"/>
            </w:pPr>
            <w:r>
              <w:t>34.6%</w:t>
            </w:r>
          </w:p>
        </w:tc>
        <w:tc>
          <w:tcPr>
            <w:tcW w:w="1439" w:type="dxa"/>
            <w:tcBorders>
              <w:top w:val="nil"/>
              <w:bottom w:val="nil"/>
            </w:tcBorders>
          </w:tcPr>
          <w:p w:rsidR="007034EB" w:rsidRDefault="007034EB" w:rsidP="00237DFA">
            <w:pPr>
              <w:pStyle w:val="Tabletext"/>
            </w:pPr>
            <w:r>
              <w:t>65.4%</w:t>
            </w:r>
          </w:p>
        </w:tc>
        <w:tc>
          <w:tcPr>
            <w:tcW w:w="1464" w:type="dxa"/>
            <w:tcBorders>
              <w:top w:val="nil"/>
              <w:bottom w:val="nil"/>
            </w:tcBorders>
          </w:tcPr>
          <w:p w:rsidR="007034EB" w:rsidRPr="003664C2" w:rsidRDefault="007034EB" w:rsidP="0072787F">
            <w:pPr>
              <w:pStyle w:val="Tabletext"/>
            </w:pPr>
            <w:r>
              <w:t>42.6%</w:t>
            </w:r>
          </w:p>
        </w:tc>
        <w:tc>
          <w:tcPr>
            <w:tcW w:w="1271" w:type="dxa"/>
            <w:tcBorders>
              <w:top w:val="nil"/>
              <w:bottom w:val="nil"/>
            </w:tcBorders>
          </w:tcPr>
          <w:p w:rsidR="007034EB" w:rsidRDefault="007034EB" w:rsidP="0072787F">
            <w:pPr>
              <w:pStyle w:val="Tabletext"/>
            </w:pPr>
            <w:r>
              <w:t>57.4%</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Management and Commerce</w:t>
            </w:r>
          </w:p>
        </w:tc>
        <w:tc>
          <w:tcPr>
            <w:tcW w:w="1439" w:type="dxa"/>
            <w:tcBorders>
              <w:top w:val="nil"/>
              <w:bottom w:val="nil"/>
            </w:tcBorders>
            <w:shd w:val="clear" w:color="auto" w:fill="C2D8EA"/>
          </w:tcPr>
          <w:p w:rsidR="007034EB" w:rsidRPr="003664C2" w:rsidRDefault="007034EB" w:rsidP="00237DFA">
            <w:pPr>
              <w:pStyle w:val="Tabletext"/>
            </w:pPr>
            <w:r>
              <w:t>37.0%</w:t>
            </w:r>
          </w:p>
        </w:tc>
        <w:tc>
          <w:tcPr>
            <w:tcW w:w="1439" w:type="dxa"/>
            <w:tcBorders>
              <w:top w:val="nil"/>
              <w:bottom w:val="nil"/>
            </w:tcBorders>
            <w:shd w:val="clear" w:color="auto" w:fill="C2D8EA"/>
          </w:tcPr>
          <w:p w:rsidR="007034EB" w:rsidRDefault="007034EB" w:rsidP="00237DFA">
            <w:pPr>
              <w:pStyle w:val="Tabletext"/>
            </w:pPr>
            <w:r>
              <w:t>63.0%</w:t>
            </w:r>
          </w:p>
        </w:tc>
        <w:tc>
          <w:tcPr>
            <w:tcW w:w="1464" w:type="dxa"/>
            <w:tcBorders>
              <w:top w:val="nil"/>
              <w:bottom w:val="nil"/>
            </w:tcBorders>
            <w:shd w:val="clear" w:color="auto" w:fill="C2D8EA"/>
          </w:tcPr>
          <w:p w:rsidR="007034EB" w:rsidRPr="003664C2" w:rsidRDefault="007034EB" w:rsidP="0072787F">
            <w:pPr>
              <w:pStyle w:val="Tabletext"/>
            </w:pPr>
            <w:r>
              <w:t>43.3%</w:t>
            </w:r>
          </w:p>
        </w:tc>
        <w:tc>
          <w:tcPr>
            <w:tcW w:w="1271" w:type="dxa"/>
            <w:tcBorders>
              <w:top w:val="nil"/>
              <w:bottom w:val="nil"/>
            </w:tcBorders>
            <w:shd w:val="clear" w:color="auto" w:fill="C2D8EA"/>
          </w:tcPr>
          <w:p w:rsidR="007034EB" w:rsidRDefault="007034EB" w:rsidP="0072787F">
            <w:pPr>
              <w:pStyle w:val="Tabletext"/>
            </w:pPr>
            <w:r>
              <w:t>56.7%</w:t>
            </w:r>
          </w:p>
        </w:tc>
      </w:tr>
      <w:tr w:rsidR="007034EB" w:rsidRPr="003664C2" w:rsidTr="007034EB">
        <w:tc>
          <w:tcPr>
            <w:tcW w:w="1583" w:type="dxa"/>
            <w:tcBorders>
              <w:top w:val="nil"/>
              <w:bottom w:val="nil"/>
            </w:tcBorders>
          </w:tcPr>
          <w:p w:rsidR="007034EB" w:rsidRPr="003664C2" w:rsidRDefault="007034EB" w:rsidP="00DE4962">
            <w:pPr>
              <w:pStyle w:val="Tabletext"/>
            </w:pPr>
            <w:r>
              <w:t>Mixed Field Programmes</w:t>
            </w:r>
          </w:p>
        </w:tc>
        <w:tc>
          <w:tcPr>
            <w:tcW w:w="1439" w:type="dxa"/>
            <w:tcBorders>
              <w:top w:val="nil"/>
              <w:bottom w:val="nil"/>
            </w:tcBorders>
          </w:tcPr>
          <w:p w:rsidR="007034EB" w:rsidRPr="003664C2" w:rsidRDefault="007034EB" w:rsidP="00237DFA">
            <w:pPr>
              <w:pStyle w:val="Tabletext"/>
            </w:pPr>
            <w:r>
              <w:t>49.6%</w:t>
            </w:r>
          </w:p>
        </w:tc>
        <w:tc>
          <w:tcPr>
            <w:tcW w:w="1439" w:type="dxa"/>
            <w:tcBorders>
              <w:top w:val="nil"/>
              <w:bottom w:val="nil"/>
            </w:tcBorders>
          </w:tcPr>
          <w:p w:rsidR="007034EB" w:rsidRDefault="007034EB" w:rsidP="00237DFA">
            <w:pPr>
              <w:pStyle w:val="Tabletext"/>
            </w:pPr>
            <w:r>
              <w:t>50.4%</w:t>
            </w:r>
          </w:p>
        </w:tc>
        <w:tc>
          <w:tcPr>
            <w:tcW w:w="1464" w:type="dxa"/>
            <w:tcBorders>
              <w:top w:val="nil"/>
              <w:bottom w:val="nil"/>
            </w:tcBorders>
          </w:tcPr>
          <w:p w:rsidR="007034EB" w:rsidRPr="003664C2" w:rsidRDefault="007034EB" w:rsidP="0072787F">
            <w:pPr>
              <w:pStyle w:val="Tabletext"/>
            </w:pPr>
            <w:r>
              <w:t>76.8%</w:t>
            </w:r>
          </w:p>
        </w:tc>
        <w:tc>
          <w:tcPr>
            <w:tcW w:w="1271" w:type="dxa"/>
            <w:tcBorders>
              <w:top w:val="nil"/>
              <w:bottom w:val="nil"/>
            </w:tcBorders>
          </w:tcPr>
          <w:p w:rsidR="007034EB" w:rsidRDefault="007034EB" w:rsidP="0072787F">
            <w:pPr>
              <w:pStyle w:val="Tabletext"/>
            </w:pPr>
            <w:r>
              <w:t>23.2%</w:t>
            </w:r>
          </w:p>
        </w:tc>
      </w:tr>
      <w:tr w:rsidR="007034EB" w:rsidRPr="003664C2" w:rsidTr="007034EB">
        <w:tc>
          <w:tcPr>
            <w:tcW w:w="1583" w:type="dxa"/>
            <w:tcBorders>
              <w:top w:val="nil"/>
              <w:bottom w:val="nil"/>
            </w:tcBorders>
            <w:shd w:val="clear" w:color="auto" w:fill="C2D8EA"/>
          </w:tcPr>
          <w:p w:rsidR="007034EB" w:rsidRPr="003664C2" w:rsidRDefault="007034EB" w:rsidP="00DE4962">
            <w:pPr>
              <w:pStyle w:val="Tabletext"/>
            </w:pPr>
            <w:r>
              <w:t>Natural and Physical Sciences</w:t>
            </w:r>
          </w:p>
        </w:tc>
        <w:tc>
          <w:tcPr>
            <w:tcW w:w="1439" w:type="dxa"/>
            <w:tcBorders>
              <w:top w:val="nil"/>
              <w:bottom w:val="nil"/>
            </w:tcBorders>
            <w:shd w:val="clear" w:color="auto" w:fill="C2D8EA"/>
          </w:tcPr>
          <w:p w:rsidR="007034EB" w:rsidRPr="003664C2" w:rsidRDefault="007034EB" w:rsidP="00237DFA">
            <w:pPr>
              <w:pStyle w:val="Tabletext"/>
            </w:pPr>
            <w:r>
              <w:t>22.3%</w:t>
            </w:r>
          </w:p>
        </w:tc>
        <w:tc>
          <w:tcPr>
            <w:tcW w:w="1439" w:type="dxa"/>
            <w:tcBorders>
              <w:top w:val="nil"/>
              <w:bottom w:val="nil"/>
            </w:tcBorders>
            <w:shd w:val="clear" w:color="auto" w:fill="C2D8EA"/>
          </w:tcPr>
          <w:p w:rsidR="007034EB" w:rsidRDefault="007034EB" w:rsidP="00237DFA">
            <w:pPr>
              <w:pStyle w:val="Tabletext"/>
            </w:pPr>
            <w:r>
              <w:t>77.7%</w:t>
            </w:r>
          </w:p>
        </w:tc>
        <w:tc>
          <w:tcPr>
            <w:tcW w:w="1464" w:type="dxa"/>
            <w:tcBorders>
              <w:top w:val="nil"/>
              <w:bottom w:val="nil"/>
            </w:tcBorders>
            <w:shd w:val="clear" w:color="auto" w:fill="C2D8EA"/>
          </w:tcPr>
          <w:p w:rsidR="007034EB" w:rsidRPr="003664C2" w:rsidRDefault="007034EB" w:rsidP="0072787F">
            <w:pPr>
              <w:pStyle w:val="Tabletext"/>
            </w:pPr>
            <w:r>
              <w:t>23.9%</w:t>
            </w:r>
          </w:p>
        </w:tc>
        <w:tc>
          <w:tcPr>
            <w:tcW w:w="1271" w:type="dxa"/>
            <w:tcBorders>
              <w:top w:val="nil"/>
              <w:bottom w:val="nil"/>
            </w:tcBorders>
            <w:shd w:val="clear" w:color="auto" w:fill="C2D8EA"/>
          </w:tcPr>
          <w:p w:rsidR="007034EB" w:rsidRDefault="007034EB" w:rsidP="0072787F">
            <w:pPr>
              <w:pStyle w:val="Tabletext"/>
            </w:pPr>
            <w:r>
              <w:t>76.1%</w:t>
            </w:r>
          </w:p>
        </w:tc>
      </w:tr>
      <w:tr w:rsidR="007034EB" w:rsidRPr="003664C2" w:rsidTr="007034EB">
        <w:tc>
          <w:tcPr>
            <w:tcW w:w="1583" w:type="dxa"/>
            <w:tcBorders>
              <w:top w:val="nil"/>
              <w:bottom w:val="single" w:sz="4" w:space="0" w:color="auto"/>
            </w:tcBorders>
          </w:tcPr>
          <w:p w:rsidR="007034EB" w:rsidRPr="003664C2" w:rsidRDefault="007034EB" w:rsidP="00DE4962">
            <w:pPr>
              <w:pStyle w:val="Tabletext"/>
            </w:pPr>
            <w:r>
              <w:t>Society and Culture</w:t>
            </w:r>
          </w:p>
        </w:tc>
        <w:tc>
          <w:tcPr>
            <w:tcW w:w="1439" w:type="dxa"/>
            <w:tcBorders>
              <w:top w:val="nil"/>
              <w:bottom w:val="single" w:sz="4" w:space="0" w:color="auto"/>
            </w:tcBorders>
          </w:tcPr>
          <w:p w:rsidR="007034EB" w:rsidRPr="003664C2" w:rsidRDefault="007034EB" w:rsidP="00237DFA">
            <w:pPr>
              <w:pStyle w:val="Tabletext"/>
            </w:pPr>
            <w:r>
              <w:t>56.9%</w:t>
            </w:r>
          </w:p>
        </w:tc>
        <w:tc>
          <w:tcPr>
            <w:tcW w:w="1439" w:type="dxa"/>
            <w:tcBorders>
              <w:top w:val="nil"/>
              <w:bottom w:val="single" w:sz="4" w:space="0" w:color="auto"/>
            </w:tcBorders>
          </w:tcPr>
          <w:p w:rsidR="007034EB" w:rsidRDefault="007034EB" w:rsidP="00237DFA">
            <w:pPr>
              <w:pStyle w:val="Tabletext"/>
            </w:pPr>
            <w:r>
              <w:t>43.1%</w:t>
            </w:r>
          </w:p>
        </w:tc>
        <w:tc>
          <w:tcPr>
            <w:tcW w:w="1464" w:type="dxa"/>
            <w:tcBorders>
              <w:top w:val="nil"/>
              <w:bottom w:val="single" w:sz="4" w:space="0" w:color="auto"/>
            </w:tcBorders>
          </w:tcPr>
          <w:p w:rsidR="007034EB" w:rsidRPr="003664C2" w:rsidRDefault="007034EB" w:rsidP="0072787F">
            <w:pPr>
              <w:pStyle w:val="Tabletext"/>
            </w:pPr>
            <w:r>
              <w:t>49.9%</w:t>
            </w:r>
          </w:p>
        </w:tc>
        <w:tc>
          <w:tcPr>
            <w:tcW w:w="1271" w:type="dxa"/>
            <w:tcBorders>
              <w:top w:val="nil"/>
              <w:bottom w:val="single" w:sz="4" w:space="0" w:color="auto"/>
            </w:tcBorders>
          </w:tcPr>
          <w:p w:rsidR="007034EB" w:rsidRDefault="007034EB" w:rsidP="0072787F">
            <w:pPr>
              <w:pStyle w:val="Tabletext"/>
            </w:pPr>
            <w:r>
              <w:t>50.1%</w:t>
            </w:r>
          </w:p>
        </w:tc>
      </w:tr>
    </w:tbl>
    <w:p w:rsidR="000C5942" w:rsidRDefault="00596A9F" w:rsidP="00596A9F">
      <w:pPr>
        <w:spacing w:before="240" w:after="240"/>
      </w:pPr>
      <w:r>
        <w:t>A</w:t>
      </w:r>
      <w:r w:rsidR="000C5942">
        <w:t xml:space="preserve"> majority of fields had higher proportions of </w:t>
      </w:r>
      <w:r w:rsidR="00C823CD">
        <w:t>their</w:t>
      </w:r>
      <w:r w:rsidR="000C5942">
        <w:t xml:space="preserve"> extramural </w:t>
      </w:r>
      <w:r w:rsidR="00C823CD">
        <w:t>courses delivered by e-learning</w:t>
      </w:r>
      <w:r w:rsidR="000C5942">
        <w:t xml:space="preserve">. </w:t>
      </w:r>
      <w:r w:rsidR="00F24C6F">
        <w:t>Most of these fields had either a larger classroom</w:t>
      </w:r>
      <w:r w:rsidR="000854DE">
        <w:t>-</w:t>
      </w:r>
      <w:r w:rsidR="00F24C6F">
        <w:t xml:space="preserve">based component or a workplace or </w:t>
      </w:r>
      <w:r>
        <w:t xml:space="preserve">        </w:t>
      </w:r>
      <w:r w:rsidR="00F24C6F">
        <w:t xml:space="preserve">work-based component </w:t>
      </w:r>
      <w:r w:rsidR="00F24C6F" w:rsidRPr="009C569B">
        <w:t>that</w:t>
      </w:r>
      <w:r w:rsidR="00F24C6F">
        <w:t xml:space="preserve"> was typically computer-based</w:t>
      </w:r>
      <w:r w:rsidR="009C569B">
        <w:t>,</w:t>
      </w:r>
      <w:r w:rsidR="00F24C6F">
        <w:t xml:space="preserve"> such as Education, Information Technology, Management and Commerce</w:t>
      </w:r>
      <w:r w:rsidR="000854DE">
        <w:t>,</w:t>
      </w:r>
      <w:r w:rsidR="00F24C6F">
        <w:t xml:space="preserve"> and Natural and Physical Sciences. But Creative Arts, Health</w:t>
      </w:r>
      <w:r>
        <w:t>,</w:t>
      </w:r>
      <w:r w:rsidR="00F24C6F">
        <w:t xml:space="preserve"> and Mixed Field </w:t>
      </w:r>
      <w:r w:rsidR="00F24C6F" w:rsidRPr="009C569B">
        <w:t>Programmes w</w:t>
      </w:r>
      <w:r w:rsidR="00F24C6F">
        <w:t xml:space="preserve">hich </w:t>
      </w:r>
      <w:r w:rsidR="00F24C6F" w:rsidRPr="009C569B">
        <w:t>have</w:t>
      </w:r>
      <w:r w:rsidR="00F24C6F">
        <w:t xml:space="preserve"> a large workplace or work-based component that </w:t>
      </w:r>
      <w:r w:rsidR="00F24C6F" w:rsidRPr="009C569B">
        <w:t>is</w:t>
      </w:r>
      <w:r w:rsidR="00F24C6F">
        <w:t xml:space="preserve"> not typically computer</w:t>
      </w:r>
      <w:r w:rsidR="000854DE">
        <w:t>-</w:t>
      </w:r>
      <w:r w:rsidR="00F24C6F" w:rsidRPr="009C569B">
        <w:t>based also</w:t>
      </w:r>
      <w:r w:rsidR="00F24C6F">
        <w:t xml:space="preserve"> had higher proportions of extramural </w:t>
      </w:r>
      <w:r>
        <w:t xml:space="preserve">        </w:t>
      </w:r>
      <w:r w:rsidR="00F24C6F">
        <w:t xml:space="preserve">e-learning provision. </w:t>
      </w:r>
      <w:r w:rsidR="000C5942">
        <w:t xml:space="preserve">Engineering and Related Technologies had </w:t>
      </w:r>
      <w:r w:rsidR="006A1E55">
        <w:t xml:space="preserve">the </w:t>
      </w:r>
      <w:r w:rsidR="00C823CD">
        <w:t>highe</w:t>
      </w:r>
      <w:r w:rsidR="006A1E55">
        <w:t>st</w:t>
      </w:r>
      <w:r w:rsidR="000C5942">
        <w:t xml:space="preserve"> proportion of extramural </w:t>
      </w:r>
      <w:r>
        <w:t xml:space="preserve">traditional delivery </w:t>
      </w:r>
      <w:r w:rsidR="000C5942">
        <w:t xml:space="preserve">provision. </w:t>
      </w:r>
      <w:r w:rsidR="00C823CD">
        <w:t xml:space="preserve">Natural and Physical Sciences had </w:t>
      </w:r>
      <w:r w:rsidR="006A1E55">
        <w:t xml:space="preserve">the </w:t>
      </w:r>
      <w:r w:rsidR="00C823CD">
        <w:t>highe</w:t>
      </w:r>
      <w:r w:rsidR="006A1E55">
        <w:t>st</w:t>
      </w:r>
      <w:r w:rsidR="00C823CD">
        <w:t xml:space="preserve"> </w:t>
      </w:r>
      <w:r>
        <w:t>proportion of</w:t>
      </w:r>
      <w:r w:rsidR="000C5942">
        <w:t xml:space="preserve"> extramural</w:t>
      </w:r>
      <w:r>
        <w:t xml:space="preserve"> </w:t>
      </w:r>
      <w:r w:rsidR="000C5942">
        <w:t xml:space="preserve">e-learning </w:t>
      </w:r>
      <w:r>
        <w:t>provision</w:t>
      </w:r>
      <w:r w:rsidR="000C5942">
        <w:t xml:space="preserve">. </w:t>
      </w:r>
    </w:p>
    <w:p w:rsidR="000C5942" w:rsidRDefault="000C5942" w:rsidP="008915BD">
      <w:pPr>
        <w:spacing w:after="240"/>
        <w:jc w:val="both"/>
      </w:pPr>
      <w:r>
        <w:t xml:space="preserve">Table 3 below shows the aggregate </w:t>
      </w:r>
      <w:r w:rsidRPr="006C6027">
        <w:t>course</w:t>
      </w:r>
      <w:r>
        <w:t>-</w:t>
      </w:r>
      <w:r w:rsidRPr="006C6027">
        <w:t>level</w:t>
      </w:r>
      <w:r>
        <w:t>-</w:t>
      </w:r>
      <w:r w:rsidRPr="006C6027">
        <w:t>adjusted</w:t>
      </w:r>
      <w:r>
        <w:t xml:space="preserve"> completion rate</w:t>
      </w:r>
      <w:r w:rsidRPr="004019FD">
        <w:t xml:space="preserve"> </w:t>
      </w:r>
      <w:r>
        <w:t xml:space="preserve">over the eight years       </w:t>
      </w:r>
      <w:r w:rsidRPr="006C6027">
        <w:t>2004-20</w:t>
      </w:r>
      <w:r>
        <w:t>11 for the different fields of study</w:t>
      </w:r>
      <w:r w:rsidRPr="00873DDD">
        <w:rPr>
          <w:rStyle w:val="FootnoteReference"/>
        </w:rPr>
        <w:footnoteReference w:id="17"/>
      </w:r>
      <w:r>
        <w:t xml:space="preserve"> in</w:t>
      </w:r>
      <w:r w:rsidR="007034EB" w:rsidRPr="007034EB">
        <w:t xml:space="preserve"> </w:t>
      </w:r>
      <w:r w:rsidR="007034EB">
        <w:t>extramural</w:t>
      </w:r>
      <w:r w:rsidR="007034EB" w:rsidRPr="007034EB">
        <w:t xml:space="preserve"> </w:t>
      </w:r>
      <w:r w:rsidR="007034EB">
        <w:t>and</w:t>
      </w:r>
      <w:r>
        <w:t xml:space="preserve"> intramural </w:t>
      </w:r>
      <w:r w:rsidR="007034EB" w:rsidRPr="00787F1F">
        <w:t>courses</w:t>
      </w:r>
      <w:r w:rsidRPr="00787F1F">
        <w:t xml:space="preserve"> </w:t>
      </w:r>
      <w:r w:rsidR="00FD3BFB" w:rsidRPr="00787F1F">
        <w:t>delivered</w:t>
      </w:r>
      <w:r w:rsidR="00FD3BFB">
        <w:t xml:space="preserve"> by traditional and e-learning methods</w:t>
      </w:r>
      <w:r>
        <w:t>.</w:t>
      </w:r>
    </w:p>
    <w:p w:rsidR="0003328E" w:rsidRDefault="0003328E" w:rsidP="008915BD">
      <w:pPr>
        <w:spacing w:after="240"/>
        <w:jc w:val="both"/>
      </w:pPr>
    </w:p>
    <w:p w:rsidR="0003328E" w:rsidRDefault="0003328E" w:rsidP="008915BD">
      <w:pPr>
        <w:spacing w:after="240"/>
        <w:jc w:val="both"/>
      </w:pPr>
    </w:p>
    <w:p w:rsidR="0003328E" w:rsidRDefault="0003328E" w:rsidP="008915BD">
      <w:pPr>
        <w:spacing w:after="240"/>
        <w:jc w:val="both"/>
      </w:pPr>
    </w:p>
    <w:p w:rsidR="000C5942" w:rsidRDefault="000C5942" w:rsidP="00F47A9E">
      <w:pPr>
        <w:pStyle w:val="Caption"/>
      </w:pPr>
      <w:r>
        <w:lastRenderedPageBreak/>
        <w:t>Table 3</w:t>
      </w:r>
    </w:p>
    <w:p w:rsidR="000C5942" w:rsidRDefault="000C5942" w:rsidP="00F47A9E">
      <w:pPr>
        <w:pStyle w:val="Tablelabel"/>
      </w:pPr>
      <w:bookmarkStart w:id="62" w:name="_Toc379546088"/>
      <w:r>
        <w:t xml:space="preserve">Field of Study intramural and extramural course completion rates </w:t>
      </w:r>
      <w:r w:rsidR="004619FD">
        <w:t>in</w:t>
      </w:r>
      <w:r>
        <w:t xml:space="preserve"> the No </w:t>
      </w:r>
      <w:r w:rsidR="003E4E5A">
        <w:t>ICT</w:t>
      </w:r>
      <w:r>
        <w:t xml:space="preserve"> and e-learning delivery modes</w:t>
      </w:r>
      <w:bookmarkEnd w:id="62"/>
    </w:p>
    <w:tbl>
      <w:tblPr>
        <w:tblW w:w="10066" w:type="dxa"/>
        <w:tblInd w:w="-794" w:type="dxa"/>
        <w:tblBorders>
          <w:top w:val="single" w:sz="4" w:space="0" w:color="7F7F7F"/>
          <w:left w:val="single" w:sz="4" w:space="0" w:color="7F7F7F"/>
          <w:bottom w:val="single" w:sz="4" w:space="0" w:color="7F7F7F"/>
          <w:right w:val="single" w:sz="4" w:space="0" w:color="7F7F7F"/>
          <w:insideV w:val="single" w:sz="4" w:space="0" w:color="7F7F7F"/>
        </w:tblBorders>
        <w:tblLayout w:type="fixed"/>
        <w:tblCellMar>
          <w:top w:w="57" w:type="dxa"/>
          <w:left w:w="57" w:type="dxa"/>
          <w:bottom w:w="57" w:type="dxa"/>
          <w:right w:w="57" w:type="dxa"/>
        </w:tblCellMar>
        <w:tblLook w:val="00A0"/>
      </w:tblPr>
      <w:tblGrid>
        <w:gridCol w:w="1702"/>
        <w:gridCol w:w="1276"/>
        <w:gridCol w:w="1276"/>
        <w:gridCol w:w="1276"/>
        <w:gridCol w:w="1417"/>
        <w:gridCol w:w="1559"/>
        <w:gridCol w:w="1560"/>
      </w:tblGrid>
      <w:tr w:rsidR="007034EB" w:rsidTr="007034EB">
        <w:tc>
          <w:tcPr>
            <w:tcW w:w="1702" w:type="dxa"/>
            <w:tcBorders>
              <w:top w:val="single" w:sz="4" w:space="0" w:color="7F7F7F"/>
              <w:bottom w:val="single" w:sz="4" w:space="0" w:color="7F7F7F"/>
            </w:tcBorders>
            <w:shd w:val="clear" w:color="auto" w:fill="C2D8EA"/>
          </w:tcPr>
          <w:p w:rsidR="007034EB" w:rsidRPr="003664C2" w:rsidRDefault="007034EB" w:rsidP="00DE4962">
            <w:pPr>
              <w:pStyle w:val="Tabletext"/>
              <w:jc w:val="center"/>
            </w:pPr>
            <w:r>
              <w:t>Field of study</w:t>
            </w:r>
          </w:p>
        </w:tc>
        <w:tc>
          <w:tcPr>
            <w:tcW w:w="1276" w:type="dxa"/>
            <w:tcBorders>
              <w:top w:val="single" w:sz="4" w:space="0" w:color="7F7F7F"/>
              <w:bottom w:val="single" w:sz="4" w:space="0" w:color="7F7F7F"/>
            </w:tcBorders>
            <w:shd w:val="clear" w:color="auto" w:fill="C2D8EA"/>
          </w:tcPr>
          <w:p w:rsidR="007034EB" w:rsidRPr="003664C2" w:rsidRDefault="007034EB" w:rsidP="00237DFA">
            <w:pPr>
              <w:pStyle w:val="Tabletext"/>
              <w:jc w:val="center"/>
            </w:pPr>
            <w:r>
              <w:t>Extramural No ICT completion rates</w:t>
            </w:r>
          </w:p>
        </w:tc>
        <w:tc>
          <w:tcPr>
            <w:tcW w:w="1276" w:type="dxa"/>
            <w:tcBorders>
              <w:top w:val="single" w:sz="4" w:space="0" w:color="7F7F7F"/>
              <w:bottom w:val="single" w:sz="4" w:space="0" w:color="7F7F7F"/>
            </w:tcBorders>
            <w:shd w:val="clear" w:color="auto" w:fill="C2D8EA"/>
          </w:tcPr>
          <w:p w:rsidR="007034EB" w:rsidRDefault="007034EB" w:rsidP="00237DFA">
            <w:pPr>
              <w:pStyle w:val="Tabletext"/>
              <w:jc w:val="center"/>
            </w:pPr>
            <w:r>
              <w:t>Extramural           e-learning completion rates</w:t>
            </w:r>
          </w:p>
        </w:tc>
        <w:tc>
          <w:tcPr>
            <w:tcW w:w="1276" w:type="dxa"/>
            <w:tcBorders>
              <w:top w:val="single" w:sz="4" w:space="0" w:color="7F7F7F"/>
              <w:bottom w:val="single" w:sz="4" w:space="0" w:color="7F7F7F"/>
            </w:tcBorders>
            <w:shd w:val="clear" w:color="auto" w:fill="C2D8EA"/>
          </w:tcPr>
          <w:p w:rsidR="007034EB" w:rsidRPr="003664C2" w:rsidRDefault="007034EB" w:rsidP="003E4E5A">
            <w:pPr>
              <w:pStyle w:val="Tabletext"/>
              <w:jc w:val="center"/>
            </w:pPr>
            <w:r>
              <w:t>Intramural No ICT completion rates</w:t>
            </w:r>
          </w:p>
        </w:tc>
        <w:tc>
          <w:tcPr>
            <w:tcW w:w="1417" w:type="dxa"/>
            <w:tcBorders>
              <w:top w:val="single" w:sz="4" w:space="0" w:color="7F7F7F"/>
              <w:bottom w:val="single" w:sz="4" w:space="0" w:color="7F7F7F"/>
            </w:tcBorders>
            <w:shd w:val="clear" w:color="auto" w:fill="C2D8EA"/>
          </w:tcPr>
          <w:p w:rsidR="007034EB" w:rsidRDefault="007034EB" w:rsidP="00807C02">
            <w:pPr>
              <w:pStyle w:val="Tabletext"/>
              <w:jc w:val="center"/>
            </w:pPr>
            <w:r>
              <w:t>Intramural            e-learning completion rates</w:t>
            </w:r>
          </w:p>
        </w:tc>
        <w:tc>
          <w:tcPr>
            <w:tcW w:w="1559" w:type="dxa"/>
            <w:tcBorders>
              <w:top w:val="single" w:sz="4" w:space="0" w:color="7F7F7F"/>
              <w:bottom w:val="single" w:sz="4" w:space="0" w:color="7F7F7F"/>
            </w:tcBorders>
            <w:shd w:val="clear" w:color="auto" w:fill="C2D8EA"/>
          </w:tcPr>
          <w:p w:rsidR="007034EB" w:rsidRDefault="007034EB" w:rsidP="007034EB">
            <w:pPr>
              <w:pStyle w:val="Tabletext"/>
              <w:jc w:val="center"/>
            </w:pPr>
            <w:r>
              <w:t>Difference extramural/intramural No ICT</w:t>
            </w:r>
          </w:p>
        </w:tc>
        <w:tc>
          <w:tcPr>
            <w:tcW w:w="1560" w:type="dxa"/>
            <w:tcBorders>
              <w:top w:val="single" w:sz="4" w:space="0" w:color="7F7F7F"/>
              <w:bottom w:val="single" w:sz="4" w:space="0" w:color="7F7F7F"/>
            </w:tcBorders>
            <w:shd w:val="clear" w:color="auto" w:fill="C2D8EA"/>
          </w:tcPr>
          <w:p w:rsidR="007034EB" w:rsidRDefault="007034EB" w:rsidP="00D65F8B">
            <w:pPr>
              <w:pStyle w:val="Tabletext"/>
            </w:pPr>
            <w:r>
              <w:t xml:space="preserve">Difference extramural/intramural </w:t>
            </w:r>
          </w:p>
          <w:p w:rsidR="007034EB" w:rsidRDefault="007034EB" w:rsidP="00D65F8B">
            <w:pPr>
              <w:pStyle w:val="Tabletext"/>
            </w:pPr>
            <w:r>
              <w:t>e-learning</w:t>
            </w:r>
          </w:p>
        </w:tc>
      </w:tr>
      <w:tr w:rsidR="007034EB" w:rsidTr="00596A9F">
        <w:trPr>
          <w:cantSplit/>
        </w:trPr>
        <w:tc>
          <w:tcPr>
            <w:tcW w:w="1702" w:type="dxa"/>
            <w:tcBorders>
              <w:top w:val="nil"/>
              <w:bottom w:val="nil"/>
            </w:tcBorders>
            <w:shd w:val="clear" w:color="auto" w:fill="C2D8EA"/>
          </w:tcPr>
          <w:p w:rsidR="007034EB" w:rsidRPr="003664C2" w:rsidRDefault="007034EB" w:rsidP="00DE4962">
            <w:pPr>
              <w:pStyle w:val="Tabletext"/>
            </w:pPr>
            <w:r>
              <w:t>Agriculture, Env</w:t>
            </w:r>
            <w:r w:rsidRPr="0032268C">
              <w:t>ironment</w:t>
            </w:r>
            <w:r>
              <w:t xml:space="preserve"> </w:t>
            </w:r>
            <w:r w:rsidR="00E6717D">
              <w:t xml:space="preserve">al </w:t>
            </w:r>
            <w:r>
              <w:t>and Related Studies</w:t>
            </w:r>
          </w:p>
        </w:tc>
        <w:tc>
          <w:tcPr>
            <w:tcW w:w="1276" w:type="dxa"/>
            <w:tcBorders>
              <w:top w:val="nil"/>
              <w:bottom w:val="nil"/>
            </w:tcBorders>
            <w:shd w:val="clear" w:color="auto" w:fill="C2D8EA"/>
          </w:tcPr>
          <w:p w:rsidR="007034EB" w:rsidRPr="003664C2" w:rsidRDefault="007034EB" w:rsidP="00237DFA">
            <w:pPr>
              <w:pStyle w:val="Tabletext"/>
            </w:pPr>
            <w:r>
              <w:t>56.8%</w:t>
            </w:r>
          </w:p>
        </w:tc>
        <w:tc>
          <w:tcPr>
            <w:tcW w:w="1276" w:type="dxa"/>
            <w:tcBorders>
              <w:top w:val="nil"/>
              <w:bottom w:val="nil"/>
            </w:tcBorders>
            <w:shd w:val="clear" w:color="auto" w:fill="C2D8EA"/>
          </w:tcPr>
          <w:p w:rsidR="007034EB" w:rsidRDefault="007034EB" w:rsidP="00237DFA">
            <w:pPr>
              <w:pStyle w:val="Tabletext"/>
            </w:pPr>
            <w:r>
              <w:t>60.8%</w:t>
            </w:r>
          </w:p>
        </w:tc>
        <w:tc>
          <w:tcPr>
            <w:tcW w:w="1276" w:type="dxa"/>
            <w:tcBorders>
              <w:top w:val="nil"/>
              <w:bottom w:val="nil"/>
            </w:tcBorders>
            <w:shd w:val="clear" w:color="auto" w:fill="C2D8EA"/>
          </w:tcPr>
          <w:p w:rsidR="007034EB" w:rsidRPr="003664C2" w:rsidRDefault="007034EB" w:rsidP="00D65F8B">
            <w:pPr>
              <w:pStyle w:val="Tabletext"/>
            </w:pPr>
            <w:r>
              <w:t>61.2%</w:t>
            </w:r>
          </w:p>
        </w:tc>
        <w:tc>
          <w:tcPr>
            <w:tcW w:w="1417" w:type="dxa"/>
            <w:tcBorders>
              <w:top w:val="nil"/>
              <w:bottom w:val="nil"/>
            </w:tcBorders>
            <w:shd w:val="clear" w:color="auto" w:fill="C2D8EA"/>
          </w:tcPr>
          <w:p w:rsidR="007034EB" w:rsidRDefault="007034EB" w:rsidP="00D65F8B">
            <w:pPr>
              <w:pStyle w:val="Tabletext"/>
            </w:pPr>
            <w:r>
              <w:t>50.3%</w:t>
            </w:r>
          </w:p>
        </w:tc>
        <w:tc>
          <w:tcPr>
            <w:tcW w:w="1559" w:type="dxa"/>
            <w:tcBorders>
              <w:top w:val="nil"/>
              <w:bottom w:val="nil"/>
            </w:tcBorders>
            <w:shd w:val="clear" w:color="auto" w:fill="C2D8EA"/>
          </w:tcPr>
          <w:p w:rsidR="007034EB" w:rsidRDefault="007034EB" w:rsidP="00D65F8B">
            <w:pPr>
              <w:pStyle w:val="Tabletext"/>
            </w:pPr>
            <w:r>
              <w:t>4.4% (in favour of intramural)</w:t>
            </w:r>
          </w:p>
        </w:tc>
        <w:tc>
          <w:tcPr>
            <w:tcW w:w="1560" w:type="dxa"/>
            <w:tcBorders>
              <w:top w:val="nil"/>
              <w:bottom w:val="nil"/>
            </w:tcBorders>
            <w:shd w:val="clear" w:color="auto" w:fill="C2D8EA"/>
          </w:tcPr>
          <w:p w:rsidR="007034EB" w:rsidRDefault="007034EB" w:rsidP="00D65F8B">
            <w:pPr>
              <w:pStyle w:val="Tabletext"/>
            </w:pPr>
            <w:r>
              <w:t>10.5% (in favour of extramural)</w:t>
            </w:r>
          </w:p>
        </w:tc>
      </w:tr>
      <w:tr w:rsidR="007034EB" w:rsidTr="00596A9F">
        <w:trPr>
          <w:cantSplit/>
        </w:trPr>
        <w:tc>
          <w:tcPr>
            <w:tcW w:w="1702" w:type="dxa"/>
            <w:tcBorders>
              <w:top w:val="nil"/>
              <w:bottom w:val="nil"/>
            </w:tcBorders>
          </w:tcPr>
          <w:p w:rsidR="007034EB" w:rsidRPr="003664C2" w:rsidRDefault="007034EB" w:rsidP="00DE4962">
            <w:pPr>
              <w:pStyle w:val="Tabletext"/>
            </w:pPr>
            <w:r>
              <w:t>Architecture and Building</w:t>
            </w:r>
          </w:p>
        </w:tc>
        <w:tc>
          <w:tcPr>
            <w:tcW w:w="1276" w:type="dxa"/>
            <w:tcBorders>
              <w:top w:val="nil"/>
              <w:bottom w:val="nil"/>
            </w:tcBorders>
          </w:tcPr>
          <w:p w:rsidR="007034EB" w:rsidRPr="003664C2" w:rsidRDefault="007034EB" w:rsidP="00237DFA">
            <w:pPr>
              <w:pStyle w:val="Tabletext"/>
            </w:pPr>
            <w:r>
              <w:t>47.1%</w:t>
            </w:r>
          </w:p>
        </w:tc>
        <w:tc>
          <w:tcPr>
            <w:tcW w:w="1276" w:type="dxa"/>
            <w:tcBorders>
              <w:top w:val="nil"/>
              <w:bottom w:val="nil"/>
            </w:tcBorders>
          </w:tcPr>
          <w:p w:rsidR="007034EB" w:rsidRDefault="007034EB" w:rsidP="00237DFA">
            <w:pPr>
              <w:pStyle w:val="Tabletext"/>
            </w:pPr>
            <w:r>
              <w:t>46.4%</w:t>
            </w:r>
          </w:p>
        </w:tc>
        <w:tc>
          <w:tcPr>
            <w:tcW w:w="1276" w:type="dxa"/>
            <w:tcBorders>
              <w:top w:val="nil"/>
              <w:bottom w:val="nil"/>
            </w:tcBorders>
          </w:tcPr>
          <w:p w:rsidR="007034EB" w:rsidRPr="003664C2" w:rsidRDefault="007034EB" w:rsidP="00D65F8B">
            <w:pPr>
              <w:pStyle w:val="Tabletext"/>
            </w:pPr>
            <w:r>
              <w:t>67.7%</w:t>
            </w:r>
          </w:p>
        </w:tc>
        <w:tc>
          <w:tcPr>
            <w:tcW w:w="1417" w:type="dxa"/>
            <w:tcBorders>
              <w:top w:val="nil"/>
              <w:bottom w:val="nil"/>
            </w:tcBorders>
          </w:tcPr>
          <w:p w:rsidR="007034EB" w:rsidRDefault="007034EB" w:rsidP="00D65F8B">
            <w:pPr>
              <w:pStyle w:val="Tabletext"/>
            </w:pPr>
            <w:r>
              <w:t>71.4%</w:t>
            </w:r>
          </w:p>
        </w:tc>
        <w:tc>
          <w:tcPr>
            <w:tcW w:w="1559" w:type="dxa"/>
            <w:tcBorders>
              <w:top w:val="nil"/>
              <w:bottom w:val="nil"/>
            </w:tcBorders>
          </w:tcPr>
          <w:p w:rsidR="007034EB" w:rsidRDefault="007034EB" w:rsidP="00D65F8B">
            <w:pPr>
              <w:pStyle w:val="Tabletext"/>
            </w:pPr>
            <w:r>
              <w:t>20.6% (in favour of intramural)</w:t>
            </w:r>
          </w:p>
        </w:tc>
        <w:tc>
          <w:tcPr>
            <w:tcW w:w="1560" w:type="dxa"/>
            <w:tcBorders>
              <w:top w:val="nil"/>
              <w:bottom w:val="nil"/>
            </w:tcBorders>
          </w:tcPr>
          <w:p w:rsidR="007034EB" w:rsidRDefault="007034EB" w:rsidP="00D65F8B">
            <w:pPr>
              <w:pStyle w:val="Tabletext"/>
            </w:pPr>
            <w:r>
              <w:t>25.0% (in favour of intramural)</w:t>
            </w:r>
          </w:p>
        </w:tc>
      </w:tr>
      <w:tr w:rsidR="007034EB" w:rsidTr="007034EB">
        <w:tc>
          <w:tcPr>
            <w:tcW w:w="1702" w:type="dxa"/>
            <w:tcBorders>
              <w:top w:val="nil"/>
              <w:bottom w:val="nil"/>
            </w:tcBorders>
            <w:shd w:val="clear" w:color="auto" w:fill="C2D8EA"/>
          </w:tcPr>
          <w:p w:rsidR="007034EB" w:rsidRPr="003664C2" w:rsidRDefault="007034EB" w:rsidP="00DE4962">
            <w:pPr>
              <w:pStyle w:val="Tabletext"/>
            </w:pPr>
            <w:r>
              <w:t>Creative Arts</w:t>
            </w:r>
          </w:p>
        </w:tc>
        <w:tc>
          <w:tcPr>
            <w:tcW w:w="1276" w:type="dxa"/>
            <w:tcBorders>
              <w:top w:val="nil"/>
              <w:bottom w:val="nil"/>
            </w:tcBorders>
            <w:shd w:val="clear" w:color="auto" w:fill="C2D8EA"/>
          </w:tcPr>
          <w:p w:rsidR="007034EB" w:rsidRPr="003664C2" w:rsidRDefault="007034EB" w:rsidP="00237DFA">
            <w:pPr>
              <w:pStyle w:val="Tabletext"/>
            </w:pPr>
            <w:r>
              <w:t>71.6%</w:t>
            </w:r>
          </w:p>
        </w:tc>
        <w:tc>
          <w:tcPr>
            <w:tcW w:w="1276" w:type="dxa"/>
            <w:tcBorders>
              <w:top w:val="nil"/>
              <w:bottom w:val="nil"/>
            </w:tcBorders>
            <w:shd w:val="clear" w:color="auto" w:fill="C2D8EA"/>
          </w:tcPr>
          <w:p w:rsidR="007034EB" w:rsidRDefault="007034EB" w:rsidP="00237DFA">
            <w:pPr>
              <w:pStyle w:val="Tabletext"/>
            </w:pPr>
            <w:r>
              <w:t>59.8%</w:t>
            </w:r>
          </w:p>
        </w:tc>
        <w:tc>
          <w:tcPr>
            <w:tcW w:w="1276" w:type="dxa"/>
            <w:tcBorders>
              <w:top w:val="nil"/>
              <w:bottom w:val="nil"/>
            </w:tcBorders>
            <w:shd w:val="clear" w:color="auto" w:fill="C2D8EA"/>
          </w:tcPr>
          <w:p w:rsidR="007034EB" w:rsidRPr="003664C2" w:rsidRDefault="007034EB" w:rsidP="009247CC">
            <w:pPr>
              <w:pStyle w:val="Tabletext"/>
            </w:pPr>
            <w:r>
              <w:t>78.9%</w:t>
            </w:r>
          </w:p>
        </w:tc>
        <w:tc>
          <w:tcPr>
            <w:tcW w:w="1417" w:type="dxa"/>
            <w:tcBorders>
              <w:top w:val="nil"/>
              <w:bottom w:val="nil"/>
            </w:tcBorders>
            <w:shd w:val="clear" w:color="auto" w:fill="C2D8EA"/>
          </w:tcPr>
          <w:p w:rsidR="007034EB" w:rsidRDefault="007034EB" w:rsidP="009247CC">
            <w:pPr>
              <w:pStyle w:val="Tabletext"/>
            </w:pPr>
            <w:r>
              <w:t>81.7%</w:t>
            </w:r>
          </w:p>
        </w:tc>
        <w:tc>
          <w:tcPr>
            <w:tcW w:w="1559" w:type="dxa"/>
            <w:tcBorders>
              <w:top w:val="nil"/>
              <w:bottom w:val="nil"/>
            </w:tcBorders>
            <w:shd w:val="clear" w:color="auto" w:fill="C2D8EA"/>
          </w:tcPr>
          <w:p w:rsidR="007034EB" w:rsidRDefault="007034EB" w:rsidP="009247CC">
            <w:pPr>
              <w:pStyle w:val="Tabletext"/>
            </w:pPr>
            <w:r>
              <w:t>7.3% (in favour of intramural)</w:t>
            </w:r>
          </w:p>
        </w:tc>
        <w:tc>
          <w:tcPr>
            <w:tcW w:w="1560" w:type="dxa"/>
            <w:tcBorders>
              <w:top w:val="nil"/>
              <w:bottom w:val="nil"/>
            </w:tcBorders>
            <w:shd w:val="clear" w:color="auto" w:fill="C2D8EA"/>
          </w:tcPr>
          <w:p w:rsidR="007034EB" w:rsidRDefault="007034EB" w:rsidP="009247CC">
            <w:pPr>
              <w:pStyle w:val="Tabletext"/>
            </w:pPr>
            <w:r>
              <w:t>21.9% (in favour of intramural)</w:t>
            </w:r>
          </w:p>
        </w:tc>
      </w:tr>
      <w:tr w:rsidR="007034EB" w:rsidTr="007034EB">
        <w:tc>
          <w:tcPr>
            <w:tcW w:w="1702" w:type="dxa"/>
            <w:tcBorders>
              <w:top w:val="nil"/>
              <w:bottom w:val="nil"/>
            </w:tcBorders>
          </w:tcPr>
          <w:p w:rsidR="007034EB" w:rsidRPr="003664C2" w:rsidRDefault="007034EB" w:rsidP="00DE4962">
            <w:pPr>
              <w:pStyle w:val="Tabletext"/>
            </w:pPr>
            <w:r>
              <w:t>Education</w:t>
            </w:r>
          </w:p>
        </w:tc>
        <w:tc>
          <w:tcPr>
            <w:tcW w:w="1276" w:type="dxa"/>
            <w:tcBorders>
              <w:top w:val="nil"/>
              <w:bottom w:val="nil"/>
            </w:tcBorders>
          </w:tcPr>
          <w:p w:rsidR="007034EB" w:rsidRPr="003664C2" w:rsidRDefault="007034EB" w:rsidP="00237DFA">
            <w:pPr>
              <w:pStyle w:val="Tabletext"/>
            </w:pPr>
            <w:r>
              <w:t>75.0%</w:t>
            </w:r>
          </w:p>
        </w:tc>
        <w:tc>
          <w:tcPr>
            <w:tcW w:w="1276" w:type="dxa"/>
            <w:tcBorders>
              <w:top w:val="nil"/>
              <w:bottom w:val="nil"/>
            </w:tcBorders>
          </w:tcPr>
          <w:p w:rsidR="007034EB" w:rsidRDefault="007034EB" w:rsidP="00237DFA">
            <w:pPr>
              <w:pStyle w:val="Tabletext"/>
            </w:pPr>
            <w:r>
              <w:t>79.3%</w:t>
            </w:r>
          </w:p>
        </w:tc>
        <w:tc>
          <w:tcPr>
            <w:tcW w:w="1276" w:type="dxa"/>
            <w:tcBorders>
              <w:top w:val="nil"/>
              <w:bottom w:val="nil"/>
            </w:tcBorders>
          </w:tcPr>
          <w:p w:rsidR="007034EB" w:rsidRPr="003664C2" w:rsidRDefault="007034EB" w:rsidP="00295C9B">
            <w:pPr>
              <w:pStyle w:val="Tabletext"/>
            </w:pPr>
            <w:r>
              <w:t>82.2%</w:t>
            </w:r>
          </w:p>
        </w:tc>
        <w:tc>
          <w:tcPr>
            <w:tcW w:w="1417" w:type="dxa"/>
            <w:tcBorders>
              <w:top w:val="nil"/>
              <w:bottom w:val="nil"/>
            </w:tcBorders>
          </w:tcPr>
          <w:p w:rsidR="007034EB" w:rsidRDefault="007034EB" w:rsidP="00295C9B">
            <w:pPr>
              <w:pStyle w:val="Tabletext"/>
            </w:pPr>
            <w:r>
              <w:t>85.5%</w:t>
            </w:r>
          </w:p>
        </w:tc>
        <w:tc>
          <w:tcPr>
            <w:tcW w:w="1559" w:type="dxa"/>
            <w:tcBorders>
              <w:top w:val="nil"/>
              <w:bottom w:val="nil"/>
            </w:tcBorders>
          </w:tcPr>
          <w:p w:rsidR="007034EB" w:rsidRDefault="007034EB" w:rsidP="00295C9B">
            <w:pPr>
              <w:pStyle w:val="Tabletext"/>
            </w:pPr>
            <w:r>
              <w:t>7.2% (in favour of intramural)</w:t>
            </w:r>
          </w:p>
        </w:tc>
        <w:tc>
          <w:tcPr>
            <w:tcW w:w="1560" w:type="dxa"/>
            <w:tcBorders>
              <w:top w:val="nil"/>
              <w:bottom w:val="nil"/>
            </w:tcBorders>
          </w:tcPr>
          <w:p w:rsidR="007034EB" w:rsidRDefault="007034EB" w:rsidP="00295C9B">
            <w:pPr>
              <w:pStyle w:val="Tabletext"/>
            </w:pPr>
            <w:r>
              <w:t>6.2% (in favour of intramural)</w:t>
            </w:r>
          </w:p>
        </w:tc>
      </w:tr>
      <w:tr w:rsidR="007034EB" w:rsidTr="007034EB">
        <w:tc>
          <w:tcPr>
            <w:tcW w:w="1702" w:type="dxa"/>
            <w:tcBorders>
              <w:top w:val="nil"/>
              <w:bottom w:val="nil"/>
            </w:tcBorders>
            <w:shd w:val="clear" w:color="auto" w:fill="C2D8EA"/>
          </w:tcPr>
          <w:p w:rsidR="007034EB" w:rsidRPr="003664C2" w:rsidRDefault="007034EB" w:rsidP="00DE4962">
            <w:pPr>
              <w:pStyle w:val="Tabletext"/>
            </w:pPr>
            <w:r>
              <w:t>Engineering and Related Technologies</w:t>
            </w:r>
          </w:p>
        </w:tc>
        <w:tc>
          <w:tcPr>
            <w:tcW w:w="1276" w:type="dxa"/>
            <w:tcBorders>
              <w:top w:val="nil"/>
              <w:bottom w:val="nil"/>
            </w:tcBorders>
            <w:shd w:val="clear" w:color="auto" w:fill="C2D8EA"/>
          </w:tcPr>
          <w:p w:rsidR="007034EB" w:rsidRPr="003664C2" w:rsidRDefault="007034EB" w:rsidP="00237DFA">
            <w:pPr>
              <w:pStyle w:val="Tabletext"/>
            </w:pPr>
            <w:r>
              <w:t>13.6%</w:t>
            </w:r>
          </w:p>
        </w:tc>
        <w:tc>
          <w:tcPr>
            <w:tcW w:w="1276" w:type="dxa"/>
            <w:tcBorders>
              <w:top w:val="nil"/>
              <w:bottom w:val="nil"/>
            </w:tcBorders>
            <w:shd w:val="clear" w:color="auto" w:fill="C2D8EA"/>
          </w:tcPr>
          <w:p w:rsidR="007034EB" w:rsidRDefault="007034EB" w:rsidP="00237DFA">
            <w:pPr>
              <w:pStyle w:val="Tabletext"/>
            </w:pPr>
            <w:r>
              <w:t>51.6%</w:t>
            </w:r>
          </w:p>
        </w:tc>
        <w:tc>
          <w:tcPr>
            <w:tcW w:w="1276" w:type="dxa"/>
            <w:tcBorders>
              <w:top w:val="nil"/>
              <w:bottom w:val="nil"/>
            </w:tcBorders>
            <w:shd w:val="clear" w:color="auto" w:fill="C2D8EA"/>
          </w:tcPr>
          <w:p w:rsidR="007034EB" w:rsidRPr="003664C2" w:rsidRDefault="007034EB" w:rsidP="00E5067E">
            <w:pPr>
              <w:pStyle w:val="Tabletext"/>
            </w:pPr>
            <w:r>
              <w:t>70.7%</w:t>
            </w:r>
          </w:p>
        </w:tc>
        <w:tc>
          <w:tcPr>
            <w:tcW w:w="1417" w:type="dxa"/>
            <w:tcBorders>
              <w:top w:val="nil"/>
              <w:bottom w:val="nil"/>
            </w:tcBorders>
            <w:shd w:val="clear" w:color="auto" w:fill="C2D8EA"/>
          </w:tcPr>
          <w:p w:rsidR="007034EB" w:rsidRDefault="007034EB" w:rsidP="00E5067E">
            <w:pPr>
              <w:pStyle w:val="Tabletext"/>
            </w:pPr>
            <w:r>
              <w:t>70.1%</w:t>
            </w:r>
          </w:p>
        </w:tc>
        <w:tc>
          <w:tcPr>
            <w:tcW w:w="1559" w:type="dxa"/>
            <w:tcBorders>
              <w:top w:val="nil"/>
              <w:bottom w:val="nil"/>
            </w:tcBorders>
            <w:shd w:val="clear" w:color="auto" w:fill="C2D8EA"/>
          </w:tcPr>
          <w:p w:rsidR="007034EB" w:rsidRDefault="007034EB" w:rsidP="00E5067E">
            <w:pPr>
              <w:pStyle w:val="Tabletext"/>
            </w:pPr>
            <w:r>
              <w:t>57.1% (in favour of intramural)</w:t>
            </w:r>
          </w:p>
        </w:tc>
        <w:tc>
          <w:tcPr>
            <w:tcW w:w="1560" w:type="dxa"/>
            <w:tcBorders>
              <w:top w:val="nil"/>
              <w:bottom w:val="nil"/>
            </w:tcBorders>
            <w:shd w:val="clear" w:color="auto" w:fill="C2D8EA"/>
          </w:tcPr>
          <w:p w:rsidR="007034EB" w:rsidRDefault="007034EB" w:rsidP="00E5067E">
            <w:pPr>
              <w:pStyle w:val="Tabletext"/>
            </w:pPr>
            <w:r>
              <w:t>18.5% (in favour of intramural)</w:t>
            </w:r>
          </w:p>
        </w:tc>
      </w:tr>
      <w:tr w:rsidR="007034EB" w:rsidTr="007034EB">
        <w:tc>
          <w:tcPr>
            <w:tcW w:w="1702" w:type="dxa"/>
            <w:tcBorders>
              <w:top w:val="nil"/>
              <w:bottom w:val="nil"/>
            </w:tcBorders>
          </w:tcPr>
          <w:p w:rsidR="007034EB" w:rsidRPr="003664C2" w:rsidRDefault="007034EB" w:rsidP="00DE4962">
            <w:pPr>
              <w:pStyle w:val="Tabletext"/>
            </w:pPr>
            <w:r>
              <w:t>Food, Hospitality and Personal Services</w:t>
            </w:r>
          </w:p>
        </w:tc>
        <w:tc>
          <w:tcPr>
            <w:tcW w:w="1276" w:type="dxa"/>
            <w:tcBorders>
              <w:top w:val="nil"/>
              <w:bottom w:val="nil"/>
            </w:tcBorders>
          </w:tcPr>
          <w:p w:rsidR="007034EB" w:rsidRPr="003664C2" w:rsidRDefault="007034EB" w:rsidP="00237DFA">
            <w:pPr>
              <w:pStyle w:val="Tabletext"/>
            </w:pPr>
            <w:r>
              <w:t>57.3%</w:t>
            </w:r>
          </w:p>
        </w:tc>
        <w:tc>
          <w:tcPr>
            <w:tcW w:w="1276" w:type="dxa"/>
            <w:tcBorders>
              <w:top w:val="nil"/>
              <w:bottom w:val="nil"/>
            </w:tcBorders>
          </w:tcPr>
          <w:p w:rsidR="007034EB" w:rsidRDefault="007034EB" w:rsidP="00237DFA">
            <w:pPr>
              <w:pStyle w:val="Tabletext"/>
            </w:pPr>
            <w:r>
              <w:t>30.5%</w:t>
            </w:r>
          </w:p>
        </w:tc>
        <w:tc>
          <w:tcPr>
            <w:tcW w:w="1276" w:type="dxa"/>
            <w:tcBorders>
              <w:top w:val="nil"/>
              <w:bottom w:val="nil"/>
            </w:tcBorders>
          </w:tcPr>
          <w:p w:rsidR="007034EB" w:rsidRPr="003664C2" w:rsidRDefault="007034EB" w:rsidP="0072787F">
            <w:pPr>
              <w:pStyle w:val="Tabletext"/>
            </w:pPr>
            <w:r>
              <w:t>61.0%</w:t>
            </w:r>
          </w:p>
        </w:tc>
        <w:tc>
          <w:tcPr>
            <w:tcW w:w="1417" w:type="dxa"/>
            <w:tcBorders>
              <w:top w:val="nil"/>
              <w:bottom w:val="nil"/>
            </w:tcBorders>
          </w:tcPr>
          <w:p w:rsidR="007034EB" w:rsidRDefault="007034EB" w:rsidP="0072787F">
            <w:pPr>
              <w:pStyle w:val="Tabletext"/>
            </w:pPr>
            <w:r>
              <w:t>66.2%</w:t>
            </w:r>
          </w:p>
        </w:tc>
        <w:tc>
          <w:tcPr>
            <w:tcW w:w="1559" w:type="dxa"/>
            <w:tcBorders>
              <w:top w:val="nil"/>
              <w:bottom w:val="nil"/>
            </w:tcBorders>
          </w:tcPr>
          <w:p w:rsidR="007034EB" w:rsidRDefault="007034EB" w:rsidP="0072787F">
            <w:pPr>
              <w:pStyle w:val="Tabletext"/>
            </w:pPr>
            <w:r>
              <w:t>3.7% (in favour of intramural)</w:t>
            </w:r>
          </w:p>
        </w:tc>
        <w:tc>
          <w:tcPr>
            <w:tcW w:w="1560" w:type="dxa"/>
            <w:tcBorders>
              <w:top w:val="nil"/>
              <w:bottom w:val="nil"/>
            </w:tcBorders>
          </w:tcPr>
          <w:p w:rsidR="007034EB" w:rsidRDefault="007034EB" w:rsidP="0072787F">
            <w:pPr>
              <w:pStyle w:val="Tabletext"/>
            </w:pPr>
            <w:r>
              <w:t>35.7% (in favour of intramural)</w:t>
            </w:r>
          </w:p>
        </w:tc>
      </w:tr>
      <w:tr w:rsidR="007034EB" w:rsidTr="007034EB">
        <w:tc>
          <w:tcPr>
            <w:tcW w:w="1702" w:type="dxa"/>
            <w:tcBorders>
              <w:top w:val="nil"/>
              <w:bottom w:val="nil"/>
            </w:tcBorders>
            <w:shd w:val="clear" w:color="auto" w:fill="C2D8EA"/>
          </w:tcPr>
          <w:p w:rsidR="007034EB" w:rsidRPr="003664C2" w:rsidRDefault="007034EB" w:rsidP="00DE4962">
            <w:pPr>
              <w:pStyle w:val="Tabletext"/>
            </w:pPr>
            <w:r>
              <w:t>Health</w:t>
            </w:r>
          </w:p>
        </w:tc>
        <w:tc>
          <w:tcPr>
            <w:tcW w:w="1276" w:type="dxa"/>
            <w:tcBorders>
              <w:top w:val="nil"/>
              <w:bottom w:val="nil"/>
            </w:tcBorders>
            <w:shd w:val="clear" w:color="auto" w:fill="C2D8EA"/>
          </w:tcPr>
          <w:p w:rsidR="007034EB" w:rsidRPr="003664C2" w:rsidRDefault="007034EB" w:rsidP="00237DFA">
            <w:pPr>
              <w:pStyle w:val="Tabletext"/>
            </w:pPr>
            <w:r>
              <w:t>76.9%</w:t>
            </w:r>
          </w:p>
        </w:tc>
        <w:tc>
          <w:tcPr>
            <w:tcW w:w="1276" w:type="dxa"/>
            <w:tcBorders>
              <w:top w:val="nil"/>
              <w:bottom w:val="nil"/>
            </w:tcBorders>
            <w:shd w:val="clear" w:color="auto" w:fill="C2D8EA"/>
          </w:tcPr>
          <w:p w:rsidR="007034EB" w:rsidRDefault="007034EB" w:rsidP="00237DFA">
            <w:pPr>
              <w:pStyle w:val="Tabletext"/>
            </w:pPr>
            <w:r>
              <w:t>74.9%</w:t>
            </w:r>
          </w:p>
        </w:tc>
        <w:tc>
          <w:tcPr>
            <w:tcW w:w="1276" w:type="dxa"/>
            <w:tcBorders>
              <w:top w:val="nil"/>
              <w:bottom w:val="nil"/>
            </w:tcBorders>
            <w:shd w:val="clear" w:color="auto" w:fill="C2D8EA"/>
          </w:tcPr>
          <w:p w:rsidR="007034EB" w:rsidRPr="003664C2" w:rsidRDefault="007034EB" w:rsidP="00404824">
            <w:pPr>
              <w:pStyle w:val="Tabletext"/>
            </w:pPr>
            <w:r>
              <w:t>83.7%</w:t>
            </w:r>
          </w:p>
        </w:tc>
        <w:tc>
          <w:tcPr>
            <w:tcW w:w="1417" w:type="dxa"/>
            <w:tcBorders>
              <w:top w:val="nil"/>
              <w:bottom w:val="nil"/>
            </w:tcBorders>
            <w:shd w:val="clear" w:color="auto" w:fill="C2D8EA"/>
          </w:tcPr>
          <w:p w:rsidR="007034EB" w:rsidRDefault="007034EB" w:rsidP="00404824">
            <w:pPr>
              <w:pStyle w:val="Tabletext"/>
            </w:pPr>
            <w:r>
              <w:t>87.3%</w:t>
            </w:r>
          </w:p>
        </w:tc>
        <w:tc>
          <w:tcPr>
            <w:tcW w:w="1559" w:type="dxa"/>
            <w:tcBorders>
              <w:top w:val="nil"/>
              <w:bottom w:val="nil"/>
            </w:tcBorders>
            <w:shd w:val="clear" w:color="auto" w:fill="C2D8EA"/>
          </w:tcPr>
          <w:p w:rsidR="007034EB" w:rsidRDefault="007034EB" w:rsidP="00404824">
            <w:pPr>
              <w:pStyle w:val="Tabletext"/>
            </w:pPr>
            <w:r>
              <w:t>6.8% (in favour of intramural)</w:t>
            </w:r>
          </w:p>
        </w:tc>
        <w:tc>
          <w:tcPr>
            <w:tcW w:w="1560" w:type="dxa"/>
            <w:tcBorders>
              <w:top w:val="nil"/>
              <w:bottom w:val="nil"/>
            </w:tcBorders>
            <w:shd w:val="clear" w:color="auto" w:fill="C2D8EA"/>
          </w:tcPr>
          <w:p w:rsidR="007034EB" w:rsidRDefault="007034EB" w:rsidP="00404824">
            <w:pPr>
              <w:pStyle w:val="Tabletext"/>
            </w:pPr>
            <w:r>
              <w:t>12.4% (in favour of intramural)</w:t>
            </w:r>
          </w:p>
        </w:tc>
      </w:tr>
      <w:tr w:rsidR="007034EB" w:rsidTr="007034EB">
        <w:tc>
          <w:tcPr>
            <w:tcW w:w="1702" w:type="dxa"/>
            <w:tcBorders>
              <w:top w:val="nil"/>
              <w:bottom w:val="nil"/>
            </w:tcBorders>
          </w:tcPr>
          <w:p w:rsidR="007034EB" w:rsidRPr="003664C2" w:rsidRDefault="007034EB" w:rsidP="00DE4962">
            <w:pPr>
              <w:pStyle w:val="Tabletext"/>
            </w:pPr>
            <w:r>
              <w:t>Information Technology</w:t>
            </w:r>
          </w:p>
        </w:tc>
        <w:tc>
          <w:tcPr>
            <w:tcW w:w="1276" w:type="dxa"/>
            <w:tcBorders>
              <w:top w:val="nil"/>
              <w:bottom w:val="nil"/>
            </w:tcBorders>
          </w:tcPr>
          <w:p w:rsidR="007034EB" w:rsidRPr="003664C2" w:rsidRDefault="007034EB" w:rsidP="00237DFA">
            <w:pPr>
              <w:pStyle w:val="Tabletext"/>
            </w:pPr>
            <w:r>
              <w:t>53.0%</w:t>
            </w:r>
          </w:p>
        </w:tc>
        <w:tc>
          <w:tcPr>
            <w:tcW w:w="1276" w:type="dxa"/>
            <w:tcBorders>
              <w:top w:val="nil"/>
              <w:bottom w:val="nil"/>
            </w:tcBorders>
          </w:tcPr>
          <w:p w:rsidR="007034EB" w:rsidRDefault="007034EB" w:rsidP="00237DFA">
            <w:pPr>
              <w:pStyle w:val="Tabletext"/>
            </w:pPr>
            <w:r>
              <w:t>57.2%</w:t>
            </w:r>
          </w:p>
        </w:tc>
        <w:tc>
          <w:tcPr>
            <w:tcW w:w="1276" w:type="dxa"/>
            <w:tcBorders>
              <w:top w:val="nil"/>
              <w:bottom w:val="nil"/>
            </w:tcBorders>
          </w:tcPr>
          <w:p w:rsidR="007034EB" w:rsidRPr="003664C2" w:rsidRDefault="007034EB" w:rsidP="007B0C4D">
            <w:pPr>
              <w:pStyle w:val="Tabletext"/>
            </w:pPr>
            <w:r>
              <w:t>70.4%</w:t>
            </w:r>
          </w:p>
        </w:tc>
        <w:tc>
          <w:tcPr>
            <w:tcW w:w="1417" w:type="dxa"/>
            <w:tcBorders>
              <w:top w:val="nil"/>
              <w:bottom w:val="nil"/>
            </w:tcBorders>
          </w:tcPr>
          <w:p w:rsidR="007034EB" w:rsidRDefault="007034EB" w:rsidP="007B0C4D">
            <w:pPr>
              <w:pStyle w:val="Tabletext"/>
            </w:pPr>
            <w:r>
              <w:t>70.8%</w:t>
            </w:r>
          </w:p>
        </w:tc>
        <w:tc>
          <w:tcPr>
            <w:tcW w:w="1559" w:type="dxa"/>
            <w:tcBorders>
              <w:top w:val="nil"/>
              <w:bottom w:val="nil"/>
            </w:tcBorders>
          </w:tcPr>
          <w:p w:rsidR="007034EB" w:rsidRDefault="007034EB" w:rsidP="007B0C4D">
            <w:pPr>
              <w:pStyle w:val="Tabletext"/>
            </w:pPr>
            <w:r>
              <w:t>17.4% (in favour of intramural)</w:t>
            </w:r>
          </w:p>
        </w:tc>
        <w:tc>
          <w:tcPr>
            <w:tcW w:w="1560" w:type="dxa"/>
            <w:tcBorders>
              <w:top w:val="nil"/>
              <w:bottom w:val="nil"/>
            </w:tcBorders>
          </w:tcPr>
          <w:p w:rsidR="007034EB" w:rsidRDefault="007034EB" w:rsidP="007B0C4D">
            <w:pPr>
              <w:pStyle w:val="Tabletext"/>
            </w:pPr>
            <w:r>
              <w:t>13.6% (in favour of intramural)</w:t>
            </w:r>
          </w:p>
        </w:tc>
      </w:tr>
      <w:tr w:rsidR="007034EB" w:rsidTr="007034EB">
        <w:tc>
          <w:tcPr>
            <w:tcW w:w="1702" w:type="dxa"/>
            <w:tcBorders>
              <w:top w:val="nil"/>
              <w:bottom w:val="nil"/>
            </w:tcBorders>
            <w:shd w:val="clear" w:color="auto" w:fill="C2D8EA"/>
          </w:tcPr>
          <w:p w:rsidR="007034EB" w:rsidRPr="003664C2" w:rsidRDefault="007034EB" w:rsidP="00DE4962">
            <w:pPr>
              <w:pStyle w:val="Tabletext"/>
            </w:pPr>
            <w:r>
              <w:t>Management and Commerce</w:t>
            </w:r>
          </w:p>
        </w:tc>
        <w:tc>
          <w:tcPr>
            <w:tcW w:w="1276" w:type="dxa"/>
            <w:tcBorders>
              <w:top w:val="nil"/>
              <w:bottom w:val="nil"/>
            </w:tcBorders>
            <w:shd w:val="clear" w:color="auto" w:fill="C2D8EA"/>
          </w:tcPr>
          <w:p w:rsidR="007034EB" w:rsidRPr="003664C2" w:rsidRDefault="007034EB" w:rsidP="00237DFA">
            <w:pPr>
              <w:pStyle w:val="Tabletext"/>
            </w:pPr>
            <w:r>
              <w:t>52.4%</w:t>
            </w:r>
          </w:p>
        </w:tc>
        <w:tc>
          <w:tcPr>
            <w:tcW w:w="1276" w:type="dxa"/>
            <w:tcBorders>
              <w:top w:val="nil"/>
              <w:bottom w:val="nil"/>
            </w:tcBorders>
            <w:shd w:val="clear" w:color="auto" w:fill="C2D8EA"/>
          </w:tcPr>
          <w:p w:rsidR="007034EB" w:rsidRDefault="007034EB" w:rsidP="00237DFA">
            <w:pPr>
              <w:pStyle w:val="Tabletext"/>
            </w:pPr>
            <w:r>
              <w:t>51.3%</w:t>
            </w:r>
          </w:p>
        </w:tc>
        <w:tc>
          <w:tcPr>
            <w:tcW w:w="1276" w:type="dxa"/>
            <w:tcBorders>
              <w:top w:val="nil"/>
              <w:bottom w:val="nil"/>
            </w:tcBorders>
            <w:shd w:val="clear" w:color="auto" w:fill="C2D8EA"/>
          </w:tcPr>
          <w:p w:rsidR="007034EB" w:rsidRPr="003664C2" w:rsidRDefault="007034EB" w:rsidP="005B3DBB">
            <w:pPr>
              <w:pStyle w:val="Tabletext"/>
            </w:pPr>
            <w:r>
              <w:t>70.4%</w:t>
            </w:r>
          </w:p>
        </w:tc>
        <w:tc>
          <w:tcPr>
            <w:tcW w:w="1417" w:type="dxa"/>
            <w:tcBorders>
              <w:top w:val="nil"/>
              <w:bottom w:val="nil"/>
            </w:tcBorders>
            <w:shd w:val="clear" w:color="auto" w:fill="C2D8EA"/>
          </w:tcPr>
          <w:p w:rsidR="007034EB" w:rsidRDefault="007034EB" w:rsidP="005B3DBB">
            <w:pPr>
              <w:pStyle w:val="Tabletext"/>
            </w:pPr>
            <w:r>
              <w:t>71.6%</w:t>
            </w:r>
          </w:p>
        </w:tc>
        <w:tc>
          <w:tcPr>
            <w:tcW w:w="1559" w:type="dxa"/>
            <w:tcBorders>
              <w:top w:val="nil"/>
              <w:bottom w:val="nil"/>
            </w:tcBorders>
            <w:shd w:val="clear" w:color="auto" w:fill="C2D8EA"/>
          </w:tcPr>
          <w:p w:rsidR="007034EB" w:rsidRDefault="007034EB" w:rsidP="005B3DBB">
            <w:pPr>
              <w:pStyle w:val="Tabletext"/>
            </w:pPr>
            <w:r>
              <w:t>18% (in favour of intramural)</w:t>
            </w:r>
          </w:p>
        </w:tc>
        <w:tc>
          <w:tcPr>
            <w:tcW w:w="1560" w:type="dxa"/>
            <w:tcBorders>
              <w:top w:val="nil"/>
              <w:bottom w:val="nil"/>
            </w:tcBorders>
            <w:shd w:val="clear" w:color="auto" w:fill="C2D8EA"/>
          </w:tcPr>
          <w:p w:rsidR="007034EB" w:rsidRDefault="007034EB" w:rsidP="005B3DBB">
            <w:pPr>
              <w:pStyle w:val="Tabletext"/>
            </w:pPr>
            <w:r>
              <w:t>20.3% (in favour of intramural)</w:t>
            </w:r>
          </w:p>
        </w:tc>
      </w:tr>
      <w:tr w:rsidR="007034EB" w:rsidTr="007034EB">
        <w:tc>
          <w:tcPr>
            <w:tcW w:w="1702" w:type="dxa"/>
            <w:tcBorders>
              <w:top w:val="nil"/>
              <w:bottom w:val="nil"/>
            </w:tcBorders>
          </w:tcPr>
          <w:p w:rsidR="007034EB" w:rsidRPr="003664C2" w:rsidRDefault="007034EB" w:rsidP="00DE4962">
            <w:pPr>
              <w:pStyle w:val="Tabletext"/>
            </w:pPr>
            <w:r>
              <w:t>Mixed Field Programmes</w:t>
            </w:r>
          </w:p>
        </w:tc>
        <w:tc>
          <w:tcPr>
            <w:tcW w:w="1276" w:type="dxa"/>
            <w:tcBorders>
              <w:top w:val="nil"/>
              <w:bottom w:val="nil"/>
            </w:tcBorders>
          </w:tcPr>
          <w:p w:rsidR="007034EB" w:rsidRPr="003664C2" w:rsidRDefault="007034EB" w:rsidP="00237DFA">
            <w:pPr>
              <w:pStyle w:val="Tabletext"/>
            </w:pPr>
            <w:r>
              <w:t>68.4%</w:t>
            </w:r>
          </w:p>
        </w:tc>
        <w:tc>
          <w:tcPr>
            <w:tcW w:w="1276" w:type="dxa"/>
            <w:tcBorders>
              <w:top w:val="nil"/>
              <w:bottom w:val="nil"/>
            </w:tcBorders>
          </w:tcPr>
          <w:p w:rsidR="007034EB" w:rsidRDefault="007034EB" w:rsidP="00237DFA">
            <w:pPr>
              <w:pStyle w:val="Tabletext"/>
            </w:pPr>
            <w:r>
              <w:t>49.9%</w:t>
            </w:r>
          </w:p>
        </w:tc>
        <w:tc>
          <w:tcPr>
            <w:tcW w:w="1276" w:type="dxa"/>
            <w:tcBorders>
              <w:top w:val="nil"/>
              <w:bottom w:val="nil"/>
            </w:tcBorders>
          </w:tcPr>
          <w:p w:rsidR="007034EB" w:rsidRPr="003664C2" w:rsidRDefault="007034EB" w:rsidP="005B3DBB">
            <w:pPr>
              <w:pStyle w:val="Tabletext"/>
            </w:pPr>
            <w:r>
              <w:t>40.5%</w:t>
            </w:r>
          </w:p>
        </w:tc>
        <w:tc>
          <w:tcPr>
            <w:tcW w:w="1417" w:type="dxa"/>
            <w:tcBorders>
              <w:top w:val="nil"/>
              <w:bottom w:val="nil"/>
            </w:tcBorders>
          </w:tcPr>
          <w:p w:rsidR="007034EB" w:rsidRDefault="007034EB" w:rsidP="005B3DBB">
            <w:pPr>
              <w:pStyle w:val="Tabletext"/>
            </w:pPr>
            <w:r>
              <w:t>47.5%</w:t>
            </w:r>
          </w:p>
        </w:tc>
        <w:tc>
          <w:tcPr>
            <w:tcW w:w="1559" w:type="dxa"/>
            <w:tcBorders>
              <w:top w:val="nil"/>
              <w:bottom w:val="nil"/>
            </w:tcBorders>
          </w:tcPr>
          <w:p w:rsidR="007034EB" w:rsidRDefault="007034EB" w:rsidP="005B3DBB">
            <w:pPr>
              <w:pStyle w:val="Tabletext"/>
            </w:pPr>
            <w:r>
              <w:t>27.9% (in favour of extramural)</w:t>
            </w:r>
          </w:p>
        </w:tc>
        <w:tc>
          <w:tcPr>
            <w:tcW w:w="1560" w:type="dxa"/>
            <w:tcBorders>
              <w:top w:val="nil"/>
              <w:bottom w:val="nil"/>
            </w:tcBorders>
          </w:tcPr>
          <w:p w:rsidR="007034EB" w:rsidRDefault="007034EB" w:rsidP="005B3DBB">
            <w:pPr>
              <w:pStyle w:val="Tabletext"/>
            </w:pPr>
            <w:r>
              <w:t>2.4% (in favour of  extramural)</w:t>
            </w:r>
          </w:p>
        </w:tc>
      </w:tr>
      <w:tr w:rsidR="007034EB" w:rsidTr="007034EB">
        <w:tc>
          <w:tcPr>
            <w:tcW w:w="1702" w:type="dxa"/>
            <w:tcBorders>
              <w:top w:val="nil"/>
              <w:bottom w:val="nil"/>
            </w:tcBorders>
            <w:shd w:val="clear" w:color="auto" w:fill="C2D8EA"/>
          </w:tcPr>
          <w:p w:rsidR="007034EB" w:rsidRPr="003664C2" w:rsidRDefault="007034EB" w:rsidP="00DE4962">
            <w:pPr>
              <w:pStyle w:val="Tabletext"/>
            </w:pPr>
            <w:r>
              <w:t>Natural and Physical Sciences</w:t>
            </w:r>
          </w:p>
        </w:tc>
        <w:tc>
          <w:tcPr>
            <w:tcW w:w="1276" w:type="dxa"/>
            <w:tcBorders>
              <w:top w:val="nil"/>
              <w:bottom w:val="nil"/>
            </w:tcBorders>
            <w:shd w:val="clear" w:color="auto" w:fill="C2D8EA"/>
          </w:tcPr>
          <w:p w:rsidR="007034EB" w:rsidRDefault="007034EB" w:rsidP="00237DFA">
            <w:pPr>
              <w:pStyle w:val="Tabletext"/>
            </w:pPr>
            <w:r>
              <w:t>70.9%</w:t>
            </w:r>
          </w:p>
        </w:tc>
        <w:tc>
          <w:tcPr>
            <w:tcW w:w="1276" w:type="dxa"/>
            <w:tcBorders>
              <w:top w:val="nil"/>
              <w:bottom w:val="nil"/>
            </w:tcBorders>
            <w:shd w:val="clear" w:color="auto" w:fill="C2D8EA"/>
          </w:tcPr>
          <w:p w:rsidR="007034EB" w:rsidRDefault="007034EB" w:rsidP="00237DFA">
            <w:pPr>
              <w:pStyle w:val="Tabletext"/>
            </w:pPr>
            <w:r>
              <w:t>61.0%</w:t>
            </w:r>
          </w:p>
        </w:tc>
        <w:tc>
          <w:tcPr>
            <w:tcW w:w="1276" w:type="dxa"/>
            <w:tcBorders>
              <w:top w:val="nil"/>
              <w:bottom w:val="nil"/>
            </w:tcBorders>
            <w:shd w:val="clear" w:color="auto" w:fill="C2D8EA"/>
          </w:tcPr>
          <w:p w:rsidR="007034EB" w:rsidRPr="003664C2" w:rsidRDefault="007034EB" w:rsidP="00F96DD4">
            <w:pPr>
              <w:pStyle w:val="Tabletext"/>
            </w:pPr>
            <w:r>
              <w:t>76.3%</w:t>
            </w:r>
          </w:p>
        </w:tc>
        <w:tc>
          <w:tcPr>
            <w:tcW w:w="1417" w:type="dxa"/>
            <w:tcBorders>
              <w:top w:val="nil"/>
              <w:bottom w:val="nil"/>
            </w:tcBorders>
            <w:shd w:val="clear" w:color="auto" w:fill="C2D8EA"/>
          </w:tcPr>
          <w:p w:rsidR="007034EB" w:rsidRPr="003664C2" w:rsidRDefault="007034EB" w:rsidP="00F96DD4">
            <w:pPr>
              <w:pStyle w:val="Tabletext"/>
            </w:pPr>
            <w:r>
              <w:t>78.1%</w:t>
            </w:r>
          </w:p>
        </w:tc>
        <w:tc>
          <w:tcPr>
            <w:tcW w:w="1559" w:type="dxa"/>
            <w:tcBorders>
              <w:top w:val="nil"/>
              <w:bottom w:val="nil"/>
            </w:tcBorders>
            <w:shd w:val="clear" w:color="auto" w:fill="C2D8EA"/>
          </w:tcPr>
          <w:p w:rsidR="007034EB" w:rsidRDefault="007034EB" w:rsidP="00F96DD4">
            <w:pPr>
              <w:pStyle w:val="Tabletext"/>
            </w:pPr>
            <w:r>
              <w:t>5.4% (in favour of intramural)</w:t>
            </w:r>
          </w:p>
        </w:tc>
        <w:tc>
          <w:tcPr>
            <w:tcW w:w="1560" w:type="dxa"/>
            <w:tcBorders>
              <w:top w:val="nil"/>
              <w:bottom w:val="nil"/>
            </w:tcBorders>
            <w:shd w:val="clear" w:color="auto" w:fill="C2D8EA"/>
          </w:tcPr>
          <w:p w:rsidR="007034EB" w:rsidRDefault="007034EB" w:rsidP="00F96DD4">
            <w:pPr>
              <w:pStyle w:val="Tabletext"/>
            </w:pPr>
            <w:r>
              <w:t>17.1% (in favour of intramural)</w:t>
            </w:r>
          </w:p>
        </w:tc>
      </w:tr>
      <w:tr w:rsidR="007034EB" w:rsidTr="007034EB">
        <w:tc>
          <w:tcPr>
            <w:tcW w:w="1702" w:type="dxa"/>
            <w:tcBorders>
              <w:top w:val="nil"/>
              <w:bottom w:val="single" w:sz="4" w:space="0" w:color="auto"/>
            </w:tcBorders>
          </w:tcPr>
          <w:p w:rsidR="007034EB" w:rsidRPr="003664C2" w:rsidRDefault="007034EB" w:rsidP="00DE4962">
            <w:pPr>
              <w:pStyle w:val="Tabletext"/>
            </w:pPr>
            <w:r>
              <w:t>Society and Culture</w:t>
            </w:r>
          </w:p>
        </w:tc>
        <w:tc>
          <w:tcPr>
            <w:tcW w:w="1276" w:type="dxa"/>
            <w:tcBorders>
              <w:top w:val="nil"/>
              <w:bottom w:val="single" w:sz="4" w:space="0" w:color="auto"/>
            </w:tcBorders>
          </w:tcPr>
          <w:p w:rsidR="007034EB" w:rsidRDefault="007034EB" w:rsidP="00237DFA">
            <w:pPr>
              <w:pStyle w:val="Tabletext"/>
            </w:pPr>
            <w:r>
              <w:t>66.3%</w:t>
            </w:r>
          </w:p>
        </w:tc>
        <w:tc>
          <w:tcPr>
            <w:tcW w:w="1276" w:type="dxa"/>
            <w:tcBorders>
              <w:top w:val="nil"/>
              <w:bottom w:val="single" w:sz="4" w:space="0" w:color="auto"/>
            </w:tcBorders>
          </w:tcPr>
          <w:p w:rsidR="007034EB" w:rsidRDefault="007034EB" w:rsidP="00237DFA">
            <w:pPr>
              <w:pStyle w:val="Tabletext"/>
            </w:pPr>
            <w:r>
              <w:t>60.1%</w:t>
            </w:r>
          </w:p>
        </w:tc>
        <w:tc>
          <w:tcPr>
            <w:tcW w:w="1276" w:type="dxa"/>
            <w:tcBorders>
              <w:top w:val="nil"/>
              <w:bottom w:val="single" w:sz="4" w:space="0" w:color="auto"/>
            </w:tcBorders>
          </w:tcPr>
          <w:p w:rsidR="007034EB" w:rsidRPr="003664C2" w:rsidRDefault="007034EB" w:rsidP="00F96DD4">
            <w:pPr>
              <w:pStyle w:val="Tabletext"/>
            </w:pPr>
            <w:r>
              <w:t>73.2%</w:t>
            </w:r>
          </w:p>
        </w:tc>
        <w:tc>
          <w:tcPr>
            <w:tcW w:w="1417" w:type="dxa"/>
            <w:tcBorders>
              <w:top w:val="nil"/>
              <w:bottom w:val="single" w:sz="4" w:space="0" w:color="auto"/>
            </w:tcBorders>
          </w:tcPr>
          <w:p w:rsidR="007034EB" w:rsidRPr="003664C2" w:rsidRDefault="007034EB" w:rsidP="00F96DD4">
            <w:pPr>
              <w:pStyle w:val="Tabletext"/>
            </w:pPr>
            <w:r>
              <w:t>77.9%</w:t>
            </w:r>
          </w:p>
        </w:tc>
        <w:tc>
          <w:tcPr>
            <w:tcW w:w="1559" w:type="dxa"/>
            <w:tcBorders>
              <w:top w:val="nil"/>
              <w:bottom w:val="single" w:sz="4" w:space="0" w:color="auto"/>
            </w:tcBorders>
          </w:tcPr>
          <w:p w:rsidR="007034EB" w:rsidRDefault="007034EB" w:rsidP="00F96DD4">
            <w:pPr>
              <w:pStyle w:val="Tabletext"/>
            </w:pPr>
            <w:r>
              <w:t>6.9% (in favour of intramural)</w:t>
            </w:r>
          </w:p>
        </w:tc>
        <w:tc>
          <w:tcPr>
            <w:tcW w:w="1560" w:type="dxa"/>
            <w:tcBorders>
              <w:top w:val="nil"/>
              <w:bottom w:val="single" w:sz="4" w:space="0" w:color="auto"/>
            </w:tcBorders>
          </w:tcPr>
          <w:p w:rsidR="007034EB" w:rsidRDefault="007034EB" w:rsidP="00F96DD4">
            <w:pPr>
              <w:pStyle w:val="Tabletext"/>
            </w:pPr>
            <w:r>
              <w:t>17.8% (in favour of intramural)</w:t>
            </w:r>
          </w:p>
        </w:tc>
      </w:tr>
    </w:tbl>
    <w:p w:rsidR="003D2C6E" w:rsidRDefault="003D2C6E" w:rsidP="002D7CC9">
      <w:pPr>
        <w:pStyle w:val="BodyText"/>
        <w:spacing w:before="240"/>
      </w:pPr>
      <w:r>
        <w:t>Intramural had higher completion rates than extram</w:t>
      </w:r>
      <w:r w:rsidRPr="00AA060D">
        <w:t>ural</w:t>
      </w:r>
      <w:r w:rsidR="00AA060D">
        <w:t>,</w:t>
      </w:r>
      <w:r w:rsidRPr="00AA060D">
        <w:t xml:space="preserve"> irre</w:t>
      </w:r>
      <w:r>
        <w:t>spective of delivery mode. The only exceptions to this were Mixed Field Programmes</w:t>
      </w:r>
      <w:r w:rsidR="000854DE">
        <w:t>,</w:t>
      </w:r>
      <w:r>
        <w:t xml:space="preserve"> which had higher completion rates in extramural regardless of delivery mode</w:t>
      </w:r>
      <w:r w:rsidR="000854DE">
        <w:t>,</w:t>
      </w:r>
      <w:r w:rsidR="007C4861">
        <w:t xml:space="preserve"> a</w:t>
      </w:r>
      <w:r w:rsidR="00602B53">
        <w:t>nd Agriculture, Enviro</w:t>
      </w:r>
      <w:r w:rsidR="00602B53" w:rsidRPr="00AA060D">
        <w:t>nment</w:t>
      </w:r>
      <w:r w:rsidR="00E6717D">
        <w:t>al</w:t>
      </w:r>
      <w:r w:rsidR="00602B53">
        <w:t xml:space="preserve"> and Related Studies</w:t>
      </w:r>
      <w:r w:rsidR="000854DE">
        <w:t>,</w:t>
      </w:r>
      <w:r w:rsidR="007C4861">
        <w:t xml:space="preserve"> which</w:t>
      </w:r>
      <w:r w:rsidR="00602B53">
        <w:t xml:space="preserve"> had a higher extramural</w:t>
      </w:r>
      <w:r w:rsidR="005006A6">
        <w:t xml:space="preserve"> than intramural </w:t>
      </w:r>
      <w:r w:rsidR="00FD3BFB">
        <w:t xml:space="preserve">e-learning </w:t>
      </w:r>
      <w:r w:rsidR="00602B53">
        <w:t xml:space="preserve">completion rate. </w:t>
      </w:r>
    </w:p>
    <w:p w:rsidR="006D3EA9" w:rsidRDefault="006D3EA9" w:rsidP="000124F0">
      <w:pPr>
        <w:pStyle w:val="BodyText"/>
      </w:pPr>
      <w:r>
        <w:t>A</w:t>
      </w:r>
      <w:r w:rsidR="000C5942">
        <w:t xml:space="preserve">ll </w:t>
      </w:r>
      <w:r w:rsidR="000C5942" w:rsidRPr="00AA060D">
        <w:t>fields, except</w:t>
      </w:r>
      <w:r w:rsidR="000C5942">
        <w:t xml:space="preserve"> Agriculture, Environmental and Related Studies</w:t>
      </w:r>
      <w:r w:rsidR="00F37217">
        <w:t>,</w:t>
      </w:r>
      <w:r w:rsidR="000C5942">
        <w:t xml:space="preserve"> and Engineering and Related Technologie</w:t>
      </w:r>
      <w:r w:rsidR="000C5942" w:rsidRPr="00AA060D">
        <w:t>s, had</w:t>
      </w:r>
      <w:r w:rsidR="000C5942">
        <w:t xml:space="preserve"> a higher</w:t>
      </w:r>
      <w:r w:rsidR="007C4861">
        <w:t xml:space="preserve"> </w:t>
      </w:r>
      <w:r w:rsidR="000C5942">
        <w:t>e-learning completion rate</w:t>
      </w:r>
      <w:r>
        <w:t xml:space="preserve"> than traditional delivery</w:t>
      </w:r>
      <w:r w:rsidR="007C4861">
        <w:t xml:space="preserve"> in intramural courses</w:t>
      </w:r>
      <w:r>
        <w:t>.</w:t>
      </w:r>
      <w:r w:rsidR="000C5942">
        <w:t xml:space="preserve"> </w:t>
      </w:r>
      <w:r w:rsidR="00553935">
        <w:t>In contrast</w:t>
      </w:r>
      <w:r w:rsidR="00F37217">
        <w:t>,</w:t>
      </w:r>
      <w:r w:rsidR="00553935">
        <w:t xml:space="preserve"> o</w:t>
      </w:r>
      <w:r w:rsidR="007C4861">
        <w:t>ur data shows</w:t>
      </w:r>
      <w:r w:rsidR="00260A86">
        <w:t xml:space="preserve"> that</w:t>
      </w:r>
      <w:r w:rsidR="00797A28">
        <w:t xml:space="preserve"> </w:t>
      </w:r>
      <w:r>
        <w:t xml:space="preserve">the majority of fields had higher completion rates in </w:t>
      </w:r>
      <w:r w:rsidR="00260A86">
        <w:t xml:space="preserve">extramural </w:t>
      </w:r>
      <w:r>
        <w:t xml:space="preserve">traditional delivery </w:t>
      </w:r>
      <w:r w:rsidR="00260A86">
        <w:t xml:space="preserve">courses than </w:t>
      </w:r>
      <w:r>
        <w:t>e-learning courses</w:t>
      </w:r>
      <w:r w:rsidR="00260A86">
        <w:t xml:space="preserve">. </w:t>
      </w:r>
    </w:p>
    <w:p w:rsidR="000C5942" w:rsidRDefault="006D3EA9" w:rsidP="000124F0">
      <w:pPr>
        <w:pStyle w:val="BodyText"/>
      </w:pPr>
      <w:r>
        <w:t xml:space="preserve">Health had the highest extramural traditional delivery completion </w:t>
      </w:r>
      <w:r w:rsidRPr="00BD77EE">
        <w:t>rate</w:t>
      </w:r>
      <w:r w:rsidR="00BD77EE">
        <w:t xml:space="preserve"> and e</w:t>
      </w:r>
      <w:r w:rsidRPr="00BD77EE">
        <w:t>ducation</w:t>
      </w:r>
      <w:r>
        <w:t xml:space="preserve"> had the highest extramural e-learning completion rate. Despite their larger share of provision</w:t>
      </w:r>
      <w:r w:rsidR="007C3368">
        <w:t>,</w:t>
      </w:r>
      <w:r>
        <w:t xml:space="preserve"> Engineering and Related Technologies had the lowest completion </w:t>
      </w:r>
      <w:r w:rsidRPr="00BD77EE">
        <w:t>rate in</w:t>
      </w:r>
      <w:r>
        <w:t xml:space="preserve"> extramural traditional delivery courses. And Food, Hospitality and Personal Services had the lowest </w:t>
      </w:r>
      <w:r w:rsidR="00AD243E">
        <w:t>completion rate in extramural e-learning courses.</w:t>
      </w:r>
    </w:p>
    <w:p w:rsidR="000C5942" w:rsidRDefault="000C5942" w:rsidP="000124F0">
      <w:pPr>
        <w:pStyle w:val="BodyText"/>
      </w:pPr>
      <w:r>
        <w:t>Our last report</w:t>
      </w:r>
      <w:r w:rsidR="00964299">
        <w:t xml:space="preserve"> (Guiney, 2013</w:t>
      </w:r>
      <w:r w:rsidR="004E280E">
        <w:t>a</w:t>
      </w:r>
      <w:r w:rsidR="00964299">
        <w:t>)</w:t>
      </w:r>
      <w:r>
        <w:t xml:space="preserve"> only examined e-learning achievement up until 2009. Th</w:t>
      </w:r>
      <w:r w:rsidR="00FD3BFB">
        <w:t>e</w:t>
      </w:r>
      <w:r>
        <w:t xml:space="preserve"> lift in </w:t>
      </w:r>
      <w:r w:rsidR="007C4861">
        <w:t xml:space="preserve">intramural </w:t>
      </w:r>
      <w:r>
        <w:t xml:space="preserve">e-learning performance noted here could be due to the impact of the </w:t>
      </w:r>
      <w:r w:rsidR="00B670AB">
        <w:t>e</w:t>
      </w:r>
      <w:r w:rsidRPr="00B670AB">
        <w:t xml:space="preserve">ducational </w:t>
      </w:r>
      <w:r w:rsidR="00B670AB">
        <w:t>p</w:t>
      </w:r>
      <w:r w:rsidRPr="00B670AB">
        <w:t xml:space="preserve">erformance </w:t>
      </w:r>
      <w:r w:rsidR="00B670AB">
        <w:t>i</w:t>
      </w:r>
      <w:r w:rsidRPr="00B670AB">
        <w:t xml:space="preserve">ndicators </w:t>
      </w:r>
      <w:r w:rsidR="00B670AB" w:rsidRPr="000D5834">
        <w:t>that</w:t>
      </w:r>
      <w:r w:rsidRPr="000D5834">
        <w:t xml:space="preserve"> were introduced in 2009 and </w:t>
      </w:r>
      <w:r w:rsidR="00B670AB" w:rsidRPr="000D5834">
        <w:t>include</w:t>
      </w:r>
      <w:r w:rsidRPr="000D5834">
        <w:t xml:space="preserve"> course completion rates as one of </w:t>
      </w:r>
      <w:r w:rsidR="000D5834">
        <w:t>the</w:t>
      </w:r>
      <w:r w:rsidRPr="000D5834">
        <w:t xml:space="preserve"> key indicators</w:t>
      </w:r>
      <w:r>
        <w:t>. As a result</w:t>
      </w:r>
      <w:r w:rsidR="007C3368">
        <w:t>,</w:t>
      </w:r>
      <w:r>
        <w:t xml:space="preserve"> providers may have identified the</w:t>
      </w:r>
      <w:r w:rsidR="00C458D3">
        <w:t>ir</w:t>
      </w:r>
      <w:r>
        <w:t xml:space="preserve"> lower</w:t>
      </w:r>
      <w:r w:rsidR="00B67EF1">
        <w:t>-</w:t>
      </w:r>
      <w:r>
        <w:t xml:space="preserve">performing </w:t>
      </w:r>
      <w:r w:rsidR="007C4861">
        <w:lastRenderedPageBreak/>
        <w:t>intramural</w:t>
      </w:r>
      <w:r w:rsidR="00964299">
        <w:t xml:space="preserve"> </w:t>
      </w:r>
      <w:r>
        <w:t xml:space="preserve">e-learning courses and </w:t>
      </w:r>
      <w:r w:rsidR="00797A28">
        <w:t xml:space="preserve">redesigned them to improve </w:t>
      </w:r>
      <w:r>
        <w:t>their performance or dis</w:t>
      </w:r>
      <w:r w:rsidR="00964299">
        <w:t>continued</w:t>
      </w:r>
      <w:r>
        <w:t xml:space="preserve"> them. </w:t>
      </w:r>
    </w:p>
    <w:p w:rsidR="000C5942" w:rsidRDefault="000C5942" w:rsidP="009A6E53">
      <w:pPr>
        <w:spacing w:after="240"/>
      </w:pPr>
    </w:p>
    <w:p w:rsidR="000C5942" w:rsidRDefault="000C5942" w:rsidP="009A6E53">
      <w:pPr>
        <w:spacing w:after="240"/>
      </w:pPr>
    </w:p>
    <w:p w:rsidR="002D7CC9" w:rsidRDefault="002D7CC9"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D87688" w:rsidRDefault="00D87688" w:rsidP="009A6E53">
      <w:pPr>
        <w:spacing w:after="240"/>
      </w:pPr>
    </w:p>
    <w:p w:rsidR="000C5942" w:rsidRDefault="000C5942" w:rsidP="00A54297">
      <w:pPr>
        <w:pStyle w:val="Heading1"/>
      </w:pPr>
      <w:bookmarkStart w:id="63" w:name="_Toc379545922"/>
      <w:r>
        <w:lastRenderedPageBreak/>
        <w:t>Conclusions</w:t>
      </w:r>
      <w:bookmarkEnd w:id="63"/>
    </w:p>
    <w:p w:rsidR="005545E1" w:rsidRDefault="005545E1" w:rsidP="005545E1">
      <w:pPr>
        <w:pStyle w:val="Heading2"/>
      </w:pPr>
      <w:bookmarkStart w:id="64" w:name="_Toc379545923"/>
      <w:r>
        <w:t>Extramural provision and participation</w:t>
      </w:r>
      <w:bookmarkEnd w:id="64"/>
    </w:p>
    <w:p w:rsidR="00BA3082" w:rsidRDefault="00EB3A3E" w:rsidP="005545E1">
      <w:pPr>
        <w:pStyle w:val="BodyText"/>
      </w:pPr>
      <w:r>
        <w:t>E</w:t>
      </w:r>
      <w:r w:rsidR="005545E1">
        <w:t xml:space="preserve">xtramural courses </w:t>
      </w:r>
      <w:r>
        <w:t xml:space="preserve">represent </w:t>
      </w:r>
      <w:r w:rsidR="005545E1">
        <w:t xml:space="preserve">a minority of provision and participation. </w:t>
      </w:r>
      <w:r>
        <w:t>A</w:t>
      </w:r>
      <w:r w:rsidR="00A94E71">
        <w:t>s suggested by the research literature</w:t>
      </w:r>
      <w:r>
        <w:t>,</w:t>
      </w:r>
      <w:r w:rsidR="00A94E71">
        <w:t xml:space="preserve"> students who </w:t>
      </w:r>
      <w:r w:rsidR="00A45BDD">
        <w:t>we</w:t>
      </w:r>
      <w:r w:rsidR="00A94E71">
        <w:t>re</w:t>
      </w:r>
      <w:r w:rsidR="00F1393A">
        <w:t xml:space="preserve"> older, female, Māori, </w:t>
      </w:r>
      <w:r w:rsidR="00A94E71">
        <w:t>studying part-time</w:t>
      </w:r>
      <w:r w:rsidR="00A94E71" w:rsidRPr="00DC4C6C">
        <w:t xml:space="preserve">, </w:t>
      </w:r>
      <w:r w:rsidR="00FD3F6B">
        <w:t>or</w:t>
      </w:r>
      <w:r w:rsidR="00A94E71">
        <w:t xml:space="preserve"> from caregiving or working backgrounds </w:t>
      </w:r>
      <w:r w:rsidR="003E3C85">
        <w:t>had higher levels of participation</w:t>
      </w:r>
      <w:r w:rsidR="0099449B">
        <w:t xml:space="preserve"> in extramural </w:t>
      </w:r>
      <w:r w:rsidR="00D74FF7">
        <w:t>courses</w:t>
      </w:r>
      <w:r w:rsidR="0099449B">
        <w:t xml:space="preserve"> than other</w:t>
      </w:r>
      <w:r w:rsidR="00A94E71">
        <w:t xml:space="preserve"> learner</w:t>
      </w:r>
      <w:r w:rsidR="0099449B">
        <w:t xml:space="preserve">s. </w:t>
      </w:r>
      <w:r w:rsidR="00682760">
        <w:t>S</w:t>
      </w:r>
      <w:r w:rsidR="00BA3082">
        <w:t>tudents</w:t>
      </w:r>
      <w:r w:rsidR="00A94E71">
        <w:t xml:space="preserve"> </w:t>
      </w:r>
      <w:r w:rsidR="00682760">
        <w:t xml:space="preserve">who were younger, </w:t>
      </w:r>
      <w:r w:rsidR="00BA3082" w:rsidRPr="00DC4C6C">
        <w:t>Asian</w:t>
      </w:r>
      <w:r w:rsidR="00682760" w:rsidRPr="00DC4C6C">
        <w:t xml:space="preserve"> </w:t>
      </w:r>
      <w:r w:rsidR="00FD3F6B">
        <w:t>or</w:t>
      </w:r>
      <w:r w:rsidR="00682760">
        <w:t xml:space="preserve"> studying full-time</w:t>
      </w:r>
      <w:r w:rsidR="00BA3082">
        <w:t xml:space="preserve"> </w:t>
      </w:r>
      <w:r>
        <w:t>were least likely to</w:t>
      </w:r>
      <w:r w:rsidR="003E3C85">
        <w:t xml:space="preserve"> </w:t>
      </w:r>
      <w:r>
        <w:t xml:space="preserve">participate </w:t>
      </w:r>
      <w:r w:rsidR="003E3C85">
        <w:t>in</w:t>
      </w:r>
      <w:r w:rsidR="00BA3082">
        <w:t xml:space="preserve"> extramural </w:t>
      </w:r>
      <w:r w:rsidR="003E3C85">
        <w:t>courses</w:t>
      </w:r>
      <w:r w:rsidR="00BA3082">
        <w:t xml:space="preserve">. </w:t>
      </w:r>
    </w:p>
    <w:p w:rsidR="005545E1" w:rsidRDefault="0099449B" w:rsidP="005545E1">
      <w:pPr>
        <w:pStyle w:val="BodyText"/>
      </w:pPr>
      <w:r>
        <w:t xml:space="preserve">Polytechnics </w:t>
      </w:r>
      <w:r w:rsidR="00816ADF">
        <w:t xml:space="preserve">had the largest </w:t>
      </w:r>
      <w:r w:rsidR="00976CE0">
        <w:t>share</w:t>
      </w:r>
      <w:r w:rsidR="00816ADF">
        <w:t xml:space="preserve"> of </w:t>
      </w:r>
      <w:r w:rsidR="00A45BDD">
        <w:t>sub-sector</w:t>
      </w:r>
      <w:r w:rsidR="00816ADF">
        <w:t xml:space="preserve"> extramural provision</w:t>
      </w:r>
      <w:r w:rsidR="00F4612F">
        <w:t>, while</w:t>
      </w:r>
      <w:r>
        <w:t xml:space="preserve"> </w:t>
      </w:r>
      <w:r w:rsidR="001250AA">
        <w:t xml:space="preserve">PTEs had the smallest </w:t>
      </w:r>
      <w:r w:rsidR="00976CE0">
        <w:t>share</w:t>
      </w:r>
      <w:r w:rsidR="001250AA">
        <w:t xml:space="preserve">. </w:t>
      </w:r>
      <w:r w:rsidR="00BA3082">
        <w:t xml:space="preserve">Mixed Field Programmes </w:t>
      </w:r>
      <w:r w:rsidR="00816ADF">
        <w:t xml:space="preserve">had </w:t>
      </w:r>
      <w:r w:rsidR="00104FE2">
        <w:t xml:space="preserve">the </w:t>
      </w:r>
      <w:r w:rsidR="00816ADF">
        <w:t>large</w:t>
      </w:r>
      <w:r w:rsidR="00104FE2">
        <w:t>st</w:t>
      </w:r>
      <w:r w:rsidR="00816ADF">
        <w:t xml:space="preserve"> proportion of their provision delivered extramurally</w:t>
      </w:r>
      <w:r w:rsidR="00311C8D">
        <w:t>;</w:t>
      </w:r>
      <w:r w:rsidR="00BA3082">
        <w:t xml:space="preserve"> Food, Hospitality and Personal Services </w:t>
      </w:r>
      <w:r w:rsidR="00816ADF">
        <w:t xml:space="preserve">had </w:t>
      </w:r>
      <w:r w:rsidR="00104FE2">
        <w:t xml:space="preserve">the </w:t>
      </w:r>
      <w:r w:rsidR="00816ADF">
        <w:t>smalle</w:t>
      </w:r>
      <w:r w:rsidR="00104FE2">
        <w:t>st</w:t>
      </w:r>
      <w:r w:rsidR="00816ADF">
        <w:t xml:space="preserve"> proportion of their provision delivered extramurally</w:t>
      </w:r>
      <w:r w:rsidR="00BA3082">
        <w:t>.</w:t>
      </w:r>
      <w:r w:rsidR="00DB600D">
        <w:t xml:space="preserve"> </w:t>
      </w:r>
      <w:r w:rsidR="00816ADF">
        <w:t>Certificate</w:t>
      </w:r>
      <w:r w:rsidR="003A4B4B">
        <w:t>-</w:t>
      </w:r>
      <w:r w:rsidR="00816ADF">
        <w:t xml:space="preserve">level courses had </w:t>
      </w:r>
      <w:r w:rsidR="00A37D83">
        <w:t>the largest</w:t>
      </w:r>
      <w:r w:rsidR="00000400">
        <w:t xml:space="preserve"> proportion </w:t>
      </w:r>
      <w:r w:rsidR="00816ADF">
        <w:t xml:space="preserve">of </w:t>
      </w:r>
      <w:r w:rsidR="00F01863">
        <w:t>extramural provision</w:t>
      </w:r>
      <w:r w:rsidR="00F4612F">
        <w:t>, with</w:t>
      </w:r>
      <w:r w:rsidR="00FD3F6B">
        <w:t xml:space="preserve"> p</w:t>
      </w:r>
      <w:r w:rsidR="00F01863">
        <w:t>ostgraduate and masters</w:t>
      </w:r>
      <w:r w:rsidR="00DB600D">
        <w:t xml:space="preserve"> courses </w:t>
      </w:r>
      <w:r w:rsidR="00F4612F">
        <w:t>having</w:t>
      </w:r>
      <w:r w:rsidR="00816ADF">
        <w:t xml:space="preserve"> </w:t>
      </w:r>
      <w:r w:rsidR="00A37D83">
        <w:t>the smallest proportion</w:t>
      </w:r>
      <w:r w:rsidR="00DB600D">
        <w:t xml:space="preserve">. </w:t>
      </w:r>
    </w:p>
    <w:p w:rsidR="00561498" w:rsidRDefault="00561498" w:rsidP="005545E1">
      <w:pPr>
        <w:pStyle w:val="BodyText"/>
      </w:pPr>
      <w:r>
        <w:t xml:space="preserve">The </w:t>
      </w:r>
      <w:r w:rsidR="00241566">
        <w:t>majority of</w:t>
      </w:r>
      <w:r w:rsidR="00E22C04">
        <w:t xml:space="preserve"> </w:t>
      </w:r>
      <w:r w:rsidR="00DB600D">
        <w:t xml:space="preserve">extramural </w:t>
      </w:r>
      <w:r w:rsidR="00816ADF">
        <w:t>provision</w:t>
      </w:r>
      <w:r w:rsidR="00DB600D">
        <w:t xml:space="preserve"> </w:t>
      </w:r>
      <w:r w:rsidR="00104FE2">
        <w:t xml:space="preserve">was </w:t>
      </w:r>
      <w:r w:rsidR="00EB3A3E">
        <w:t xml:space="preserve">supported or delivered </w:t>
      </w:r>
      <w:r w:rsidR="00104FE2">
        <w:t>by e-learning methods and mo</w:t>
      </w:r>
      <w:r w:rsidR="00FD3F6B">
        <w:t>re</w:t>
      </w:r>
      <w:r w:rsidR="00104FE2">
        <w:t xml:space="preserve"> students participated in extramural courses </w:t>
      </w:r>
      <w:r w:rsidR="00EB3A3E">
        <w:t xml:space="preserve">with some </w:t>
      </w:r>
      <w:r w:rsidR="00104FE2">
        <w:t>e-learning</w:t>
      </w:r>
      <w:r w:rsidR="00EB3A3E">
        <w:t xml:space="preserve"> elements</w:t>
      </w:r>
      <w:r w:rsidR="00FD3F6B">
        <w:t xml:space="preserve"> than those delivered by traditional methods</w:t>
      </w:r>
      <w:r w:rsidR="00DB600D">
        <w:t xml:space="preserve">. </w:t>
      </w:r>
      <w:r>
        <w:t xml:space="preserve">In </w:t>
      </w:r>
      <w:r w:rsidRPr="00F4562E">
        <w:t>2005</w:t>
      </w:r>
      <w:r w:rsidR="00144486">
        <w:t>,</w:t>
      </w:r>
      <w:r>
        <w:t xml:space="preserve"> polytechnics </w:t>
      </w:r>
      <w:r w:rsidR="00333A05">
        <w:t xml:space="preserve">had </w:t>
      </w:r>
      <w:r w:rsidR="00000400">
        <w:t xml:space="preserve">the largest </w:t>
      </w:r>
      <w:r w:rsidR="00816ADF">
        <w:t>proportion of their</w:t>
      </w:r>
      <w:r>
        <w:t xml:space="preserve"> extramural </w:t>
      </w:r>
      <w:r w:rsidR="00816ADF">
        <w:t xml:space="preserve">provision delivered by </w:t>
      </w:r>
      <w:r w:rsidR="00333A05">
        <w:t>e-learning</w:t>
      </w:r>
      <w:r w:rsidR="00000400">
        <w:t>, bu</w:t>
      </w:r>
      <w:r w:rsidR="00E13D6E">
        <w:t xml:space="preserve">t by </w:t>
      </w:r>
      <w:r>
        <w:t xml:space="preserve">2011 </w:t>
      </w:r>
      <w:r w:rsidR="00000400" w:rsidRPr="00EE2C04">
        <w:t xml:space="preserve">it was </w:t>
      </w:r>
      <w:r w:rsidRPr="00EE2C04">
        <w:t>universities</w:t>
      </w:r>
      <w:r>
        <w:t>. Wānanga w</w:t>
      </w:r>
      <w:r w:rsidR="00333A05">
        <w:t>ere</w:t>
      </w:r>
      <w:r>
        <w:t xml:space="preserve"> the only</w:t>
      </w:r>
      <w:r w:rsidR="00241566">
        <w:t xml:space="preserve"> </w:t>
      </w:r>
      <w:r>
        <w:t xml:space="preserve">sub-sector </w:t>
      </w:r>
      <w:r w:rsidR="00333A05">
        <w:t xml:space="preserve">that </w:t>
      </w:r>
      <w:r w:rsidR="00BA2975">
        <w:t xml:space="preserve">had </w:t>
      </w:r>
      <w:r w:rsidR="00816ADF">
        <w:t>larger proportions</w:t>
      </w:r>
      <w:r>
        <w:t xml:space="preserve"> of </w:t>
      </w:r>
      <w:r w:rsidR="00241566">
        <w:t xml:space="preserve">their </w:t>
      </w:r>
      <w:r>
        <w:t>extramural provision</w:t>
      </w:r>
      <w:r w:rsidR="00241566">
        <w:t xml:space="preserve"> delivered by traditional means</w:t>
      </w:r>
      <w:r>
        <w:t xml:space="preserve">. </w:t>
      </w:r>
    </w:p>
    <w:p w:rsidR="00000400" w:rsidRDefault="00467CE5" w:rsidP="005545E1">
      <w:pPr>
        <w:pStyle w:val="BodyText"/>
      </w:pPr>
      <w:r>
        <w:t xml:space="preserve">Women had </w:t>
      </w:r>
      <w:r w:rsidRPr="00EE2C04">
        <w:t>higher</w:t>
      </w:r>
      <w:r>
        <w:t xml:space="preserve"> participation than men in extramural e-learning courses. In 2005</w:t>
      </w:r>
      <w:r w:rsidR="00144486">
        <w:t>,</w:t>
      </w:r>
      <w:r>
        <w:t xml:space="preserve"> the under 25s age group had </w:t>
      </w:r>
      <w:r w:rsidR="00000400">
        <w:t>the highest</w:t>
      </w:r>
      <w:r>
        <w:t xml:space="preserve"> participation in extramural e-learning courses, but by 2011 it was the 25-39 year olds age group. The 40+ age group had </w:t>
      </w:r>
      <w:r w:rsidR="00000400">
        <w:t xml:space="preserve">the highest </w:t>
      </w:r>
      <w:r>
        <w:t>participation in extramural traditional delivery courses</w:t>
      </w:r>
      <w:r w:rsidR="0067700D">
        <w:t>.</w:t>
      </w:r>
    </w:p>
    <w:p w:rsidR="00DC50BA" w:rsidRDefault="00DC50BA" w:rsidP="005545E1">
      <w:pPr>
        <w:pStyle w:val="BodyText"/>
      </w:pPr>
      <w:r>
        <w:t>Europeans had the highest participation in extramural e-learning courses. By 2011</w:t>
      </w:r>
      <w:r w:rsidR="00144486">
        <w:t>,</w:t>
      </w:r>
      <w:r>
        <w:t xml:space="preserve"> Māori were the only ethnic group to have higher participation in extramural traditional delivery courses.</w:t>
      </w:r>
    </w:p>
    <w:p w:rsidR="00DC50BA" w:rsidRDefault="00CB37D6" w:rsidP="005545E1">
      <w:pPr>
        <w:pStyle w:val="BodyText"/>
      </w:pPr>
      <w:r>
        <w:t>S</w:t>
      </w:r>
      <w:r w:rsidR="00561498" w:rsidRPr="00CB37D6">
        <w:t>chool</w:t>
      </w:r>
      <w:r w:rsidR="00561498">
        <w:t xml:space="preserve"> leavers </w:t>
      </w:r>
      <w:r w:rsidR="00BA2975">
        <w:t xml:space="preserve">had </w:t>
      </w:r>
      <w:r w:rsidR="00000400">
        <w:t>the highest</w:t>
      </w:r>
      <w:r w:rsidR="00BA2975">
        <w:t xml:space="preserve"> participation</w:t>
      </w:r>
      <w:r w:rsidR="00561498">
        <w:t xml:space="preserve"> in extramural </w:t>
      </w:r>
      <w:r w:rsidR="00333A05">
        <w:t xml:space="preserve">e-learning </w:t>
      </w:r>
      <w:r w:rsidR="00561498">
        <w:t>courses</w:t>
      </w:r>
      <w:r>
        <w:t xml:space="preserve"> in 2005</w:t>
      </w:r>
      <w:r w:rsidR="00333A05">
        <w:t>,</w:t>
      </w:r>
      <w:r w:rsidR="00561498">
        <w:t xml:space="preserve"> but by 2011 it was students who had </w:t>
      </w:r>
      <w:r w:rsidR="00333A05">
        <w:t>previously participated in</w:t>
      </w:r>
      <w:r w:rsidR="00561498">
        <w:t xml:space="preserve"> tertiary study. </w:t>
      </w:r>
    </w:p>
    <w:p w:rsidR="00C4624D" w:rsidRDefault="00C4624D" w:rsidP="00C4624D">
      <w:pPr>
        <w:pStyle w:val="Heading2"/>
      </w:pPr>
      <w:bookmarkStart w:id="65" w:name="_Toc379545924"/>
      <w:r>
        <w:t>Extramural achievement</w:t>
      </w:r>
      <w:bookmarkEnd w:id="65"/>
    </w:p>
    <w:p w:rsidR="00C4624D" w:rsidRDefault="00EB3A3E" w:rsidP="00C4624D">
      <w:pPr>
        <w:pStyle w:val="BodyText"/>
      </w:pPr>
      <w:r>
        <w:t>I</w:t>
      </w:r>
      <w:r w:rsidR="00C30032">
        <w:t xml:space="preserve">n </w:t>
      </w:r>
      <w:r w:rsidR="00912C53">
        <w:t>nearly all</w:t>
      </w:r>
      <w:r w:rsidR="00C30032">
        <w:t xml:space="preserve"> cases</w:t>
      </w:r>
      <w:r>
        <w:t>,</w:t>
      </w:r>
      <w:r w:rsidR="00230051">
        <w:t xml:space="preserve"> extramural </w:t>
      </w:r>
      <w:r w:rsidR="00EF5661">
        <w:t xml:space="preserve">completion rates </w:t>
      </w:r>
      <w:r w:rsidR="00EB4FB3">
        <w:t>we</w:t>
      </w:r>
      <w:r w:rsidR="00EF5661">
        <w:t>re</w:t>
      </w:r>
      <w:r w:rsidR="00230051">
        <w:t xml:space="preserve"> lower than intramural. </w:t>
      </w:r>
      <w:r w:rsidR="00EB4FB3">
        <w:t>However</w:t>
      </w:r>
      <w:r w:rsidR="00976CE0">
        <w:t>,</w:t>
      </w:r>
      <w:r w:rsidR="00EB4FB3">
        <w:t xml:space="preserve"> </w:t>
      </w:r>
      <w:r w:rsidR="009C2E19">
        <w:t xml:space="preserve">there were some exceptions. </w:t>
      </w:r>
      <w:r w:rsidR="00050722">
        <w:t>S</w:t>
      </w:r>
      <w:r w:rsidR="009C2E19">
        <w:t>tudents in the 40+ age group</w:t>
      </w:r>
      <w:r w:rsidR="00A61454">
        <w:t>,</w:t>
      </w:r>
      <w:r w:rsidR="009C2E19">
        <w:t xml:space="preserve"> those from non-working backgrounds</w:t>
      </w:r>
      <w:r w:rsidR="00CC2806">
        <w:t>,</w:t>
      </w:r>
      <w:r w:rsidR="00A61454">
        <w:t xml:space="preserve"> and wānanga</w:t>
      </w:r>
      <w:r w:rsidR="009C2E19">
        <w:t xml:space="preserve"> had </w:t>
      </w:r>
      <w:r w:rsidR="002F0877">
        <w:t xml:space="preserve">a </w:t>
      </w:r>
      <w:r w:rsidR="009C2E19">
        <w:t>higher extramural completion rate</w:t>
      </w:r>
      <w:r w:rsidR="00EB4FB3">
        <w:t xml:space="preserve"> than intramural</w:t>
      </w:r>
      <w:r w:rsidR="00AE463F">
        <w:t xml:space="preserve"> in</w:t>
      </w:r>
      <w:r w:rsidR="009C2E19">
        <w:t xml:space="preserve"> </w:t>
      </w:r>
      <w:r w:rsidR="00912C53">
        <w:t xml:space="preserve">traditional delivery </w:t>
      </w:r>
      <w:r w:rsidR="00976CE0">
        <w:t>courses</w:t>
      </w:r>
      <w:r w:rsidR="009C2E19">
        <w:t>. Agriculture, Environment</w:t>
      </w:r>
      <w:r w:rsidR="00BF4A16">
        <w:t>al</w:t>
      </w:r>
      <w:r w:rsidR="009C2E19">
        <w:t xml:space="preserve"> and Related Studies had</w:t>
      </w:r>
      <w:r w:rsidR="002F0877">
        <w:t xml:space="preserve"> a</w:t>
      </w:r>
      <w:r w:rsidR="009C2E19">
        <w:t xml:space="preserve"> higher extramural</w:t>
      </w:r>
      <w:r w:rsidR="00C32C5D">
        <w:t xml:space="preserve"> </w:t>
      </w:r>
      <w:r w:rsidR="009C2E19">
        <w:t>completion rate</w:t>
      </w:r>
      <w:r w:rsidR="00EB4FB3">
        <w:t xml:space="preserve"> than intramural</w:t>
      </w:r>
      <w:r w:rsidR="00050722">
        <w:t xml:space="preserve"> </w:t>
      </w:r>
      <w:r w:rsidR="00AE463F">
        <w:t xml:space="preserve">in </w:t>
      </w:r>
      <w:r w:rsidR="00912C53">
        <w:t xml:space="preserve">e-learning </w:t>
      </w:r>
      <w:r w:rsidR="005F065B">
        <w:t>courses</w:t>
      </w:r>
      <w:r w:rsidR="00AA5FCA">
        <w:t>, and</w:t>
      </w:r>
      <w:r w:rsidR="009C2E19">
        <w:t xml:space="preserve"> Mixed Field Programmes had </w:t>
      </w:r>
      <w:r w:rsidR="002F0877">
        <w:t xml:space="preserve">a </w:t>
      </w:r>
      <w:r w:rsidR="009C2E19">
        <w:t>higher extramural completion rate</w:t>
      </w:r>
      <w:r w:rsidR="00EB4FB3">
        <w:t xml:space="preserve"> than </w:t>
      </w:r>
      <w:r w:rsidR="00EB4FB3" w:rsidRPr="000D5834">
        <w:t>intramural</w:t>
      </w:r>
      <w:r w:rsidR="000D5834">
        <w:t>,</w:t>
      </w:r>
      <w:r w:rsidR="009C2E19" w:rsidRPr="000D5834">
        <w:t xml:space="preserve"> regardless</w:t>
      </w:r>
      <w:r w:rsidR="009C2E19">
        <w:t xml:space="preserve"> of delivery mode. </w:t>
      </w:r>
    </w:p>
    <w:p w:rsidR="00B1361F" w:rsidRDefault="00EB4FB3" w:rsidP="00C4624D">
      <w:pPr>
        <w:pStyle w:val="BodyText"/>
      </w:pPr>
      <w:r>
        <w:t>U</w:t>
      </w:r>
      <w:r w:rsidR="00B1361F">
        <w:t xml:space="preserve">niversities had </w:t>
      </w:r>
      <w:r w:rsidR="002F0877">
        <w:t xml:space="preserve">a </w:t>
      </w:r>
      <w:r w:rsidR="000B3EAE">
        <w:t>higher</w:t>
      </w:r>
      <w:r w:rsidR="00B1361F">
        <w:t xml:space="preserve"> </w:t>
      </w:r>
      <w:r w:rsidR="00BE0973">
        <w:t xml:space="preserve">extramural </w:t>
      </w:r>
      <w:r w:rsidR="002F0877">
        <w:t>completion rate</w:t>
      </w:r>
      <w:r w:rsidR="000B3EAE">
        <w:t xml:space="preserve"> than the other sub-</w:t>
      </w:r>
      <w:r w:rsidR="000B3EAE" w:rsidRPr="000D5834">
        <w:t>sectors</w:t>
      </w:r>
      <w:r w:rsidR="000D5834">
        <w:t>,</w:t>
      </w:r>
      <w:r w:rsidR="00B1361F" w:rsidRPr="000D5834">
        <w:t xml:space="preserve"> irrespective</w:t>
      </w:r>
      <w:r w:rsidR="00B1361F">
        <w:t xml:space="preserve"> of delivery mode</w:t>
      </w:r>
      <w:r w:rsidR="00050722">
        <w:t xml:space="preserve">. </w:t>
      </w:r>
      <w:r w:rsidR="00EB3A3E">
        <w:t>D</w:t>
      </w:r>
      <w:r w:rsidR="0001435D">
        <w:t>espite their larger share of extramural provision</w:t>
      </w:r>
      <w:r w:rsidR="00EB3A3E">
        <w:t>,</w:t>
      </w:r>
      <w:r w:rsidR="0001435D">
        <w:t xml:space="preserve"> p</w:t>
      </w:r>
      <w:r w:rsidR="00B1361F">
        <w:t>olytechnics</w:t>
      </w:r>
      <w:r w:rsidR="00BE0973">
        <w:t xml:space="preserve"> had</w:t>
      </w:r>
      <w:r w:rsidR="00B1361F">
        <w:t xml:space="preserve"> </w:t>
      </w:r>
      <w:r w:rsidR="002F0877">
        <w:t xml:space="preserve">a </w:t>
      </w:r>
      <w:r w:rsidR="000B3EAE">
        <w:t>lower</w:t>
      </w:r>
      <w:r w:rsidR="00B1361F">
        <w:t xml:space="preserve"> </w:t>
      </w:r>
      <w:r w:rsidR="00C30032">
        <w:t xml:space="preserve">extramural </w:t>
      </w:r>
      <w:r w:rsidR="002F0877">
        <w:t>completion rate</w:t>
      </w:r>
      <w:r w:rsidR="000B3EAE">
        <w:t xml:space="preserve"> than the other</w:t>
      </w:r>
      <w:r w:rsidR="00976CE0">
        <w:t xml:space="preserve"> </w:t>
      </w:r>
      <w:r w:rsidR="000B3EAE">
        <w:t>sub-sectors</w:t>
      </w:r>
      <w:r w:rsidR="000D5834">
        <w:t>,</w:t>
      </w:r>
      <w:r w:rsidR="00BE0973">
        <w:t xml:space="preserve"> </w:t>
      </w:r>
      <w:r w:rsidR="0090452F" w:rsidRPr="000D5834">
        <w:t>regardless</w:t>
      </w:r>
      <w:r w:rsidR="00BE0973">
        <w:t xml:space="preserve"> of delivery mode</w:t>
      </w:r>
      <w:r w:rsidR="00B1361F">
        <w:t xml:space="preserve">. Asians, women and full-time students </w:t>
      </w:r>
      <w:r w:rsidR="00EB3A3E">
        <w:t>taking</w:t>
      </w:r>
      <w:r w:rsidR="00B1361F">
        <w:t xml:space="preserve"> </w:t>
      </w:r>
      <w:r w:rsidR="00195954">
        <w:t xml:space="preserve">extramural </w:t>
      </w:r>
      <w:r w:rsidR="00EB3A3E">
        <w:t xml:space="preserve">study were more likely to </w:t>
      </w:r>
      <w:r w:rsidR="00B1361F">
        <w:t>complet</w:t>
      </w:r>
      <w:r w:rsidR="00EB3A3E">
        <w:t>e</w:t>
      </w:r>
      <w:r w:rsidR="00B1361F">
        <w:t xml:space="preserve"> </w:t>
      </w:r>
      <w:r w:rsidR="00C32C5D">
        <w:t>than the other ethnic groups, men and part-time students</w:t>
      </w:r>
      <w:r w:rsidR="00050722">
        <w:t xml:space="preserve">. </w:t>
      </w:r>
      <w:r w:rsidR="00B1361F">
        <w:t>Māori and Pasifika had</w:t>
      </w:r>
      <w:r w:rsidR="002F0877">
        <w:t xml:space="preserve"> a</w:t>
      </w:r>
      <w:r w:rsidR="00B1361F">
        <w:t xml:space="preserve"> </w:t>
      </w:r>
      <w:r w:rsidR="00C32C5D">
        <w:t>lower</w:t>
      </w:r>
      <w:r w:rsidR="00B1361F">
        <w:t xml:space="preserve"> </w:t>
      </w:r>
      <w:r w:rsidR="00050722">
        <w:t xml:space="preserve">extramural </w:t>
      </w:r>
      <w:r w:rsidR="00B1361F">
        <w:t xml:space="preserve">completion rate </w:t>
      </w:r>
      <w:r w:rsidR="00C32C5D">
        <w:t xml:space="preserve">than the other ethnic groups </w:t>
      </w:r>
      <w:r w:rsidR="0090452F">
        <w:t>regardless</w:t>
      </w:r>
      <w:r w:rsidR="00B1361F">
        <w:t xml:space="preserve"> of delivery mode. </w:t>
      </w:r>
    </w:p>
    <w:p w:rsidR="00904AA9" w:rsidRDefault="00EB4FB3" w:rsidP="00C4624D">
      <w:pPr>
        <w:pStyle w:val="BodyText"/>
      </w:pPr>
      <w:r>
        <w:t>T</w:t>
      </w:r>
      <w:r w:rsidR="00B1361F">
        <w:t>he under 25</w:t>
      </w:r>
      <w:r w:rsidR="00195954">
        <w:t>s</w:t>
      </w:r>
      <w:r w:rsidR="00B1361F">
        <w:t xml:space="preserve"> age group had </w:t>
      </w:r>
      <w:r w:rsidR="005F065B">
        <w:t>the lowest</w:t>
      </w:r>
      <w:r w:rsidR="00FC7F81">
        <w:t xml:space="preserve"> extramural completion rate</w:t>
      </w:r>
      <w:r w:rsidR="00391453">
        <w:t>, while</w:t>
      </w:r>
      <w:r w:rsidR="00BE0973">
        <w:t xml:space="preserve"> </w:t>
      </w:r>
      <w:r w:rsidR="00391453">
        <w:t>t</w:t>
      </w:r>
      <w:r w:rsidR="00B1361F">
        <w:t xml:space="preserve">he 40+ age group had </w:t>
      </w:r>
      <w:r w:rsidR="005F065B">
        <w:t>the highest</w:t>
      </w:r>
      <w:r w:rsidR="00B1361F">
        <w:t>.</w:t>
      </w:r>
      <w:r w:rsidR="00FC7F81">
        <w:t xml:space="preserve"> T</w:t>
      </w:r>
      <w:r w:rsidR="00B1361F">
        <w:t>he house</w:t>
      </w:r>
      <w:r w:rsidR="00E21DBD">
        <w:t>-</w:t>
      </w:r>
      <w:r w:rsidR="00B1361F">
        <w:t xml:space="preserve">person/retired group had the highest </w:t>
      </w:r>
      <w:r w:rsidR="00C13AC3">
        <w:t xml:space="preserve">extramural </w:t>
      </w:r>
      <w:r w:rsidR="00B1361F">
        <w:t xml:space="preserve">completion rate in </w:t>
      </w:r>
      <w:r w:rsidR="00050722">
        <w:t>traditional delivery</w:t>
      </w:r>
      <w:r w:rsidR="0090452F">
        <w:t xml:space="preserve"> courses</w:t>
      </w:r>
      <w:r w:rsidR="00FC7F81">
        <w:t>. But</w:t>
      </w:r>
      <w:r w:rsidR="00B1361F">
        <w:t xml:space="preserve"> students who had previously participated in tertiary study had </w:t>
      </w:r>
      <w:r w:rsidR="00B1361F">
        <w:lastRenderedPageBreak/>
        <w:t xml:space="preserve">the highest </w:t>
      </w:r>
      <w:r w:rsidR="00C13AC3">
        <w:t xml:space="preserve">extramural </w:t>
      </w:r>
      <w:r w:rsidR="00C30032">
        <w:t xml:space="preserve">completion </w:t>
      </w:r>
      <w:r w:rsidR="00B1361F">
        <w:t xml:space="preserve">rate in </w:t>
      </w:r>
      <w:r w:rsidR="00050722">
        <w:t>e-learning</w:t>
      </w:r>
      <w:r w:rsidR="0090452F">
        <w:t xml:space="preserve"> courses</w:t>
      </w:r>
      <w:r w:rsidR="00B1361F">
        <w:t xml:space="preserve">. </w:t>
      </w:r>
      <w:r w:rsidR="00AB19A9">
        <w:t>Students from non-working backgrounds had the lowest extramural completion rate regardless of delivery mode.</w:t>
      </w:r>
    </w:p>
    <w:p w:rsidR="00904AA9" w:rsidRDefault="00FE722D" w:rsidP="00C4624D">
      <w:pPr>
        <w:pStyle w:val="BodyText"/>
      </w:pPr>
      <w:r>
        <w:t>All</w:t>
      </w:r>
      <w:r w:rsidR="004140B5">
        <w:t xml:space="preserve"> student groups </w:t>
      </w:r>
      <w:r>
        <w:t xml:space="preserve">had a higher completion </w:t>
      </w:r>
      <w:r w:rsidR="00E970EB">
        <w:t>rate in</w:t>
      </w:r>
      <w:r>
        <w:t xml:space="preserve"> </w:t>
      </w:r>
      <w:r w:rsidR="00EF5661">
        <w:t>extramural</w:t>
      </w:r>
      <w:r w:rsidR="004140B5">
        <w:t xml:space="preserve"> traditional delivery</w:t>
      </w:r>
      <w:r>
        <w:t xml:space="preserve"> courses</w:t>
      </w:r>
      <w:r w:rsidR="004140B5">
        <w:t xml:space="preserve"> </w:t>
      </w:r>
      <w:r w:rsidR="00FA7E66">
        <w:t>than e-learning</w:t>
      </w:r>
      <w:r>
        <w:t xml:space="preserve"> courses</w:t>
      </w:r>
      <w:r w:rsidR="00FA7E66">
        <w:t>.</w:t>
      </w:r>
      <w:r w:rsidR="004140B5">
        <w:t xml:space="preserve"> </w:t>
      </w:r>
      <w:r w:rsidR="00904AA9">
        <w:t xml:space="preserve">However, polytechnics, PTEs, </w:t>
      </w:r>
      <w:r w:rsidR="003A4B4B">
        <w:t xml:space="preserve">and </w:t>
      </w:r>
      <w:r w:rsidR="00DE145B">
        <w:t xml:space="preserve">the </w:t>
      </w:r>
      <w:r w:rsidR="00437893">
        <w:t>Agriculture, Environment</w:t>
      </w:r>
      <w:r w:rsidR="003A4B4B">
        <w:t>al</w:t>
      </w:r>
      <w:r w:rsidR="00437893">
        <w:t xml:space="preserve"> and Related Studies, </w:t>
      </w:r>
      <w:r w:rsidR="00904AA9">
        <w:t>Education, and Information Technology</w:t>
      </w:r>
      <w:r w:rsidR="00DE145B">
        <w:t xml:space="preserve"> fields of study</w:t>
      </w:r>
      <w:r w:rsidR="00904AA9">
        <w:t xml:space="preserve"> all had </w:t>
      </w:r>
      <w:r w:rsidR="002F0877">
        <w:t xml:space="preserve">a </w:t>
      </w:r>
      <w:r w:rsidR="00904AA9">
        <w:t>higher completion rate in extramural</w:t>
      </w:r>
      <w:r w:rsidR="004140B5">
        <w:t xml:space="preserve"> </w:t>
      </w:r>
      <w:r w:rsidR="00C32C5D">
        <w:t>e-learning</w:t>
      </w:r>
      <w:r w:rsidR="00DE145B">
        <w:t xml:space="preserve"> </w:t>
      </w:r>
      <w:r w:rsidR="00C32C5D">
        <w:t>than traditional delivery</w:t>
      </w:r>
      <w:r w:rsidR="00904AA9">
        <w:t xml:space="preserve">.  </w:t>
      </w:r>
    </w:p>
    <w:p w:rsidR="004140B5" w:rsidRDefault="004140B5" w:rsidP="00C4624D">
      <w:pPr>
        <w:pStyle w:val="BodyText"/>
      </w:pPr>
    </w:p>
    <w:p w:rsidR="004140B5" w:rsidRDefault="004140B5" w:rsidP="00C4624D">
      <w:pPr>
        <w:pStyle w:val="BodyText"/>
      </w:pPr>
    </w:p>
    <w:p w:rsidR="004140B5" w:rsidRDefault="004140B5" w:rsidP="00C4624D">
      <w:pPr>
        <w:pStyle w:val="BodyText"/>
      </w:pPr>
    </w:p>
    <w:p w:rsidR="004140B5" w:rsidRDefault="004140B5" w:rsidP="00C4624D">
      <w:pPr>
        <w:pStyle w:val="BodyText"/>
      </w:pPr>
    </w:p>
    <w:p w:rsidR="004140B5" w:rsidRDefault="004140B5" w:rsidP="00C4624D">
      <w:pPr>
        <w:pStyle w:val="BodyText"/>
      </w:pPr>
    </w:p>
    <w:p w:rsidR="004140B5" w:rsidRDefault="004140B5" w:rsidP="00C4624D">
      <w:pPr>
        <w:pStyle w:val="BodyText"/>
      </w:pPr>
    </w:p>
    <w:p w:rsidR="006E3AAE" w:rsidRDefault="006E3AAE" w:rsidP="00C4624D">
      <w:pPr>
        <w:pStyle w:val="BodyText"/>
      </w:pPr>
    </w:p>
    <w:p w:rsidR="006E3AAE" w:rsidRDefault="006E3AAE" w:rsidP="00C4624D">
      <w:pPr>
        <w:pStyle w:val="BodyText"/>
      </w:pPr>
    </w:p>
    <w:p w:rsidR="00A22A81" w:rsidRDefault="00A22A81">
      <w:pPr>
        <w:rPr>
          <w:szCs w:val="20"/>
        </w:rPr>
      </w:pPr>
      <w:r>
        <w:br w:type="page"/>
      </w:r>
    </w:p>
    <w:p w:rsidR="00795915" w:rsidRDefault="00B50BD3">
      <w:pPr>
        <w:pStyle w:val="Appendix"/>
        <w:tabs>
          <w:tab w:val="clear" w:pos="1134"/>
        </w:tabs>
        <w:ind w:left="2268" w:hanging="2268"/>
      </w:pPr>
      <w:bookmarkStart w:id="66" w:name="_Toc359233182"/>
      <w:bookmarkStart w:id="67" w:name="_Toc379545925"/>
      <w:r>
        <w:lastRenderedPageBreak/>
        <w:t>E-learning category analysis</w:t>
      </w:r>
      <w:bookmarkEnd w:id="66"/>
      <w:bookmarkEnd w:id="67"/>
    </w:p>
    <w:p w:rsidR="00B50BD3" w:rsidRDefault="00B50BD3" w:rsidP="009C4005">
      <w:pPr>
        <w:pStyle w:val="Heading3"/>
      </w:pPr>
      <w:bookmarkStart w:id="68" w:name="_Toc359233183"/>
      <w:r>
        <w:t>Gender e-learning category analysis</w:t>
      </w:r>
      <w:bookmarkEnd w:id="68"/>
    </w:p>
    <w:p w:rsidR="00B50BD3" w:rsidRDefault="00B50BD3" w:rsidP="008915BD">
      <w:pPr>
        <w:spacing w:after="240"/>
        <w:jc w:val="both"/>
      </w:pPr>
      <w:r>
        <w:t xml:space="preserve">There was little difference between the e-learning </w:t>
      </w:r>
      <w:r w:rsidR="006E3AAE">
        <w:t>categories</w:t>
      </w:r>
      <w:r>
        <w:t xml:space="preserve"> in intramural courses and extramural courses for females. But males were less likely to complete extramural courses using the Web-Enhanced delivery mode compared to the other e-learning delivery modes. T</w:t>
      </w:r>
      <w:r w:rsidR="006E61C3">
        <w:t>his is in contrast to the system-</w:t>
      </w:r>
      <w:r>
        <w:t>level finding</w:t>
      </w:r>
      <w:r w:rsidR="005F22B1">
        <w:t>,</w:t>
      </w:r>
      <w:r>
        <w:t xml:space="preserve"> where</w:t>
      </w:r>
      <w:r w:rsidR="0004043A">
        <w:t xml:space="preserve"> extramural</w:t>
      </w:r>
      <w:r w:rsidR="00BA6E0E" w:rsidRPr="00BA6E0E">
        <w:t xml:space="preserve"> </w:t>
      </w:r>
      <w:r w:rsidR="00BA6E0E">
        <w:t>Web-Enhanced</w:t>
      </w:r>
      <w:r w:rsidR="0004043A">
        <w:t xml:space="preserve"> courses had higher </w:t>
      </w:r>
      <w:r w:rsidR="008E4F3C">
        <w:t>levels of</w:t>
      </w:r>
      <w:r w:rsidR="0004043A">
        <w:t xml:space="preserve"> achievement </w:t>
      </w:r>
      <w:r>
        <w:t>than the other e-learning delivery modes.</w:t>
      </w:r>
    </w:p>
    <w:p w:rsidR="00B50BD3" w:rsidRDefault="00B50BD3" w:rsidP="009C4005">
      <w:pPr>
        <w:pStyle w:val="Heading3"/>
      </w:pPr>
      <w:bookmarkStart w:id="69" w:name="_Toc359233184"/>
      <w:r>
        <w:t>Age group e-learning category analysis</w:t>
      </w:r>
      <w:bookmarkEnd w:id="69"/>
    </w:p>
    <w:p w:rsidR="00B50BD3" w:rsidRDefault="00B50BD3" w:rsidP="003D6178">
      <w:pPr>
        <w:pStyle w:val="BodyText"/>
      </w:pPr>
      <w:r>
        <w:t xml:space="preserve">The under 25 year olds and the 25-39 year olds had their highest </w:t>
      </w:r>
      <w:r w:rsidR="00DF74D4">
        <w:t>extramural</w:t>
      </w:r>
      <w:r>
        <w:t xml:space="preserve"> course completion rate in the Web-Based delivery mode. In contrast</w:t>
      </w:r>
      <w:r w:rsidR="00883D9F">
        <w:t>,</w:t>
      </w:r>
      <w:r>
        <w:t xml:space="preserve"> the 40+ age group had their highest </w:t>
      </w:r>
      <w:r w:rsidR="00DF74D4">
        <w:t xml:space="preserve">extramural </w:t>
      </w:r>
      <w:r>
        <w:t>completion rate in the Web-Supported delivery</w:t>
      </w:r>
      <w:r w:rsidR="00DF74D4">
        <w:t xml:space="preserve"> mode</w:t>
      </w:r>
      <w:r w:rsidRPr="004D33A7">
        <w:t xml:space="preserve">. </w:t>
      </w:r>
      <w:r>
        <w:t xml:space="preserve">All </w:t>
      </w:r>
      <w:r w:rsidRPr="001012C4">
        <w:t>of</w:t>
      </w:r>
      <w:r>
        <w:t xml:space="preserve"> the age groups</w:t>
      </w:r>
      <w:r w:rsidR="00DF74D4">
        <w:t>,</w:t>
      </w:r>
      <w:r>
        <w:t xml:space="preserve"> </w:t>
      </w:r>
      <w:r w:rsidR="008E4F3C" w:rsidRPr="001012C4">
        <w:t>unlike</w:t>
      </w:r>
      <w:r w:rsidRPr="001012C4">
        <w:t xml:space="preserve"> our system</w:t>
      </w:r>
      <w:r w:rsidR="006E61C3">
        <w:t>-</w:t>
      </w:r>
      <w:r w:rsidRPr="001012C4">
        <w:t>level finding</w:t>
      </w:r>
      <w:r>
        <w:t xml:space="preserve">, were less likely to complete extramural courses delivered through the Web-Enhanced delivery mode.  </w:t>
      </w:r>
    </w:p>
    <w:p w:rsidR="00B50BD3" w:rsidRDefault="00B50BD3" w:rsidP="009C4005">
      <w:pPr>
        <w:pStyle w:val="Heading3"/>
      </w:pPr>
      <w:bookmarkStart w:id="70" w:name="_Toc359233185"/>
      <w:r>
        <w:t>Ethnic group e-learning category analysis</w:t>
      </w:r>
      <w:bookmarkEnd w:id="70"/>
    </w:p>
    <w:p w:rsidR="00B50BD3" w:rsidRDefault="00BA2C1C" w:rsidP="003D6178">
      <w:pPr>
        <w:spacing w:after="240"/>
        <w:jc w:val="both"/>
      </w:pPr>
      <w:r>
        <w:t>A</w:t>
      </w:r>
      <w:r w:rsidR="00B50BD3">
        <w:t>ll the ethnic groups had a large decline in their</w:t>
      </w:r>
      <w:r w:rsidR="00B50BD3" w:rsidRPr="003954C4">
        <w:t xml:space="preserve"> </w:t>
      </w:r>
      <w:r w:rsidR="00B50BD3">
        <w:t xml:space="preserve">Web-Supported extramural courses and strong growth in Web-Enhanced extramural courses. </w:t>
      </w:r>
      <w:r w:rsidR="001F6D0A">
        <w:t xml:space="preserve">However, despite a large decrease in their extramural Web-Supported courses, Pasifika and Asians still maintained higher levels of participation </w:t>
      </w:r>
      <w:r w:rsidR="001F6D0A" w:rsidRPr="00DB321F">
        <w:t>in them</w:t>
      </w:r>
      <w:r w:rsidR="001F6D0A">
        <w:t xml:space="preserve">. </w:t>
      </w:r>
      <w:r>
        <w:t>All the ethnic groups had growth in e</w:t>
      </w:r>
      <w:r w:rsidR="00B50BD3">
        <w:t>xtramural Web-</w:t>
      </w:r>
      <w:r w:rsidR="006E61C3">
        <w:t xml:space="preserve">Based, </w:t>
      </w:r>
      <w:r w:rsidR="002165DB">
        <w:t xml:space="preserve">which </w:t>
      </w:r>
      <w:r w:rsidR="00B50BD3">
        <w:t>meant that</w:t>
      </w:r>
      <w:r w:rsidR="002165DB">
        <w:t xml:space="preserve"> by 2011</w:t>
      </w:r>
      <w:r w:rsidR="00B50BD3">
        <w:t xml:space="preserve"> Europeans and Māori had higher levels of participation in extramural</w:t>
      </w:r>
      <w:r w:rsidR="008E4F3C">
        <w:t xml:space="preserve"> </w:t>
      </w:r>
      <w:r w:rsidR="00B50BD3">
        <w:t>Web-Based courses</w:t>
      </w:r>
      <w:r w:rsidR="008E4F3C">
        <w:t>.</w:t>
      </w:r>
      <w:r w:rsidR="00B50BD3">
        <w:t xml:space="preserve"> </w:t>
      </w:r>
    </w:p>
    <w:p w:rsidR="00B50BD3" w:rsidRDefault="00B50BD3" w:rsidP="003D6178">
      <w:pPr>
        <w:pStyle w:val="BodyText"/>
        <w:rPr>
          <w:noProof/>
          <w:lang w:eastAsia="en-NZ"/>
        </w:rPr>
      </w:pPr>
      <w:r w:rsidRPr="00FC24AA">
        <w:rPr>
          <w:noProof/>
          <w:lang w:eastAsia="en-NZ"/>
        </w:rPr>
        <w:t xml:space="preserve">Europeans had a higher </w:t>
      </w:r>
      <w:r w:rsidR="002165DB">
        <w:rPr>
          <w:noProof/>
          <w:lang w:eastAsia="en-NZ"/>
        </w:rPr>
        <w:t xml:space="preserve">participation </w:t>
      </w:r>
      <w:r w:rsidRPr="00FC24AA">
        <w:rPr>
          <w:noProof/>
          <w:lang w:eastAsia="en-NZ"/>
        </w:rPr>
        <w:t>rate than the other ethnic groups in extramural</w:t>
      </w:r>
      <w:r w:rsidR="0004043A" w:rsidRPr="00FC24AA">
        <w:rPr>
          <w:noProof/>
          <w:lang w:eastAsia="en-NZ"/>
        </w:rPr>
        <w:t xml:space="preserve"> </w:t>
      </w:r>
      <w:r w:rsidR="002165DB">
        <w:rPr>
          <w:noProof/>
          <w:lang w:eastAsia="en-NZ"/>
        </w:rPr>
        <w:t xml:space="preserve">           </w:t>
      </w:r>
      <w:r w:rsidRPr="00FC24AA">
        <w:rPr>
          <w:noProof/>
          <w:lang w:eastAsia="en-NZ"/>
        </w:rPr>
        <w:t xml:space="preserve">Web-Enhanced and Web-Based courses. But Asians had the highest rate in extramural </w:t>
      </w:r>
      <w:r w:rsidR="002165DB">
        <w:rPr>
          <w:noProof/>
          <w:lang w:eastAsia="en-NZ"/>
        </w:rPr>
        <w:t xml:space="preserve">       </w:t>
      </w:r>
      <w:r w:rsidRPr="00FC24AA">
        <w:rPr>
          <w:noProof/>
          <w:lang w:eastAsia="en-NZ"/>
        </w:rPr>
        <w:t>Web-Supported courses. Pasifika had the lowest completion rate in extramural Web-Supported and</w:t>
      </w:r>
      <w:r w:rsidR="00333DAB" w:rsidRPr="00FC24AA">
        <w:rPr>
          <w:noProof/>
          <w:lang w:eastAsia="en-NZ"/>
        </w:rPr>
        <w:t xml:space="preserve"> </w:t>
      </w:r>
      <w:r w:rsidRPr="00FC24AA">
        <w:rPr>
          <w:noProof/>
          <w:lang w:eastAsia="en-NZ"/>
        </w:rPr>
        <w:t>Web-Based courses</w:t>
      </w:r>
      <w:r w:rsidR="00FC24AA">
        <w:rPr>
          <w:noProof/>
          <w:lang w:eastAsia="en-NZ"/>
        </w:rPr>
        <w:t>; h</w:t>
      </w:r>
      <w:r w:rsidR="00BA2C1C" w:rsidRPr="00FC24AA">
        <w:rPr>
          <w:noProof/>
          <w:lang w:eastAsia="en-NZ"/>
        </w:rPr>
        <w:t>owever,</w:t>
      </w:r>
      <w:r w:rsidRPr="00FC24AA">
        <w:rPr>
          <w:noProof/>
          <w:lang w:eastAsia="en-NZ"/>
        </w:rPr>
        <w:t xml:space="preserve"> </w:t>
      </w:r>
      <w:r w:rsidR="00333DAB" w:rsidRPr="00FC24AA">
        <w:rPr>
          <w:noProof/>
          <w:lang w:eastAsia="en-NZ"/>
        </w:rPr>
        <w:t xml:space="preserve">Māori </w:t>
      </w:r>
      <w:r w:rsidRPr="00FC24AA">
        <w:rPr>
          <w:noProof/>
          <w:lang w:eastAsia="en-NZ"/>
        </w:rPr>
        <w:t xml:space="preserve">had a </w:t>
      </w:r>
      <w:r w:rsidR="00333DAB" w:rsidRPr="00FC24AA">
        <w:rPr>
          <w:noProof/>
          <w:lang w:eastAsia="en-NZ"/>
        </w:rPr>
        <w:t>lower</w:t>
      </w:r>
      <w:r w:rsidRPr="00FC24AA">
        <w:rPr>
          <w:noProof/>
          <w:lang w:eastAsia="en-NZ"/>
        </w:rPr>
        <w:t xml:space="preserve"> rate in extramural Web-Enhanced courses.</w:t>
      </w:r>
      <w:r>
        <w:rPr>
          <w:noProof/>
          <w:lang w:eastAsia="en-NZ"/>
        </w:rPr>
        <w:t xml:space="preserve"> </w:t>
      </w:r>
    </w:p>
    <w:p w:rsidR="00B50BD3" w:rsidRDefault="00B50BD3" w:rsidP="009C4005">
      <w:pPr>
        <w:pStyle w:val="Heading3"/>
        <w:rPr>
          <w:noProof/>
          <w:lang w:eastAsia="en-NZ"/>
        </w:rPr>
      </w:pPr>
      <w:bookmarkStart w:id="71" w:name="_Toc359233186"/>
      <w:r>
        <w:rPr>
          <w:noProof/>
          <w:lang w:eastAsia="en-NZ"/>
        </w:rPr>
        <w:t>Pre-enrolment activity e-learning category analysis</w:t>
      </w:r>
      <w:bookmarkEnd w:id="71"/>
    </w:p>
    <w:p w:rsidR="00B50BD3" w:rsidRDefault="00A71896" w:rsidP="003D6178">
      <w:pPr>
        <w:pStyle w:val="BodyText"/>
      </w:pPr>
      <w:r>
        <w:t>Regardless of pre-enrolment activity</w:t>
      </w:r>
      <w:r w:rsidR="00BF5611">
        <w:t>,</w:t>
      </w:r>
      <w:r>
        <w:t xml:space="preserve"> all students </w:t>
      </w:r>
      <w:r w:rsidR="00B50BD3">
        <w:t xml:space="preserve">had a major decline in their </w:t>
      </w:r>
      <w:r w:rsidR="0004043A">
        <w:t xml:space="preserve">participation in </w:t>
      </w:r>
      <w:r w:rsidR="00B50BD3">
        <w:t xml:space="preserve">extramural Web-Supported courses and large growth in their </w:t>
      </w:r>
      <w:r w:rsidR="0004043A">
        <w:t xml:space="preserve">participation in </w:t>
      </w:r>
      <w:r w:rsidR="00B50BD3">
        <w:t xml:space="preserve">extramural </w:t>
      </w:r>
      <w:r>
        <w:t xml:space="preserve">    </w:t>
      </w:r>
      <w:r w:rsidR="00B50BD3">
        <w:t xml:space="preserve">Web-Enhanced and Web-Based courses. </w:t>
      </w:r>
      <w:r w:rsidR="005526CD">
        <w:t>Despite these growth patterns</w:t>
      </w:r>
      <w:r w:rsidR="00BF5611">
        <w:t>,</w:t>
      </w:r>
      <w:r w:rsidR="005526CD">
        <w:t xml:space="preserve"> t</w:t>
      </w:r>
      <w:r w:rsidR="00B50BD3">
        <w:t xml:space="preserve">he </w:t>
      </w:r>
      <w:r w:rsidR="002165DB">
        <w:t xml:space="preserve">                       </w:t>
      </w:r>
      <w:r w:rsidR="00B50BD3">
        <w:t>house</w:t>
      </w:r>
      <w:r w:rsidR="00E21DBD">
        <w:t>-</w:t>
      </w:r>
      <w:r w:rsidR="00B50BD3">
        <w:t xml:space="preserve">person/retired and not working groups </w:t>
      </w:r>
      <w:r w:rsidR="00455ECE">
        <w:t xml:space="preserve">by 2011 were more likely to participate in </w:t>
      </w:r>
      <w:r w:rsidR="002165DB">
        <w:t xml:space="preserve">     </w:t>
      </w:r>
      <w:r w:rsidR="005526CD">
        <w:t xml:space="preserve">Web-Supported </w:t>
      </w:r>
      <w:r w:rsidR="00455ECE">
        <w:t>extramural courses</w:t>
      </w:r>
      <w:r w:rsidR="00B50BD3">
        <w:t xml:space="preserve">. </w:t>
      </w:r>
      <w:r w:rsidR="005526CD">
        <w:t>However, the</w:t>
      </w:r>
      <w:r w:rsidR="00455ECE">
        <w:t xml:space="preserve"> other group</w:t>
      </w:r>
      <w:r w:rsidR="005526CD">
        <w:t>s</w:t>
      </w:r>
      <w:r w:rsidR="00455ECE">
        <w:t xml:space="preserve"> were more likely to participate in </w:t>
      </w:r>
      <w:r w:rsidR="005526CD">
        <w:t xml:space="preserve">Web-Based </w:t>
      </w:r>
      <w:r w:rsidR="00455ECE">
        <w:t>extramural courses</w:t>
      </w:r>
      <w:r w:rsidR="00B50BD3">
        <w:t>.</w:t>
      </w:r>
    </w:p>
    <w:p w:rsidR="00B50BD3" w:rsidRDefault="00B50BD3" w:rsidP="009C4005">
      <w:pPr>
        <w:pStyle w:val="Heading3"/>
        <w:rPr>
          <w:noProof/>
          <w:lang w:eastAsia="en-NZ"/>
        </w:rPr>
      </w:pPr>
      <w:bookmarkStart w:id="72" w:name="_Toc359233188"/>
      <w:r>
        <w:rPr>
          <w:noProof/>
          <w:lang w:eastAsia="en-NZ"/>
        </w:rPr>
        <w:t>Sub-sector e-learning category analysis</w:t>
      </w:r>
      <w:bookmarkEnd w:id="72"/>
    </w:p>
    <w:p w:rsidR="00B50BD3" w:rsidRDefault="00B50BD3" w:rsidP="003D6178">
      <w:pPr>
        <w:pStyle w:val="BodyText"/>
        <w:rPr>
          <w:noProof/>
          <w:lang w:eastAsia="en-NZ"/>
        </w:rPr>
      </w:pPr>
      <w:r>
        <w:rPr>
          <w:noProof/>
          <w:lang w:eastAsia="en-NZ"/>
        </w:rPr>
        <w:t xml:space="preserve">PTEs had </w:t>
      </w:r>
      <w:r w:rsidR="002344F2">
        <w:rPr>
          <w:noProof/>
          <w:lang w:eastAsia="en-NZ"/>
        </w:rPr>
        <w:t>the highest</w:t>
      </w:r>
      <w:r>
        <w:rPr>
          <w:noProof/>
          <w:lang w:eastAsia="en-NZ"/>
        </w:rPr>
        <w:t xml:space="preserve"> proportion of extramural Web-Supported and</w:t>
      </w:r>
      <w:r w:rsidR="002344F2">
        <w:rPr>
          <w:noProof/>
          <w:lang w:eastAsia="en-NZ"/>
        </w:rPr>
        <w:t xml:space="preserve"> </w:t>
      </w:r>
      <w:r>
        <w:rPr>
          <w:noProof/>
          <w:lang w:eastAsia="en-NZ"/>
        </w:rPr>
        <w:t xml:space="preserve">Web-Enhanced provision. </w:t>
      </w:r>
      <w:r w:rsidR="00B7245E">
        <w:rPr>
          <w:noProof/>
          <w:lang w:eastAsia="en-NZ"/>
        </w:rPr>
        <w:t>However,</w:t>
      </w:r>
      <w:r>
        <w:rPr>
          <w:noProof/>
          <w:lang w:eastAsia="en-NZ"/>
        </w:rPr>
        <w:t xml:space="preserve"> wānanga had the highest proportion of extramural Web-Based provision.   </w:t>
      </w:r>
    </w:p>
    <w:p w:rsidR="00B50BD3" w:rsidRDefault="00B50BD3" w:rsidP="009C4005">
      <w:pPr>
        <w:pStyle w:val="Heading3"/>
        <w:rPr>
          <w:noProof/>
          <w:lang w:eastAsia="en-NZ"/>
        </w:rPr>
      </w:pPr>
      <w:bookmarkStart w:id="73" w:name="_Toc359233189"/>
      <w:r>
        <w:rPr>
          <w:noProof/>
          <w:lang w:eastAsia="en-NZ"/>
        </w:rPr>
        <w:t>Field of study e-learning category analysis</w:t>
      </w:r>
      <w:bookmarkEnd w:id="73"/>
    </w:p>
    <w:p w:rsidR="00B50BD3" w:rsidRDefault="002165DB" w:rsidP="003D6178">
      <w:pPr>
        <w:spacing w:after="240"/>
        <w:jc w:val="both"/>
      </w:pPr>
      <w:r>
        <w:t>Education and Creative Arts were the only fields that did not have Web-Supported as the          e-learning category with the highest proportion of their extramural e-learning provision. For Education, Web-Based was the e-learning category with the highest proportion of extramural   e-learning provision, and for Creative Arts it was Web-Enhanced.</w:t>
      </w:r>
      <w:r w:rsidR="00B50BD3">
        <w:t xml:space="preserve"> Information Technology, Architecture and Building, Agriculture, Environmental and Related Studies, Management and Commerce, Society and Culture</w:t>
      </w:r>
      <w:r w:rsidR="00455ECE">
        <w:t>,</w:t>
      </w:r>
      <w:r w:rsidR="00B50BD3">
        <w:t xml:space="preserve"> and Food, Hospitality and Personal Services had </w:t>
      </w:r>
      <w:r>
        <w:t xml:space="preserve">              </w:t>
      </w:r>
      <w:r w:rsidR="00B50BD3">
        <w:t>Web-Enhanced as their smallest share of extramural provision.</w:t>
      </w:r>
    </w:p>
    <w:p w:rsidR="00B50BD3" w:rsidRDefault="00B50BD3" w:rsidP="00B50BD3">
      <w:pPr>
        <w:pStyle w:val="BodyText"/>
        <w:rPr>
          <w:lang w:eastAsia="en-NZ"/>
        </w:rPr>
      </w:pPr>
    </w:p>
    <w:p w:rsidR="00795915" w:rsidRDefault="00B50BD3">
      <w:pPr>
        <w:pStyle w:val="Appendix"/>
        <w:tabs>
          <w:tab w:val="clear" w:pos="1134"/>
          <w:tab w:val="clear" w:pos="3148"/>
          <w:tab w:val="num" w:pos="2127"/>
        </w:tabs>
        <w:ind w:left="2127" w:hanging="2127"/>
      </w:pPr>
      <w:bookmarkStart w:id="74" w:name="_Toc359233190"/>
      <w:bookmarkStart w:id="75" w:name="_Toc379545926"/>
      <w:r>
        <w:lastRenderedPageBreak/>
        <w:t>The Open Polytechnic of New Zealand case study</w:t>
      </w:r>
      <w:bookmarkEnd w:id="74"/>
      <w:bookmarkEnd w:id="75"/>
    </w:p>
    <w:p w:rsidR="00B50BD3" w:rsidRDefault="00B50BD3" w:rsidP="004147FE">
      <w:pPr>
        <w:pStyle w:val="Heading3"/>
      </w:pPr>
      <w:bookmarkStart w:id="76" w:name="_Toc359233191"/>
      <w:r>
        <w:t>Student profiles</w:t>
      </w:r>
      <w:bookmarkEnd w:id="76"/>
    </w:p>
    <w:p w:rsidR="00B50BD3" w:rsidRDefault="00A22A81" w:rsidP="003D6178">
      <w:pPr>
        <w:spacing w:after="240"/>
        <w:jc w:val="both"/>
      </w:pPr>
      <w:r>
        <w:t>T</w:t>
      </w:r>
      <w:r w:rsidR="00B50BD3">
        <w:t xml:space="preserve">he Open Polytechnic </w:t>
      </w:r>
      <w:r w:rsidR="00D2172D">
        <w:t>provides most of the extramural courses</w:t>
      </w:r>
      <w:r w:rsidR="00B50BD3">
        <w:t xml:space="preserve"> in the polytechnic sector. Each year approximately 41,000 people study with the Open Polytechnic. </w:t>
      </w:r>
      <w:r>
        <w:t xml:space="preserve">Around </w:t>
      </w:r>
      <w:r w:rsidR="00B50BD3">
        <w:t>96 percent</w:t>
      </w:r>
      <w:r w:rsidR="00DB199A">
        <w:t xml:space="preserve"> of these students</w:t>
      </w:r>
      <w:r w:rsidR="00B50BD3">
        <w:t xml:space="preserve"> are studying part-time (compared to the polytechnic sector average of 57 percent).</w:t>
      </w:r>
    </w:p>
    <w:p w:rsidR="00B50BD3" w:rsidRDefault="00B50BD3" w:rsidP="003D6178">
      <w:pPr>
        <w:spacing w:after="240"/>
        <w:jc w:val="both"/>
      </w:pPr>
      <w:r>
        <w:rPr>
          <w:szCs w:val="22"/>
        </w:rPr>
        <w:t>One of the</w:t>
      </w:r>
      <w:r w:rsidRPr="00F025DB">
        <w:rPr>
          <w:szCs w:val="22"/>
        </w:rPr>
        <w:t xml:space="preserve"> Open Polytechnic’s key </w:t>
      </w:r>
      <w:r>
        <w:rPr>
          <w:szCs w:val="22"/>
        </w:rPr>
        <w:t>student markets</w:t>
      </w:r>
      <w:r w:rsidRPr="00F025DB">
        <w:rPr>
          <w:szCs w:val="22"/>
        </w:rPr>
        <w:t xml:space="preserve"> </w:t>
      </w:r>
      <w:r>
        <w:rPr>
          <w:szCs w:val="22"/>
        </w:rPr>
        <w:t>is</w:t>
      </w:r>
      <w:r w:rsidRPr="00F025DB">
        <w:rPr>
          <w:szCs w:val="22"/>
        </w:rPr>
        <w:t xml:space="preserve"> peo</w:t>
      </w:r>
      <w:r w:rsidRPr="00A637A5">
        <w:rPr>
          <w:szCs w:val="22"/>
        </w:rPr>
        <w:t>ple in work</w:t>
      </w:r>
      <w:r>
        <w:rPr>
          <w:szCs w:val="22"/>
        </w:rPr>
        <w:t xml:space="preserve"> who are </w:t>
      </w:r>
      <w:r w:rsidRPr="00A637A5">
        <w:rPr>
          <w:szCs w:val="22"/>
        </w:rPr>
        <w:t xml:space="preserve">seeking to </w:t>
      </w:r>
      <w:r w:rsidR="00620F6A">
        <w:rPr>
          <w:szCs w:val="22"/>
        </w:rPr>
        <w:t xml:space="preserve">        </w:t>
      </w:r>
      <w:r w:rsidRPr="00A637A5">
        <w:rPr>
          <w:szCs w:val="22"/>
        </w:rPr>
        <w:t>up</w:t>
      </w:r>
      <w:r>
        <w:rPr>
          <w:szCs w:val="22"/>
        </w:rPr>
        <w:t>-</w:t>
      </w:r>
      <w:r w:rsidRPr="003930E6">
        <w:rPr>
          <w:szCs w:val="22"/>
        </w:rPr>
        <w:t>skill</w:t>
      </w:r>
      <w:r w:rsidR="00A22A81" w:rsidRPr="003930E6">
        <w:rPr>
          <w:szCs w:val="22"/>
        </w:rPr>
        <w:t>;</w:t>
      </w:r>
      <w:r>
        <w:rPr>
          <w:szCs w:val="22"/>
        </w:rPr>
        <w:t xml:space="preserve"> </w:t>
      </w:r>
      <w:r>
        <w:t xml:space="preserve">72 percent of </w:t>
      </w:r>
      <w:r w:rsidR="00836B86">
        <w:t>its</w:t>
      </w:r>
      <w:r>
        <w:t xml:space="preserve"> students are studying while in employment compared to the polytechnic sector average of 46 percent</w:t>
      </w:r>
      <w:r w:rsidRPr="00A637A5">
        <w:rPr>
          <w:szCs w:val="22"/>
        </w:rPr>
        <w:t xml:space="preserve">. </w:t>
      </w:r>
      <w:r w:rsidR="00CA7FE8">
        <w:rPr>
          <w:szCs w:val="22"/>
        </w:rPr>
        <w:t>Workplace</w:t>
      </w:r>
      <w:r w:rsidRPr="00A637A5">
        <w:rPr>
          <w:szCs w:val="22"/>
        </w:rPr>
        <w:t xml:space="preserve"> learners </w:t>
      </w:r>
      <w:r>
        <w:rPr>
          <w:szCs w:val="22"/>
        </w:rPr>
        <w:t>want</w:t>
      </w:r>
      <w:r w:rsidR="00620F6A">
        <w:rPr>
          <w:szCs w:val="22"/>
        </w:rPr>
        <w:t xml:space="preserve"> </w:t>
      </w:r>
      <w:r w:rsidRPr="00A637A5">
        <w:rPr>
          <w:szCs w:val="22"/>
        </w:rPr>
        <w:t>flexibility and convenience</w:t>
      </w:r>
      <w:r w:rsidR="00620F6A">
        <w:rPr>
          <w:szCs w:val="22"/>
        </w:rPr>
        <w:t xml:space="preserve"> </w:t>
      </w:r>
      <w:r w:rsidR="003930E6">
        <w:rPr>
          <w:szCs w:val="22"/>
        </w:rPr>
        <w:t xml:space="preserve">to </w:t>
      </w:r>
      <w:r w:rsidRPr="00A637A5">
        <w:rPr>
          <w:szCs w:val="22"/>
        </w:rPr>
        <w:t>fit</w:t>
      </w:r>
      <w:r>
        <w:rPr>
          <w:szCs w:val="22"/>
        </w:rPr>
        <w:t xml:space="preserve"> their</w:t>
      </w:r>
      <w:r w:rsidRPr="00A637A5">
        <w:rPr>
          <w:szCs w:val="22"/>
        </w:rPr>
        <w:t xml:space="preserve"> study around </w:t>
      </w:r>
      <w:r>
        <w:rPr>
          <w:szCs w:val="22"/>
        </w:rPr>
        <w:t xml:space="preserve">their </w:t>
      </w:r>
      <w:r w:rsidRPr="00A637A5">
        <w:rPr>
          <w:szCs w:val="22"/>
        </w:rPr>
        <w:t>work and other commitments.</w:t>
      </w:r>
      <w:r>
        <w:rPr>
          <w:szCs w:val="22"/>
        </w:rPr>
        <w:t xml:space="preserve"> </w:t>
      </w:r>
      <w:r>
        <w:t xml:space="preserve">These workplace student groups include professional </w:t>
      </w:r>
      <w:r w:rsidR="00A22A81">
        <w:t xml:space="preserve">groups such as </w:t>
      </w:r>
      <w:r>
        <w:t>pharmacy technicians</w:t>
      </w:r>
      <w:r w:rsidR="00A22A81">
        <w:t>,</w:t>
      </w:r>
      <w:r w:rsidRPr="006D3CF2">
        <w:t xml:space="preserve"> j</w:t>
      </w:r>
      <w:r w:rsidRPr="00006D40">
        <w:t>ustices of the peace</w:t>
      </w:r>
      <w:r w:rsidR="00CB1B5F">
        <w:t>,</w:t>
      </w:r>
      <w:r w:rsidRPr="00006D40">
        <w:t xml:space="preserve"> </w:t>
      </w:r>
      <w:r>
        <w:t>and</w:t>
      </w:r>
      <w:r w:rsidR="00A22A81">
        <w:t xml:space="preserve"> </w:t>
      </w:r>
      <w:r>
        <w:t xml:space="preserve">real estate agents. </w:t>
      </w:r>
    </w:p>
    <w:p w:rsidR="00B50BD3" w:rsidRDefault="00B50BD3" w:rsidP="003D6178">
      <w:pPr>
        <w:spacing w:after="240"/>
        <w:jc w:val="both"/>
      </w:pPr>
      <w:r w:rsidRPr="00190230">
        <w:t>In 20</w:t>
      </w:r>
      <w:r>
        <w:t xml:space="preserve">11, 90 percent of the Open Polytechnic’s students at </w:t>
      </w:r>
      <w:r w:rsidR="00E2796F">
        <w:t>L</w:t>
      </w:r>
      <w:r w:rsidRPr="001012C4">
        <w:t>evel</w:t>
      </w:r>
      <w:r>
        <w:t xml:space="preserve"> 1 were Māori or Pasifika</w:t>
      </w:r>
      <w:r w:rsidR="00DB199A">
        <w:t>. A</w:t>
      </w:r>
      <w:r>
        <w:t xml:space="preserve">nd 83 percent of all Pasifika students and 26 percent of all Māori students studying in the polytechnic sector at </w:t>
      </w:r>
      <w:r w:rsidRPr="001012C4">
        <w:t>Level</w:t>
      </w:r>
      <w:r>
        <w:t xml:space="preserve"> 1 on the </w:t>
      </w:r>
      <w:r w:rsidR="00A22A81">
        <w:t xml:space="preserve">New Zealand </w:t>
      </w:r>
      <w:r>
        <w:t>Qualifications Framework were studying at the Open Polytechnic.</w:t>
      </w:r>
      <w:r w:rsidR="00CA7FE8">
        <w:t xml:space="preserve"> </w:t>
      </w:r>
      <w:r w:rsidRPr="001012C4">
        <w:t>The</w:t>
      </w:r>
      <w:r>
        <w:t xml:space="preserve"> Open Polytechnic also has a large number of </w:t>
      </w:r>
      <w:r w:rsidRPr="00190230">
        <w:t>older, female</w:t>
      </w:r>
      <w:r>
        <w:t xml:space="preserve"> learners</w:t>
      </w:r>
      <w:r w:rsidR="00A203E6">
        <w:t>, and</w:t>
      </w:r>
      <w:r w:rsidR="003930E6">
        <w:t xml:space="preserve"> provides</w:t>
      </w:r>
      <w:r>
        <w:t xml:space="preserve"> options for students returning to tertiary education who are unable to commit to full-time study. Other student groups include those who cannot study at a physical institution</w:t>
      </w:r>
      <w:r w:rsidR="008C1880">
        <w:t>,</w:t>
      </w:r>
      <w:r>
        <w:t xml:space="preserve"> such as prisoners, those in the armed services who wish to study while </w:t>
      </w:r>
      <w:r w:rsidR="0034386F">
        <w:t>on active duty overeas</w:t>
      </w:r>
      <w:r>
        <w:t>, and learners in remote locations.</w:t>
      </w:r>
    </w:p>
    <w:p w:rsidR="00B50BD3" w:rsidRDefault="00B50BD3" w:rsidP="003D6178">
      <w:pPr>
        <w:spacing w:after="240"/>
        <w:jc w:val="both"/>
      </w:pPr>
      <w:r>
        <w:t xml:space="preserve">While there are many degree-level students, large numbers also study </w:t>
      </w:r>
      <w:r w:rsidRPr="005E7635">
        <w:t>shorter vocational</w:t>
      </w:r>
      <w:r>
        <w:t xml:space="preserve"> qualifications such as certificates and diplomas. A further group takes some courses with the Open Polytechnic while completing their qualification at another provider. </w:t>
      </w:r>
    </w:p>
    <w:p w:rsidR="00B50BD3" w:rsidRDefault="00B50BD3" w:rsidP="003D6178">
      <w:pPr>
        <w:spacing w:after="240"/>
        <w:jc w:val="both"/>
      </w:pPr>
      <w:r>
        <w:t xml:space="preserve">The Open Polytechnic uses student profiles to help determine the most effective learning approaches. These profiles are constructed on a </w:t>
      </w:r>
      <w:r w:rsidRPr="00DA6F9A">
        <w:t>programme</w:t>
      </w:r>
      <w:r w:rsidR="00DA6F9A">
        <w:t>-</w:t>
      </w:r>
      <w:r w:rsidRPr="00DA6F9A">
        <w:t>specific</w:t>
      </w:r>
      <w:r>
        <w:t xml:space="preserve"> basis. Data from various sources including past programmes and liaisons with partner providers is used to construct the profiles.</w:t>
      </w:r>
    </w:p>
    <w:p w:rsidR="00B50BD3" w:rsidRDefault="00C07928" w:rsidP="003D6178">
      <w:pPr>
        <w:pStyle w:val="Heading3"/>
        <w:jc w:val="both"/>
      </w:pPr>
      <w:r>
        <w:t>2012 EFTS load</w:t>
      </w:r>
      <w:r w:rsidR="00B50BD3" w:rsidRPr="00DB3178">
        <w:t xml:space="preserve"> differences between </w:t>
      </w:r>
      <w:r w:rsidR="00196C62">
        <w:t xml:space="preserve">The </w:t>
      </w:r>
      <w:r w:rsidR="00B50BD3" w:rsidRPr="00DB3178">
        <w:t xml:space="preserve">Open Polytechnic and </w:t>
      </w:r>
      <w:r w:rsidR="00B50BD3">
        <w:t>the polytechnic</w:t>
      </w:r>
      <w:r w:rsidR="00B50BD3" w:rsidRPr="00DB3178">
        <w:t xml:space="preserve"> sector </w:t>
      </w:r>
    </w:p>
    <w:tbl>
      <w:tblPr>
        <w:tblW w:w="5530" w:type="dxa"/>
        <w:tblInd w:w="-794" w:type="dxa"/>
        <w:tblBorders>
          <w:top w:val="single" w:sz="4" w:space="0" w:color="7F7F7F"/>
          <w:left w:val="single" w:sz="4" w:space="0" w:color="7F7F7F"/>
          <w:bottom w:val="single" w:sz="4" w:space="0" w:color="7F7F7F"/>
          <w:right w:val="single" w:sz="4" w:space="0" w:color="7F7F7F"/>
          <w:insideV w:val="single" w:sz="4" w:space="0" w:color="7F7F7F"/>
        </w:tblBorders>
        <w:tblLayout w:type="fixed"/>
        <w:tblCellMar>
          <w:top w:w="57" w:type="dxa"/>
          <w:left w:w="57" w:type="dxa"/>
          <w:bottom w:w="57" w:type="dxa"/>
          <w:right w:w="57" w:type="dxa"/>
        </w:tblCellMar>
        <w:tblLook w:val="00A0"/>
      </w:tblPr>
      <w:tblGrid>
        <w:gridCol w:w="1702"/>
        <w:gridCol w:w="1276"/>
        <w:gridCol w:w="1276"/>
        <w:gridCol w:w="1276"/>
      </w:tblGrid>
      <w:tr w:rsidR="00C07928" w:rsidTr="00C07928">
        <w:tc>
          <w:tcPr>
            <w:tcW w:w="1702" w:type="dxa"/>
            <w:tcBorders>
              <w:top w:val="single" w:sz="4" w:space="0" w:color="7F7F7F"/>
              <w:bottom w:val="single" w:sz="4" w:space="0" w:color="7F7F7F"/>
            </w:tcBorders>
            <w:shd w:val="clear" w:color="auto" w:fill="C2D8EA"/>
          </w:tcPr>
          <w:p w:rsidR="00C07928" w:rsidRPr="003664C2" w:rsidRDefault="00C07928" w:rsidP="00344754">
            <w:pPr>
              <w:pStyle w:val="Tabletext"/>
              <w:jc w:val="both"/>
            </w:pPr>
          </w:p>
        </w:tc>
        <w:tc>
          <w:tcPr>
            <w:tcW w:w="1276" w:type="dxa"/>
            <w:tcBorders>
              <w:top w:val="single" w:sz="4" w:space="0" w:color="7F7F7F"/>
              <w:bottom w:val="single" w:sz="4" w:space="0" w:color="7F7F7F"/>
            </w:tcBorders>
            <w:shd w:val="clear" w:color="auto" w:fill="C2D8EA"/>
          </w:tcPr>
          <w:p w:rsidR="00C07928" w:rsidRPr="003664C2" w:rsidRDefault="00C07928" w:rsidP="00344754">
            <w:pPr>
              <w:pStyle w:val="Tabletext"/>
              <w:jc w:val="both"/>
            </w:pPr>
            <w:r>
              <w:t>Heads</w:t>
            </w:r>
          </w:p>
        </w:tc>
        <w:tc>
          <w:tcPr>
            <w:tcW w:w="1276" w:type="dxa"/>
            <w:tcBorders>
              <w:top w:val="single" w:sz="4" w:space="0" w:color="7F7F7F"/>
              <w:bottom w:val="single" w:sz="4" w:space="0" w:color="7F7F7F"/>
            </w:tcBorders>
            <w:shd w:val="clear" w:color="auto" w:fill="C2D8EA"/>
          </w:tcPr>
          <w:p w:rsidR="00C07928" w:rsidRDefault="00C07928" w:rsidP="00344754">
            <w:pPr>
              <w:pStyle w:val="Tabletext"/>
              <w:jc w:val="both"/>
            </w:pPr>
            <w:r>
              <w:t>EFTS</w:t>
            </w:r>
          </w:p>
        </w:tc>
        <w:tc>
          <w:tcPr>
            <w:tcW w:w="1276" w:type="dxa"/>
            <w:tcBorders>
              <w:top w:val="single" w:sz="4" w:space="0" w:color="7F7F7F"/>
              <w:bottom w:val="single" w:sz="4" w:space="0" w:color="7F7F7F"/>
            </w:tcBorders>
            <w:shd w:val="clear" w:color="auto" w:fill="C2D8EA"/>
          </w:tcPr>
          <w:p w:rsidR="00C07928" w:rsidRPr="003664C2" w:rsidRDefault="00C07928" w:rsidP="00344754">
            <w:pPr>
              <w:pStyle w:val="Tabletext"/>
              <w:jc w:val="both"/>
            </w:pPr>
            <w:r>
              <w:t>Ratio</w:t>
            </w:r>
          </w:p>
        </w:tc>
      </w:tr>
      <w:tr w:rsidR="00C07928" w:rsidTr="00C07928">
        <w:trPr>
          <w:cantSplit/>
        </w:trPr>
        <w:tc>
          <w:tcPr>
            <w:tcW w:w="1702" w:type="dxa"/>
            <w:tcBorders>
              <w:top w:val="nil"/>
              <w:bottom w:val="nil"/>
            </w:tcBorders>
            <w:shd w:val="clear" w:color="auto" w:fill="C2D8EA"/>
          </w:tcPr>
          <w:p w:rsidR="00C07928" w:rsidRPr="003664C2" w:rsidRDefault="00C07928" w:rsidP="00344754">
            <w:pPr>
              <w:pStyle w:val="Tabletext"/>
              <w:jc w:val="both"/>
            </w:pPr>
            <w:r w:rsidRPr="00494C35">
              <w:t>The</w:t>
            </w:r>
            <w:r>
              <w:t xml:space="preserve"> Open Polytechnic of New Zealand</w:t>
            </w:r>
          </w:p>
        </w:tc>
        <w:tc>
          <w:tcPr>
            <w:tcW w:w="1276" w:type="dxa"/>
            <w:tcBorders>
              <w:top w:val="nil"/>
              <w:bottom w:val="nil"/>
            </w:tcBorders>
            <w:shd w:val="clear" w:color="auto" w:fill="C2D8EA"/>
          </w:tcPr>
          <w:p w:rsidR="00C07928" w:rsidRPr="003664C2" w:rsidRDefault="00C07928" w:rsidP="00344754">
            <w:pPr>
              <w:pStyle w:val="Tabletext"/>
              <w:jc w:val="both"/>
            </w:pPr>
            <w:r>
              <w:t>26,518</w:t>
            </w:r>
          </w:p>
        </w:tc>
        <w:tc>
          <w:tcPr>
            <w:tcW w:w="1276" w:type="dxa"/>
            <w:tcBorders>
              <w:top w:val="nil"/>
              <w:bottom w:val="nil"/>
            </w:tcBorders>
            <w:shd w:val="clear" w:color="auto" w:fill="C2D8EA"/>
          </w:tcPr>
          <w:p w:rsidR="00C07928" w:rsidRDefault="00C07928" w:rsidP="00344754">
            <w:pPr>
              <w:pStyle w:val="Tabletext"/>
              <w:jc w:val="both"/>
            </w:pPr>
            <w:r>
              <w:t>6,056</w:t>
            </w:r>
          </w:p>
        </w:tc>
        <w:tc>
          <w:tcPr>
            <w:tcW w:w="1276" w:type="dxa"/>
            <w:tcBorders>
              <w:top w:val="nil"/>
              <w:bottom w:val="nil"/>
            </w:tcBorders>
            <w:shd w:val="clear" w:color="auto" w:fill="C2D8EA"/>
          </w:tcPr>
          <w:p w:rsidR="00C07928" w:rsidRPr="003664C2" w:rsidRDefault="00C07928" w:rsidP="00344754">
            <w:pPr>
              <w:pStyle w:val="Tabletext"/>
              <w:jc w:val="both"/>
            </w:pPr>
            <w:r>
              <w:t>0.23</w:t>
            </w:r>
          </w:p>
        </w:tc>
      </w:tr>
      <w:tr w:rsidR="00C07928" w:rsidTr="00C07928">
        <w:trPr>
          <w:cantSplit/>
        </w:trPr>
        <w:tc>
          <w:tcPr>
            <w:tcW w:w="1702" w:type="dxa"/>
            <w:tcBorders>
              <w:top w:val="nil"/>
              <w:bottom w:val="nil"/>
            </w:tcBorders>
          </w:tcPr>
          <w:p w:rsidR="00C07928" w:rsidRPr="003664C2" w:rsidRDefault="00C07928" w:rsidP="00344754">
            <w:pPr>
              <w:pStyle w:val="Tabletext"/>
              <w:jc w:val="both"/>
            </w:pPr>
            <w:r>
              <w:t>All other polytechnics</w:t>
            </w:r>
          </w:p>
        </w:tc>
        <w:tc>
          <w:tcPr>
            <w:tcW w:w="1276" w:type="dxa"/>
            <w:tcBorders>
              <w:top w:val="nil"/>
              <w:bottom w:val="nil"/>
            </w:tcBorders>
          </w:tcPr>
          <w:p w:rsidR="00C07928" w:rsidRPr="003664C2" w:rsidRDefault="00C07928" w:rsidP="00344754">
            <w:pPr>
              <w:pStyle w:val="Tabletext"/>
              <w:jc w:val="both"/>
            </w:pPr>
            <w:r>
              <w:t>126,191</w:t>
            </w:r>
          </w:p>
        </w:tc>
        <w:tc>
          <w:tcPr>
            <w:tcW w:w="1276" w:type="dxa"/>
            <w:tcBorders>
              <w:top w:val="nil"/>
              <w:bottom w:val="nil"/>
            </w:tcBorders>
          </w:tcPr>
          <w:p w:rsidR="00C07928" w:rsidRDefault="00C07928" w:rsidP="00344754">
            <w:pPr>
              <w:pStyle w:val="Tabletext"/>
              <w:jc w:val="both"/>
            </w:pPr>
            <w:r>
              <w:t>74.293</w:t>
            </w:r>
          </w:p>
        </w:tc>
        <w:tc>
          <w:tcPr>
            <w:tcW w:w="1276" w:type="dxa"/>
            <w:tcBorders>
              <w:top w:val="nil"/>
              <w:bottom w:val="nil"/>
            </w:tcBorders>
          </w:tcPr>
          <w:p w:rsidR="00C07928" w:rsidRPr="003664C2" w:rsidRDefault="00C07928" w:rsidP="00344754">
            <w:pPr>
              <w:pStyle w:val="Tabletext"/>
              <w:jc w:val="both"/>
            </w:pPr>
            <w:r>
              <w:t>0.59</w:t>
            </w:r>
          </w:p>
        </w:tc>
      </w:tr>
    </w:tbl>
    <w:p w:rsidR="00C07928" w:rsidRDefault="00C07928" w:rsidP="00344754">
      <w:pPr>
        <w:pStyle w:val="Note"/>
        <w:jc w:val="both"/>
      </w:pPr>
      <w:bookmarkStart w:id="77" w:name="_Toc359233193"/>
      <w:r>
        <w:t>Source</w:t>
      </w:r>
      <w:r w:rsidR="00134F19">
        <w:t>:</w:t>
      </w:r>
      <w:r>
        <w:t xml:space="preserve"> Ministry of </w:t>
      </w:r>
      <w:r w:rsidRPr="00D73DFE">
        <w:t>Education</w:t>
      </w:r>
      <w:r w:rsidR="00D73DFE">
        <w:t>,</w:t>
      </w:r>
      <w:r w:rsidRPr="00D73DFE">
        <w:t xml:space="preserve"> Ed</w:t>
      </w:r>
      <w:r w:rsidR="00134F19" w:rsidRPr="00D73DFE">
        <w:t>ucation</w:t>
      </w:r>
      <w:r>
        <w:t xml:space="preserve"> Counts website</w:t>
      </w:r>
    </w:p>
    <w:p w:rsidR="00B50BD3" w:rsidRDefault="00B50BD3" w:rsidP="003D6178">
      <w:pPr>
        <w:pStyle w:val="Heading3"/>
      </w:pPr>
      <w:r>
        <w:t>Distance learning support</w:t>
      </w:r>
      <w:bookmarkEnd w:id="77"/>
    </w:p>
    <w:p w:rsidR="00B50BD3" w:rsidRDefault="00B50BD3" w:rsidP="003D6178">
      <w:pPr>
        <w:spacing w:after="240"/>
        <w:jc w:val="both"/>
      </w:pPr>
      <w:r>
        <w:t xml:space="preserve">Learners who are highly motivated and self-directed typically require minimal support. But others, particularly </w:t>
      </w:r>
      <w:r w:rsidR="00326DAB">
        <w:t xml:space="preserve">those studying at </w:t>
      </w:r>
      <w:r>
        <w:t xml:space="preserve">lower levels or those new to distance learning, require much more support. </w:t>
      </w:r>
      <w:r w:rsidR="007E699E">
        <w:t>T</w:t>
      </w:r>
      <w:r w:rsidR="00507DE7">
        <w:t xml:space="preserve">he </w:t>
      </w:r>
      <w:r>
        <w:t>Open Polytechnic provide</w:t>
      </w:r>
      <w:r w:rsidR="007E699E">
        <w:t>s</w:t>
      </w:r>
      <w:r>
        <w:t xml:space="preserve"> </w:t>
      </w:r>
      <w:r w:rsidR="00D2172D">
        <w:t>a variety of support models for their different student groups</w:t>
      </w:r>
      <w:r>
        <w:t xml:space="preserve">.  </w:t>
      </w:r>
    </w:p>
    <w:p w:rsidR="007E699E" w:rsidRDefault="007E699E" w:rsidP="007E699E">
      <w:pPr>
        <w:spacing w:after="240"/>
        <w:jc w:val="both"/>
      </w:pPr>
      <w:r>
        <w:t>The Open Polytechnic has developed a repository of resources to help students acquire the skills</w:t>
      </w:r>
      <w:r w:rsidR="00D2172D">
        <w:t xml:space="preserve"> needed</w:t>
      </w:r>
      <w:r>
        <w:t xml:space="preserve"> to study online</w:t>
      </w:r>
      <w:r w:rsidR="003827E9">
        <w:t xml:space="preserve"> successfully</w:t>
      </w:r>
      <w:r w:rsidR="00EB0147">
        <w:t xml:space="preserve"> and</w:t>
      </w:r>
      <w:r w:rsidR="003827E9">
        <w:t xml:space="preserve"> </w:t>
      </w:r>
      <w:r w:rsidR="00D2172D">
        <w:t>supports</w:t>
      </w:r>
      <w:r>
        <w:t xml:space="preserve"> students to develop academic literacy skills. </w:t>
      </w:r>
      <w:r w:rsidR="00EB0147">
        <w:t>It</w:t>
      </w:r>
      <w:r>
        <w:t xml:space="preserve"> is now targeting these measures at</w:t>
      </w:r>
      <w:r w:rsidRPr="00D25712">
        <w:t xml:space="preserve"> </w:t>
      </w:r>
      <w:r>
        <w:t>first-time students</w:t>
      </w:r>
      <w:r w:rsidRPr="00D25712">
        <w:t xml:space="preserve"> </w:t>
      </w:r>
      <w:r>
        <w:t xml:space="preserve">and/or courses with low completion rates. </w:t>
      </w:r>
    </w:p>
    <w:p w:rsidR="00B50BD3" w:rsidRDefault="00B50BD3" w:rsidP="003D6178">
      <w:pPr>
        <w:spacing w:after="240"/>
        <w:jc w:val="both"/>
      </w:pPr>
      <w:r>
        <w:t xml:space="preserve">In response to </w:t>
      </w:r>
      <w:r w:rsidR="00CC426D">
        <w:t>its</w:t>
      </w:r>
      <w:r>
        <w:t xml:space="preserve"> lower </w:t>
      </w:r>
      <w:r w:rsidR="007E699E">
        <w:t xml:space="preserve">course completion rates </w:t>
      </w:r>
      <w:r>
        <w:t xml:space="preserve">and in recognition of </w:t>
      </w:r>
      <w:r w:rsidR="00CC426D">
        <w:t>its</w:t>
      </w:r>
      <w:r>
        <w:t xml:space="preserve"> students’ differing needs and requirements</w:t>
      </w:r>
      <w:r w:rsidR="007E699E">
        <w:t>,</w:t>
      </w:r>
      <w:r>
        <w:t xml:space="preserve"> Open Polytechnic introduced a range of student support measures</w:t>
      </w:r>
      <w:r w:rsidR="00723254">
        <w:t xml:space="preserve"> that</w:t>
      </w:r>
      <w:r>
        <w:t xml:space="preserve"> </w:t>
      </w:r>
      <w:r>
        <w:lastRenderedPageBreak/>
        <w:t xml:space="preserve">include </w:t>
      </w:r>
      <w:r w:rsidR="00326DAB">
        <w:t>providing</w:t>
      </w:r>
      <w:r>
        <w:t xml:space="preserve"> Programme and Student Ad</w:t>
      </w:r>
      <w:r w:rsidRPr="00EB662C">
        <w:t>visors</w:t>
      </w:r>
      <w:r>
        <w:t xml:space="preserve"> (PASAs). Each programme has its own </w:t>
      </w:r>
      <w:r w:rsidRPr="00723254">
        <w:t>PASA</w:t>
      </w:r>
      <w:r w:rsidR="00723254">
        <w:t>,</w:t>
      </w:r>
      <w:r w:rsidRPr="00723254">
        <w:t xml:space="preserve"> who</w:t>
      </w:r>
      <w:r>
        <w:t xml:space="preserve"> assist</w:t>
      </w:r>
      <w:r w:rsidR="00507DE7">
        <w:t>s</w:t>
      </w:r>
      <w:r w:rsidR="00797F82">
        <w:t xml:space="preserve"> students</w:t>
      </w:r>
      <w:r>
        <w:t xml:space="preserve"> with pre- and post-enrolment processes </w:t>
      </w:r>
      <w:r w:rsidR="00326DAB">
        <w:t>as well as</w:t>
      </w:r>
      <w:r w:rsidR="00797F82">
        <w:t xml:space="preserve"> </w:t>
      </w:r>
      <w:r>
        <w:t>provid</w:t>
      </w:r>
      <w:r w:rsidR="00797F82">
        <w:t>ing</w:t>
      </w:r>
      <w:r>
        <w:t xml:space="preserve"> general support for their learning journey.</w:t>
      </w:r>
    </w:p>
    <w:p w:rsidR="00B50BD3" w:rsidRDefault="00440BFB" w:rsidP="001106AA">
      <w:pPr>
        <w:spacing w:after="240"/>
        <w:jc w:val="both"/>
      </w:pPr>
      <w:r>
        <w:t>Social media sites such as Facebook are proving useful in helping set up offline study</w:t>
      </w:r>
      <w:r w:rsidR="00B50BD3">
        <w:t xml:space="preserve">. </w:t>
      </w:r>
      <w:r>
        <w:t>The Open Polytechnic</w:t>
      </w:r>
      <w:r w:rsidR="00B50BD3">
        <w:t xml:space="preserve"> </w:t>
      </w:r>
      <w:r>
        <w:t>is</w:t>
      </w:r>
      <w:r w:rsidR="00B50BD3">
        <w:t xml:space="preserve"> also piloting the introduction of online </w:t>
      </w:r>
      <w:r w:rsidR="00B50BD3" w:rsidRPr="00611F32">
        <w:t>‘taster’</w:t>
      </w:r>
      <w:r w:rsidR="00B50BD3">
        <w:t xml:space="preserve"> sessions to provide orientation for students on what their study will involve. Some of these sessions </w:t>
      </w:r>
      <w:r w:rsidR="00FA5FE9">
        <w:t>look at</w:t>
      </w:r>
      <w:r w:rsidR="00B50BD3">
        <w:t xml:space="preserve"> initial course choice</w:t>
      </w:r>
      <w:r w:rsidR="00A635B8">
        <w:t>,</w:t>
      </w:r>
      <w:r w:rsidR="00B50BD3">
        <w:t xml:space="preserve"> while others </w:t>
      </w:r>
      <w:r w:rsidR="00C5388B">
        <w:t>focus on</w:t>
      </w:r>
      <w:r w:rsidR="00B50BD3">
        <w:t xml:space="preserve"> assessments and deadlines. </w:t>
      </w:r>
    </w:p>
    <w:p w:rsidR="00B50BD3" w:rsidRDefault="00507DE7" w:rsidP="001106AA">
      <w:pPr>
        <w:spacing w:after="240"/>
        <w:jc w:val="both"/>
      </w:pPr>
      <w:r>
        <w:t xml:space="preserve">The </w:t>
      </w:r>
      <w:r w:rsidR="00B50BD3">
        <w:t xml:space="preserve">Open Polytechnic </w:t>
      </w:r>
      <w:r w:rsidR="007E699E">
        <w:t xml:space="preserve">is </w:t>
      </w:r>
      <w:r w:rsidR="00B50BD3">
        <w:t xml:space="preserve">introducing learning plans for </w:t>
      </w:r>
      <w:r w:rsidR="003E4471">
        <w:t>its</w:t>
      </w:r>
      <w:r w:rsidR="00B50BD3">
        <w:t xml:space="preserve"> open courses </w:t>
      </w:r>
      <w:r w:rsidR="00B50BD3" w:rsidRPr="00AC292E">
        <w:t>which</w:t>
      </w:r>
      <w:r w:rsidR="00B50BD3">
        <w:t xml:space="preserve"> prescribe what study should be done </w:t>
      </w:r>
      <w:r w:rsidR="00B50BD3" w:rsidRPr="00AC292E">
        <w:t>and by when</w:t>
      </w:r>
      <w:r w:rsidR="00956275">
        <w:t>,</w:t>
      </w:r>
      <w:r w:rsidR="00B50BD3" w:rsidRPr="00AC292E">
        <w:t xml:space="preserve"> along with regular</w:t>
      </w:r>
      <w:r w:rsidR="00B50BD3">
        <w:t xml:space="preserve"> assessments. The due dates for key deadlines are given </w:t>
      </w:r>
      <w:r>
        <w:t xml:space="preserve">in </w:t>
      </w:r>
      <w:r w:rsidR="00B50BD3">
        <w:t xml:space="preserve">programmes </w:t>
      </w:r>
      <w:r w:rsidR="00A635B8">
        <w:t>that</w:t>
      </w:r>
      <w:r w:rsidR="00B50BD3">
        <w:t xml:space="preserve"> have been identified as having issues with student engagement. </w:t>
      </w:r>
    </w:p>
    <w:p w:rsidR="00B50BD3" w:rsidRDefault="00FF5989" w:rsidP="001106AA">
      <w:pPr>
        <w:spacing w:after="240"/>
        <w:jc w:val="both"/>
      </w:pPr>
      <w:r>
        <w:t xml:space="preserve">The </w:t>
      </w:r>
      <w:r w:rsidR="00B50BD3">
        <w:t>Open Polytechnic has recently introduced a peer mentoring scheme for first-time students</w:t>
      </w:r>
      <w:r w:rsidR="00B50BD3" w:rsidRPr="00BC1197">
        <w:t xml:space="preserve"> </w:t>
      </w:r>
      <w:r w:rsidR="00B50BD3">
        <w:t xml:space="preserve">primarily because of their lower retention and completion rates. The peer mentors </w:t>
      </w:r>
      <w:r w:rsidR="00450FFB">
        <w:t>need</w:t>
      </w:r>
      <w:r w:rsidR="00B50BD3" w:rsidRPr="00450FFB">
        <w:t xml:space="preserve"> to</w:t>
      </w:r>
      <w:r w:rsidR="00B50BD3">
        <w:t xml:space="preserve"> have completed at least two years</w:t>
      </w:r>
      <w:r w:rsidR="0092195F">
        <w:t>’</w:t>
      </w:r>
      <w:r w:rsidR="00B50BD3">
        <w:t xml:space="preserve"> degree</w:t>
      </w:r>
      <w:r w:rsidR="003B5064">
        <w:t>-</w:t>
      </w:r>
      <w:r w:rsidR="00B50BD3">
        <w:t xml:space="preserve">level study and </w:t>
      </w:r>
      <w:r w:rsidR="00450FFB">
        <w:t>must undertake</w:t>
      </w:r>
      <w:r w:rsidR="00B50BD3">
        <w:t xml:space="preserve"> training for the role. The mentees are contacted within the first four weeks of their course start date and again mid-course</w:t>
      </w:r>
      <w:r w:rsidR="0092195F">
        <w:t>,</w:t>
      </w:r>
      <w:r w:rsidR="00B50BD3">
        <w:t xml:space="preserve"> with the aim of helping them </w:t>
      </w:r>
      <w:r w:rsidR="00450FFB">
        <w:t xml:space="preserve">to </w:t>
      </w:r>
      <w:r w:rsidR="00B50BD3">
        <w:t>make a successful start to their study and to persist with it.</w:t>
      </w:r>
    </w:p>
    <w:p w:rsidR="00B50BD3" w:rsidRDefault="0092195F" w:rsidP="001106AA">
      <w:pPr>
        <w:spacing w:after="240"/>
        <w:jc w:val="both"/>
      </w:pPr>
      <w:r>
        <w:t>Through its StudyWise programme, the Open Polytechnic runs</w:t>
      </w:r>
      <w:r w:rsidR="00B50BD3">
        <w:t xml:space="preserve"> </w:t>
      </w:r>
      <w:r w:rsidR="00020B6E">
        <w:t xml:space="preserve">online </w:t>
      </w:r>
      <w:r w:rsidR="00B50BD3">
        <w:t xml:space="preserve">workshops </w:t>
      </w:r>
      <w:r>
        <w:t>that</w:t>
      </w:r>
      <w:r w:rsidR="00C5388B">
        <w:t xml:space="preserve"> introduce students to the skills needed for successful study.</w:t>
      </w:r>
      <w:r w:rsidR="00B50BD3">
        <w:t xml:space="preserve"> </w:t>
      </w:r>
      <w:r>
        <w:t>It</w:t>
      </w:r>
      <w:r w:rsidR="00B50BD3">
        <w:t xml:space="preserve"> has also set up an ExamWise programme</w:t>
      </w:r>
      <w:r w:rsidR="003747F9">
        <w:t>,</w:t>
      </w:r>
      <w:r w:rsidR="00B50BD3">
        <w:t xml:space="preserve"> </w:t>
      </w:r>
      <w:r w:rsidR="00B50BD3" w:rsidRPr="003747F9">
        <w:t>which</w:t>
      </w:r>
      <w:r w:rsidR="00B50BD3">
        <w:t xml:space="preserve"> is offered about three weeks </w:t>
      </w:r>
      <w:r>
        <w:t>before</w:t>
      </w:r>
      <w:r w:rsidR="00B50BD3">
        <w:t xml:space="preserve"> exams. While this is targeted at </w:t>
      </w:r>
      <w:r w:rsidR="00B50BD3" w:rsidRPr="003747F9">
        <w:t>first timers</w:t>
      </w:r>
      <w:r>
        <w:t>,</w:t>
      </w:r>
      <w:r w:rsidR="00B50BD3">
        <w:t xml:space="preserve"> it is available for all students. </w:t>
      </w:r>
      <w:r>
        <w:t>The</w:t>
      </w:r>
      <w:r w:rsidR="00B50BD3">
        <w:t xml:space="preserve"> programme covers key </w:t>
      </w:r>
      <w:r w:rsidR="00020B6E">
        <w:t>issues</w:t>
      </w:r>
      <w:r w:rsidR="00B50BD3">
        <w:t xml:space="preserve"> in an examinations context</w:t>
      </w:r>
      <w:r>
        <w:t>,</w:t>
      </w:r>
      <w:r w:rsidR="00B50BD3">
        <w:t xml:space="preserve"> including how to manage revision stress, </w:t>
      </w:r>
      <w:r w:rsidR="008A4895">
        <w:t xml:space="preserve">how to manage </w:t>
      </w:r>
      <w:r w:rsidR="00B50BD3" w:rsidRPr="008A4895">
        <w:t>time in e</w:t>
      </w:r>
      <w:r w:rsidR="00B50BD3">
        <w:t>xaminations and how to structure questions</w:t>
      </w:r>
      <w:r w:rsidR="008A4895">
        <w:t>,</w:t>
      </w:r>
      <w:r w:rsidR="00020B6E">
        <w:t xml:space="preserve"> </w:t>
      </w:r>
      <w:r w:rsidR="00080C97">
        <w:t>as well as</w:t>
      </w:r>
      <w:r w:rsidR="00B50BD3">
        <w:t xml:space="preserve"> critical administration information such as directions to the venue. </w:t>
      </w:r>
    </w:p>
    <w:p w:rsidR="00B50BD3" w:rsidRDefault="004825CB" w:rsidP="001106AA">
      <w:pPr>
        <w:spacing w:after="240"/>
        <w:jc w:val="both"/>
      </w:pPr>
      <w:r>
        <w:t>While there are groups</w:t>
      </w:r>
      <w:r w:rsidR="00440BFB">
        <w:t xml:space="preserve"> of students</w:t>
      </w:r>
      <w:r>
        <w:t xml:space="preserve"> who</w:t>
      </w:r>
      <w:r w:rsidR="00B50BD3">
        <w:t xml:space="preserve"> are typically</w:t>
      </w:r>
      <w:r>
        <w:t xml:space="preserve"> </w:t>
      </w:r>
      <w:r w:rsidR="00B50BD3">
        <w:t xml:space="preserve">self-disciplined and motivated and </w:t>
      </w:r>
      <w:r w:rsidR="00682698">
        <w:t>need only</w:t>
      </w:r>
      <w:r w:rsidR="00B50BD3">
        <w:t xml:space="preserve"> limited support</w:t>
      </w:r>
      <w:r w:rsidR="00682698">
        <w:t>,</w:t>
      </w:r>
      <w:r w:rsidR="00B50BD3">
        <w:t xml:space="preserve"> a high proportion of </w:t>
      </w:r>
      <w:r w:rsidR="00FF5989">
        <w:t xml:space="preserve">the </w:t>
      </w:r>
      <w:r w:rsidR="00B50BD3">
        <w:t>Open Polytechnic</w:t>
      </w:r>
      <w:r w:rsidR="00FF5989">
        <w:t>’s</w:t>
      </w:r>
      <w:r w:rsidR="00B50BD3">
        <w:t xml:space="preserve"> students are second</w:t>
      </w:r>
      <w:r w:rsidR="0089479D">
        <w:t>-</w:t>
      </w:r>
      <w:r w:rsidR="00B50BD3">
        <w:t xml:space="preserve">chance learners. While it is much easier to demonstrate </w:t>
      </w:r>
      <w:r w:rsidR="00440BFB">
        <w:t>added value</w:t>
      </w:r>
      <w:r w:rsidR="00B50BD3">
        <w:t xml:space="preserve"> for </w:t>
      </w:r>
      <w:r w:rsidR="00B50BD3" w:rsidRPr="0089479D">
        <w:t>second-chance</w:t>
      </w:r>
      <w:r w:rsidR="00B50BD3">
        <w:t xml:space="preserve"> learners</w:t>
      </w:r>
      <w:r w:rsidR="0089479D">
        <w:t>,</w:t>
      </w:r>
      <w:r w:rsidR="00B50BD3">
        <w:t xml:space="preserve"> </w:t>
      </w:r>
      <w:r w:rsidR="00B50BD3" w:rsidRPr="0089479D">
        <w:t>as their progress and success</w:t>
      </w:r>
      <w:r w:rsidR="00B50BD3">
        <w:t xml:space="preserve"> are often obvious</w:t>
      </w:r>
      <w:r w:rsidR="009A2AF0">
        <w:t>,</w:t>
      </w:r>
      <w:r w:rsidR="00B50BD3">
        <w:t xml:space="preserve"> they do require much more individualised and intense support. In this context</w:t>
      </w:r>
      <w:r w:rsidR="0089479D">
        <w:t>,</w:t>
      </w:r>
      <w:r w:rsidR="00B50BD3">
        <w:t xml:space="preserve"> assessment feedback is critical. </w:t>
      </w:r>
    </w:p>
    <w:p w:rsidR="00B50BD3" w:rsidRDefault="00B50BD3" w:rsidP="001106AA">
      <w:pPr>
        <w:spacing w:after="240"/>
        <w:jc w:val="both"/>
      </w:pPr>
      <w:r>
        <w:t>On at least a monthly basis all disabled students are contacted by</w:t>
      </w:r>
      <w:r w:rsidR="001106AA">
        <w:t xml:space="preserve"> </w:t>
      </w:r>
      <w:r>
        <w:t>email. They are assigned a dedicated learning advisor</w:t>
      </w:r>
      <w:r w:rsidR="0089479D">
        <w:t>,</w:t>
      </w:r>
      <w:r>
        <w:t xml:space="preserve"> who offers support, provides a point of contact and raises awareness of available and appropriate services. Disabled students </w:t>
      </w:r>
      <w:r w:rsidR="0064783F">
        <w:t xml:space="preserve">are provided with course materials in an appropriate format (including digital and audio), and </w:t>
      </w:r>
      <w:r>
        <w:t>can also use their own assistive technologies. PASAs and other relevant staff are included within this support structure for disabled students.</w:t>
      </w:r>
    </w:p>
    <w:p w:rsidR="00B50BD3" w:rsidRDefault="00B50BD3" w:rsidP="001106AA">
      <w:pPr>
        <w:spacing w:after="240"/>
        <w:jc w:val="both"/>
      </w:pPr>
      <w:r>
        <w:t xml:space="preserve">Online student support is </w:t>
      </w:r>
      <w:r w:rsidR="0057268F">
        <w:t>available</w:t>
      </w:r>
      <w:r>
        <w:t xml:space="preserve"> through the </w:t>
      </w:r>
      <w:r w:rsidR="00C5388B">
        <w:t xml:space="preserve">general </w:t>
      </w:r>
      <w:r>
        <w:t xml:space="preserve">Open Polytechnic website or ‘Online Campus’. </w:t>
      </w:r>
      <w:r w:rsidR="00C5388B">
        <w:t>Online Campus</w:t>
      </w:r>
      <w:r>
        <w:t xml:space="preserve"> is a dedicated portion of the website where students can access a range of support, information and materials through mechanisms such as discussion forums and </w:t>
      </w:r>
      <w:r w:rsidR="00FF25DF">
        <w:t xml:space="preserve">they can also use this space to </w:t>
      </w:r>
      <w:r>
        <w:t xml:space="preserve">interact with lecturers. </w:t>
      </w:r>
      <w:r w:rsidR="00FF25DF">
        <w:t>Discussion f</w:t>
      </w:r>
      <w:r>
        <w:t>orums are used to update students in addition to</w:t>
      </w:r>
      <w:r w:rsidR="00440BFB">
        <w:t xml:space="preserve"> newsletters posted on their</w:t>
      </w:r>
      <w:r>
        <w:t xml:space="preserve"> Learning Management System (LMS). </w:t>
      </w:r>
    </w:p>
    <w:p w:rsidR="00CB1B5F" w:rsidRDefault="00CB1B5F" w:rsidP="00CB1B5F">
      <w:pPr>
        <w:pStyle w:val="Heading3"/>
        <w:jc w:val="both"/>
      </w:pPr>
      <w:r>
        <w:t>M</w:t>
      </w:r>
      <w:r>
        <w:rPr>
          <w:rFonts w:cs="Arial"/>
        </w:rPr>
        <w:t>ā</w:t>
      </w:r>
      <w:r>
        <w:t xml:space="preserve">ori </w:t>
      </w:r>
      <w:r w:rsidR="00134F19">
        <w:t>l</w:t>
      </w:r>
      <w:r>
        <w:t>earners</w:t>
      </w:r>
    </w:p>
    <w:p w:rsidR="00CB1B5F" w:rsidRDefault="00CB1B5F" w:rsidP="00CB1B5F">
      <w:pPr>
        <w:spacing w:after="240"/>
        <w:jc w:val="both"/>
      </w:pPr>
      <w:r>
        <w:t xml:space="preserve">The overall direction and responsibility for Māori learner initiatives at the Open Polytechnic reside with </w:t>
      </w:r>
      <w:r w:rsidR="00843B8D">
        <w:t>its</w:t>
      </w:r>
      <w:r>
        <w:t xml:space="preserve"> Māori Office and Māori caucus</w:t>
      </w:r>
      <w:r w:rsidR="00751F84">
        <w:t>,</w:t>
      </w:r>
      <w:r>
        <w:t xml:space="preserve"> who are accountable to the Executive Director, Māori. </w:t>
      </w:r>
      <w:r w:rsidR="00751F84">
        <w:t>The</w:t>
      </w:r>
      <w:r>
        <w:t xml:space="preserve"> caucus also acts as a support network for the Open Polytechnic’s Māori staff and has representatives on </w:t>
      </w:r>
      <w:r w:rsidR="00E801E9">
        <w:t>its</w:t>
      </w:r>
      <w:r>
        <w:t xml:space="preserve"> </w:t>
      </w:r>
      <w:r w:rsidR="00E801E9">
        <w:t xml:space="preserve">Academic Board, and </w:t>
      </w:r>
      <w:r>
        <w:t xml:space="preserve">design, multimedia, and research and ethics committees as well as </w:t>
      </w:r>
      <w:r w:rsidR="00E801E9">
        <w:t>its</w:t>
      </w:r>
      <w:r>
        <w:t xml:space="preserve"> tutor team</w:t>
      </w:r>
      <w:r w:rsidR="00440BFB">
        <w:t>s</w:t>
      </w:r>
      <w:r>
        <w:t xml:space="preserve"> and</w:t>
      </w:r>
      <w:r w:rsidR="00751F84">
        <w:t xml:space="preserve"> </w:t>
      </w:r>
      <w:r>
        <w:t>groups.</w:t>
      </w:r>
    </w:p>
    <w:p w:rsidR="00CB1B5F" w:rsidRPr="00374A8C" w:rsidRDefault="00CB1B5F" w:rsidP="00CB1B5F">
      <w:pPr>
        <w:spacing w:after="240"/>
        <w:jc w:val="both"/>
      </w:pPr>
      <w:r w:rsidRPr="00F50774">
        <w:lastRenderedPageBreak/>
        <w:t>The Open Polytechnic attempts to include whānau in learning activities</w:t>
      </w:r>
      <w:r w:rsidR="00D35DC4" w:rsidRPr="00F50774">
        <w:t>, and Māori pedagogies are built into appropriate Open Polytechnic programmes</w:t>
      </w:r>
      <w:r w:rsidR="00374A8C" w:rsidRPr="00F50774">
        <w:t>.</w:t>
      </w:r>
      <w:r w:rsidR="002127FF" w:rsidRPr="00F50774">
        <w:t xml:space="preserve"> </w:t>
      </w:r>
      <w:r w:rsidRPr="00F50774">
        <w:t>Māori concepts are also incorporated into</w:t>
      </w:r>
      <w:r w:rsidR="00374A8C" w:rsidRPr="00F50774">
        <w:t xml:space="preserve"> </w:t>
      </w:r>
      <w:r w:rsidR="00D35DC4" w:rsidRPr="00F50774">
        <w:t>its</w:t>
      </w:r>
      <w:r w:rsidRPr="00F50774">
        <w:t xml:space="preserve"> online support mechanisms such as discussion forums</w:t>
      </w:r>
      <w:r w:rsidR="00E80B9E" w:rsidRPr="00F50774">
        <w:t>.</w:t>
      </w:r>
      <w:r w:rsidR="00374A8C" w:rsidRPr="00F50774">
        <w:t xml:space="preserve"> </w:t>
      </w:r>
      <w:r w:rsidR="00E80B9E" w:rsidRPr="00F50774">
        <w:t>T</w:t>
      </w:r>
      <w:r w:rsidR="002127FF" w:rsidRPr="00F50774">
        <w:t>here is</w:t>
      </w:r>
      <w:r w:rsidRPr="00F50774">
        <w:t xml:space="preserve"> a dedicated online space for Māori learners (iWhare)</w:t>
      </w:r>
      <w:r w:rsidR="00E80B9E" w:rsidRPr="00F50774">
        <w:t xml:space="preserve">, </w:t>
      </w:r>
      <w:r w:rsidRPr="00F50774">
        <w:t>where tutors, using video,</w:t>
      </w:r>
      <w:r w:rsidR="00374A8C" w:rsidRPr="00F50774">
        <w:t xml:space="preserve"> </w:t>
      </w:r>
      <w:r w:rsidRPr="00F50774">
        <w:t xml:space="preserve">introduce themselves </w:t>
      </w:r>
      <w:r w:rsidR="00374A8C" w:rsidRPr="00F50774">
        <w:t xml:space="preserve">to </w:t>
      </w:r>
      <w:r w:rsidR="00B8556C" w:rsidRPr="00F50774">
        <w:t>an</w:t>
      </w:r>
      <w:r w:rsidR="00D35DC4" w:rsidRPr="00F50774">
        <w:t>d interact with Mā</w:t>
      </w:r>
      <w:r w:rsidR="00B8556C" w:rsidRPr="00F50774">
        <w:t xml:space="preserve">ori students. </w:t>
      </w:r>
    </w:p>
    <w:p w:rsidR="00CB1B5F" w:rsidRDefault="00CB1B5F" w:rsidP="00CB1B5F">
      <w:pPr>
        <w:spacing w:after="240"/>
        <w:jc w:val="both"/>
      </w:pPr>
      <w:r>
        <w:t>The Open Polytechnic provides a peer mentoring service for Māori students (Tuakana Ako)</w:t>
      </w:r>
      <w:r w:rsidR="00440684">
        <w:t xml:space="preserve"> and trains the </w:t>
      </w:r>
      <w:r>
        <w:t>participants so they can effectively manage non-learning</w:t>
      </w:r>
      <w:r w:rsidR="00EC4B3A">
        <w:t>-</w:t>
      </w:r>
      <w:r>
        <w:t>related dialogues and contexts</w:t>
      </w:r>
      <w:r w:rsidR="00440684">
        <w:t>.</w:t>
      </w:r>
      <w:r>
        <w:t xml:space="preserve"> </w:t>
      </w:r>
      <w:r w:rsidR="00440684">
        <w:t>I</w:t>
      </w:r>
      <w:r>
        <w:t>n a Māori context</w:t>
      </w:r>
      <w:r w:rsidR="00440684">
        <w:t>,</w:t>
      </w:r>
      <w:r>
        <w:t xml:space="preserve"> initial interactions are typically about establishing whakapapa and linkages</w:t>
      </w:r>
      <w:r w:rsidR="00440684">
        <w:t>, and</w:t>
      </w:r>
      <w:r>
        <w:t xml:space="preserve"> this requires an understanding of the </w:t>
      </w:r>
      <w:r w:rsidRPr="00440684">
        <w:t>mentee’s</w:t>
      </w:r>
      <w:r>
        <w:t xml:space="preserve"> age, background and other relevant details. </w:t>
      </w:r>
    </w:p>
    <w:p w:rsidR="00CB1B5F" w:rsidRDefault="00CB1B5F" w:rsidP="00CB1B5F">
      <w:pPr>
        <w:spacing w:after="240"/>
        <w:jc w:val="both"/>
      </w:pPr>
      <w:r>
        <w:t xml:space="preserve">The mentors can </w:t>
      </w:r>
      <w:r w:rsidR="00B54EA8">
        <w:t>help</w:t>
      </w:r>
      <w:r>
        <w:t xml:space="preserve"> with their me</w:t>
      </w:r>
      <w:r w:rsidRPr="00440684">
        <w:t>ntee’s</w:t>
      </w:r>
      <w:r>
        <w:t xml:space="preserve"> study plans and support them to</w:t>
      </w:r>
      <w:r w:rsidR="007B5849">
        <w:t xml:space="preserve"> get started with and complete their learning, as well as directing</w:t>
      </w:r>
      <w:r>
        <w:t xml:space="preserve"> them to wider support networks. The Open Polytechnic plans to </w:t>
      </w:r>
      <w:r w:rsidR="00E801E9">
        <w:t>put</w:t>
      </w:r>
      <w:r>
        <w:t xml:space="preserve"> a process in place for Māori learners at the pre-enrolment phase. </w:t>
      </w:r>
      <w:r w:rsidR="007B5849">
        <w:t>It is</w:t>
      </w:r>
      <w:r>
        <w:t xml:space="preserve"> running a pilot regional programme </w:t>
      </w:r>
      <w:r w:rsidR="00E801E9">
        <w:t>working with</w:t>
      </w:r>
      <w:r>
        <w:t xml:space="preserve"> local iwi and/or hapū to engage with actual and prospective students</w:t>
      </w:r>
      <w:r w:rsidR="00B23844">
        <w:t>.</w:t>
      </w:r>
      <w:r>
        <w:t xml:space="preserve"> </w:t>
      </w:r>
    </w:p>
    <w:p w:rsidR="00B50BD3" w:rsidRDefault="00B50BD3" w:rsidP="004147FE">
      <w:pPr>
        <w:pStyle w:val="Heading3"/>
      </w:pPr>
      <w:bookmarkStart w:id="78" w:name="_Toc359233194"/>
      <w:r>
        <w:t>Teaching</w:t>
      </w:r>
      <w:bookmarkEnd w:id="78"/>
    </w:p>
    <w:p w:rsidR="00B50BD3" w:rsidRDefault="00B50BD3" w:rsidP="00825037">
      <w:pPr>
        <w:spacing w:after="240"/>
        <w:jc w:val="both"/>
      </w:pPr>
      <w:r>
        <w:t xml:space="preserve">At </w:t>
      </w:r>
      <w:r w:rsidR="005D6AA4">
        <w:t xml:space="preserve">the </w:t>
      </w:r>
      <w:r>
        <w:t xml:space="preserve">Open </w:t>
      </w:r>
      <w:r w:rsidRPr="00D73DFE">
        <w:t>Polytechnic</w:t>
      </w:r>
      <w:r w:rsidR="007E699E" w:rsidRPr="00D73DFE">
        <w:t>, s</w:t>
      </w:r>
      <w:r w:rsidRPr="00D73DFE">
        <w:t>ome</w:t>
      </w:r>
      <w:r>
        <w:t xml:space="preserve"> teachers use pre-entry tests to </w:t>
      </w:r>
      <w:r w:rsidR="00FE6935">
        <w:t xml:space="preserve">identify </w:t>
      </w:r>
      <w:r>
        <w:t>students who require or would be better suited to foundation</w:t>
      </w:r>
      <w:r w:rsidR="008E5862">
        <w:t>-</w:t>
      </w:r>
      <w:r>
        <w:t>level study and set up a process</w:t>
      </w:r>
      <w:r w:rsidR="00FE6935">
        <w:t xml:space="preserve"> for them to complete this and then re-enter the course/programme</w:t>
      </w:r>
      <w:r>
        <w:t xml:space="preserve"> </w:t>
      </w:r>
      <w:r w:rsidR="005D6AA4">
        <w:t>they originally chose</w:t>
      </w:r>
      <w:r>
        <w:t xml:space="preserve">. </w:t>
      </w:r>
    </w:p>
    <w:p w:rsidR="005A0D92" w:rsidRDefault="00B50BD3" w:rsidP="005A0D92">
      <w:pPr>
        <w:spacing w:after="240"/>
        <w:jc w:val="both"/>
      </w:pPr>
      <w:r>
        <w:t>LMS analytics can be used to monitor and track student activity and progress. Teachers provide individualised support to students by initially contacting them by email and then with a</w:t>
      </w:r>
      <w:r w:rsidR="00FE6935">
        <w:t xml:space="preserve">    </w:t>
      </w:r>
      <w:r>
        <w:t>follow</w:t>
      </w:r>
      <w:r w:rsidR="004864B0">
        <w:t>-</w:t>
      </w:r>
      <w:r>
        <w:t xml:space="preserve">up phone call where necessary. </w:t>
      </w:r>
      <w:r w:rsidR="005A0D92">
        <w:t xml:space="preserve">Staff are also encouraged to provide </w:t>
      </w:r>
      <w:r w:rsidR="00E801E9">
        <w:t>additional</w:t>
      </w:r>
      <w:r w:rsidR="005A0D92">
        <w:t xml:space="preserve"> </w:t>
      </w:r>
      <w:r w:rsidR="00FE6935">
        <w:t xml:space="preserve">     </w:t>
      </w:r>
      <w:r w:rsidR="005A0D92" w:rsidRPr="004A6B0E">
        <w:t>programme</w:t>
      </w:r>
      <w:r w:rsidR="00DA6F9A" w:rsidRPr="004A6B0E">
        <w:t>-</w:t>
      </w:r>
      <w:r w:rsidR="005A0D92">
        <w:t xml:space="preserve"> or course</w:t>
      </w:r>
      <w:r w:rsidR="00DA6F9A">
        <w:t>-</w:t>
      </w:r>
      <w:r w:rsidR="005A0D92" w:rsidRPr="00DA6F9A">
        <w:t>specific</w:t>
      </w:r>
      <w:r w:rsidR="005A0D92">
        <w:t xml:space="preserve"> support</w:t>
      </w:r>
      <w:r w:rsidR="00E801E9">
        <w:t xml:space="preserve"> to that provided by the PASAs</w:t>
      </w:r>
      <w:r w:rsidR="005A0D92">
        <w:t xml:space="preserve">. </w:t>
      </w:r>
    </w:p>
    <w:p w:rsidR="00B50BD3" w:rsidRDefault="00B50BD3" w:rsidP="004A06E4">
      <w:pPr>
        <w:spacing w:after="240"/>
        <w:jc w:val="both"/>
      </w:pPr>
      <w:r>
        <w:t>It is a challenge to ensure students have realistic expectations about contact with teachers</w:t>
      </w:r>
      <w:r w:rsidR="00321798">
        <w:t>,</w:t>
      </w:r>
      <w:r>
        <w:t xml:space="preserve"> </w:t>
      </w:r>
      <w:r w:rsidRPr="004A6B0E">
        <w:t>as in theory it could be ‘</w:t>
      </w:r>
      <w:r>
        <w:t xml:space="preserve">24/7’. But </w:t>
      </w:r>
      <w:r w:rsidR="005A0D92" w:rsidRPr="004A6B0E">
        <w:t>where students need to be contacted offline</w:t>
      </w:r>
      <w:r w:rsidR="004A6B0E">
        <w:t>,</w:t>
      </w:r>
      <w:r w:rsidR="005A0D92" w:rsidRPr="004A6B0E">
        <w:t xml:space="preserve"> the ‘standard’ time for doing so is 6-9pm</w:t>
      </w:r>
      <w:r w:rsidR="00321798" w:rsidRPr="004A6B0E">
        <w:t xml:space="preserve">, </w:t>
      </w:r>
      <w:r w:rsidR="00200691" w:rsidRPr="004A6B0E">
        <w:t>because</w:t>
      </w:r>
      <w:r w:rsidRPr="004A6B0E">
        <w:t xml:space="preserve"> this is when most students are available and</w:t>
      </w:r>
      <w:r>
        <w:t xml:space="preserve"> have</w:t>
      </w:r>
      <w:r w:rsidR="00BA71D8">
        <w:t xml:space="preserve"> the</w:t>
      </w:r>
      <w:r>
        <w:t xml:space="preserve"> time for study</w:t>
      </w:r>
      <w:r w:rsidR="00321798">
        <w:t>-</w:t>
      </w:r>
      <w:r>
        <w:t xml:space="preserve">related conversations. Teachers are expected to initiate learner withdrawals where it is clear that the student will not complete and/or is not suitable for </w:t>
      </w:r>
      <w:r w:rsidR="00200691">
        <w:t>a</w:t>
      </w:r>
      <w:r>
        <w:t xml:space="preserve"> particular course/programme. </w:t>
      </w:r>
    </w:p>
    <w:p w:rsidR="00200691" w:rsidRDefault="00B50BD3" w:rsidP="004A06E4">
      <w:pPr>
        <w:spacing w:after="240"/>
        <w:jc w:val="both"/>
      </w:pPr>
      <w:r>
        <w:t>In some programmes, students are encouraged to post their work online for peer review and feedback. This helps build a sense of community and allows the teacher to identify exemplars for distribution to the wider group.</w:t>
      </w:r>
      <w:r w:rsidR="005A0D92">
        <w:t xml:space="preserve"> </w:t>
      </w:r>
      <w:r>
        <w:t>Teachers provide pre-assessment advice and guidance, as well as post-assessment feedback. Regular supply of work and timely, constructive feedback are effective strategies for eliminating students</w:t>
      </w:r>
      <w:r w:rsidR="00321798">
        <w:t>’</w:t>
      </w:r>
      <w:r>
        <w:t xml:space="preserve"> ‘mental blocks’ and this also assists</w:t>
      </w:r>
      <w:r w:rsidRPr="00CB74F9">
        <w:t xml:space="preserve"> </w:t>
      </w:r>
      <w:r>
        <w:t xml:space="preserve">their motivation and performance. </w:t>
      </w:r>
    </w:p>
    <w:p w:rsidR="00B50BD3" w:rsidRDefault="00B50BD3" w:rsidP="004A06E4">
      <w:pPr>
        <w:spacing w:after="240"/>
        <w:jc w:val="both"/>
      </w:pPr>
      <w:r>
        <w:t>Important teacher-student interactions do not necessarily require technology.</w:t>
      </w:r>
      <w:r w:rsidR="00200691">
        <w:t xml:space="preserve"> </w:t>
      </w:r>
      <w:r w:rsidR="0030181C">
        <w:t>I</w:t>
      </w:r>
      <w:r w:rsidR="00200691">
        <w:t xml:space="preserve">n some trades </w:t>
      </w:r>
      <w:r>
        <w:t xml:space="preserve">programmes there is very little online activity and what </w:t>
      </w:r>
      <w:r w:rsidR="005A0D92">
        <w:t>is provided is</w:t>
      </w:r>
      <w:r>
        <w:t xml:space="preserve"> typically</w:t>
      </w:r>
      <w:r w:rsidR="0035147A">
        <w:t xml:space="preserve"> </w:t>
      </w:r>
      <w:r>
        <w:t xml:space="preserve">teacher-led and/or directed. Students in </w:t>
      </w:r>
      <w:r w:rsidR="0035147A">
        <w:t xml:space="preserve">these </w:t>
      </w:r>
      <w:r>
        <w:t xml:space="preserve">more practically oriented courses/programmes </w:t>
      </w:r>
      <w:r w:rsidR="00321798">
        <w:t>usually</w:t>
      </w:r>
      <w:r>
        <w:t xml:space="preserve"> have low levels of language, literacy and numeracy and as a result often struggle with the theory component of their course(s)/programme(s). </w:t>
      </w:r>
    </w:p>
    <w:p w:rsidR="00B50BD3" w:rsidRDefault="005A0D92" w:rsidP="004A06E4">
      <w:pPr>
        <w:spacing w:after="240"/>
        <w:jc w:val="both"/>
      </w:pPr>
      <w:r>
        <w:t>T</w:t>
      </w:r>
      <w:r w:rsidR="00EE7FB4">
        <w:t>rad</w:t>
      </w:r>
      <w:r>
        <w:t>e</w:t>
      </w:r>
      <w:r w:rsidR="00EE7FB4">
        <w:t>s</w:t>
      </w:r>
      <w:r>
        <w:t xml:space="preserve"> students also prefer</w:t>
      </w:r>
      <w:r w:rsidR="00B50BD3">
        <w:t xml:space="preserve"> paper-based materials</w:t>
      </w:r>
      <w:r w:rsidR="009F4D73">
        <w:t>,</w:t>
      </w:r>
      <w:r w:rsidR="00B50BD3" w:rsidRPr="002E0EFA">
        <w:t xml:space="preserve"> </w:t>
      </w:r>
      <w:r w:rsidR="00B50BD3">
        <w:t>which they find much easier to interact with and use at work</w:t>
      </w:r>
      <w:r>
        <w:t xml:space="preserve">. </w:t>
      </w:r>
      <w:r w:rsidR="00EE7FB4">
        <w:t>E</w:t>
      </w:r>
      <w:r>
        <w:t>mployers typically support employee abs</w:t>
      </w:r>
      <w:r w:rsidRPr="00E43445">
        <w:t>ence</w:t>
      </w:r>
      <w:r>
        <w:t xml:space="preserve"> at lectures</w:t>
      </w:r>
      <w:r w:rsidR="00496619">
        <w:t>;</w:t>
      </w:r>
      <w:r>
        <w:t xml:space="preserve"> </w:t>
      </w:r>
      <w:r w:rsidR="00496619">
        <w:t>b</w:t>
      </w:r>
      <w:r>
        <w:t>ut they are less supportive of online study during work hours because most of them expect their employees to do study in their own, not work, time. But despite these obstacles</w:t>
      </w:r>
      <w:r w:rsidR="009F4D73">
        <w:t>,</w:t>
      </w:r>
      <w:r w:rsidR="00B50BD3">
        <w:t xml:space="preserve"> e-learning does assist trades students by clarifying key points, and modelling good/expected practice. </w:t>
      </w:r>
      <w:r w:rsidR="00EE7FB4">
        <w:t>And c</w:t>
      </w:r>
      <w:r w:rsidR="00B50BD3">
        <w:t xml:space="preserve">omputer-assisted design programmes and screen sharing can also </w:t>
      </w:r>
      <w:r w:rsidR="00EE7FB4">
        <w:t>facilitate</w:t>
      </w:r>
      <w:r w:rsidR="00B50BD3">
        <w:t xml:space="preserve"> interactions</w:t>
      </w:r>
      <w:r w:rsidR="00EE7FB4">
        <w:t xml:space="preserve"> between teachers and trades students</w:t>
      </w:r>
      <w:r w:rsidR="00B50BD3">
        <w:t xml:space="preserve">. </w:t>
      </w:r>
    </w:p>
    <w:p w:rsidR="00A37336" w:rsidRDefault="00B50BD3" w:rsidP="00A37336">
      <w:pPr>
        <w:spacing w:after="240"/>
        <w:jc w:val="both"/>
      </w:pPr>
      <w:r>
        <w:lastRenderedPageBreak/>
        <w:t>The work of adjunct staff is carefully monitored and their roles and responsibilities are prescribed and limited</w:t>
      </w:r>
      <w:r w:rsidR="0035147A">
        <w:t xml:space="preserve"> through formal contracts. These contracts </w:t>
      </w:r>
      <w:r>
        <w:t xml:space="preserve">also outline timelines and performance measures. </w:t>
      </w:r>
      <w:r w:rsidR="00A37336">
        <w:t xml:space="preserve">Adjunct staff primarily mark examinations and assessments. They are </w:t>
      </w:r>
      <w:r w:rsidR="00EE7FB4">
        <w:t>normally</w:t>
      </w:r>
      <w:r w:rsidR="00A37336">
        <w:t xml:space="preserve"> industry experts and academics who can provide additional expertise and interactions with students. Their marking feedback is used to inform assessments. </w:t>
      </w:r>
    </w:p>
    <w:p w:rsidR="00B50BD3" w:rsidRDefault="00B50BD3" w:rsidP="004147FE">
      <w:pPr>
        <w:pStyle w:val="Heading3"/>
      </w:pPr>
      <w:bookmarkStart w:id="79" w:name="_Toc359233195"/>
      <w:r>
        <w:t>Examinations/assessments</w:t>
      </w:r>
      <w:bookmarkEnd w:id="79"/>
    </w:p>
    <w:p w:rsidR="008B498C" w:rsidRDefault="008B498C" w:rsidP="008B498C">
      <w:pPr>
        <w:spacing w:after="240"/>
        <w:jc w:val="both"/>
      </w:pPr>
      <w:r>
        <w:t>While some students do assessments and/or examinations at the Open Polytechnic campus</w:t>
      </w:r>
      <w:r w:rsidR="00713EC6">
        <w:t>,</w:t>
      </w:r>
      <w:r>
        <w:t xml:space="preserve"> this is an exception. However</w:t>
      </w:r>
      <w:r w:rsidR="00A37336">
        <w:t>,</w:t>
      </w:r>
      <w:r>
        <w:t xml:space="preserve"> </w:t>
      </w:r>
      <w:r w:rsidR="00677FBA">
        <w:t>it does</w:t>
      </w:r>
      <w:r>
        <w:t xml:space="preserve"> have up to 51 assessment/examination centres nationwide. </w:t>
      </w:r>
    </w:p>
    <w:p w:rsidR="00B50BD3" w:rsidRDefault="00BA71D8" w:rsidP="00142747">
      <w:pPr>
        <w:spacing w:after="240"/>
        <w:jc w:val="both"/>
      </w:pPr>
      <w:r>
        <w:t xml:space="preserve">The Open Polytechnic </w:t>
      </w:r>
      <w:r w:rsidR="00A27AEA">
        <w:t>uses</w:t>
      </w:r>
      <w:r w:rsidR="008B498C">
        <w:t xml:space="preserve"> </w:t>
      </w:r>
      <w:r w:rsidR="00713EC6">
        <w:t>its</w:t>
      </w:r>
      <w:r w:rsidR="00A37336">
        <w:t xml:space="preserve"> assessment/examination</w:t>
      </w:r>
      <w:r w:rsidR="008B498C">
        <w:t xml:space="preserve"> centres and</w:t>
      </w:r>
      <w:r w:rsidR="00B50BD3">
        <w:t xml:space="preserve"> </w:t>
      </w:r>
      <w:r w:rsidR="00713EC6">
        <w:t>its</w:t>
      </w:r>
      <w:r w:rsidR="00B50BD3">
        <w:t xml:space="preserve"> regional networks to run examinations. For examinations with smaller numbers</w:t>
      </w:r>
      <w:r w:rsidR="00713EC6">
        <w:t>,</w:t>
      </w:r>
      <w:r w:rsidR="00B50BD3">
        <w:t xml:space="preserve"> this is the sole responsibility of the appropriate regional examiner or team, but for larger groups the Open Polytechnic does the </w:t>
      </w:r>
      <w:r w:rsidR="000F6BB0">
        <w:t>organising</w:t>
      </w:r>
      <w:r w:rsidR="00B50BD3">
        <w:t xml:space="preserve">. </w:t>
      </w:r>
      <w:r w:rsidR="003F540B">
        <w:t>Efforts</w:t>
      </w:r>
      <w:r w:rsidR="00B50BD3">
        <w:t xml:space="preserve"> are made to ensure the examination venues are no further than one hour’s drive </w:t>
      </w:r>
      <w:r w:rsidR="00B50BD3" w:rsidRPr="004A0010">
        <w:t>from</w:t>
      </w:r>
      <w:r w:rsidR="00B50BD3">
        <w:t xml:space="preserve"> the student(s).</w:t>
      </w:r>
    </w:p>
    <w:p w:rsidR="00B50BD3" w:rsidRDefault="008B498C" w:rsidP="00142747">
      <w:pPr>
        <w:spacing w:after="240"/>
        <w:jc w:val="both"/>
      </w:pPr>
      <w:r>
        <w:t>For c</w:t>
      </w:r>
      <w:r w:rsidR="00B50BD3">
        <w:t xml:space="preserve">ourses </w:t>
      </w:r>
      <w:r w:rsidR="00744381">
        <w:t>at</w:t>
      </w:r>
      <w:r w:rsidR="00B50BD3">
        <w:t xml:space="preserve"> </w:t>
      </w:r>
      <w:r w:rsidR="00B50BD3" w:rsidRPr="00E2796F">
        <w:t>Lev</w:t>
      </w:r>
      <w:r w:rsidR="00B50BD3">
        <w:t>els 5-7 on the National Qualifications Framework</w:t>
      </w:r>
      <w:r w:rsidR="00744381">
        <w:t>,</w:t>
      </w:r>
      <w:r w:rsidR="00B50BD3">
        <w:t xml:space="preserve"> </w:t>
      </w:r>
      <w:r w:rsidR="00786E63">
        <w:t xml:space="preserve">the </w:t>
      </w:r>
      <w:r w:rsidR="00B50BD3">
        <w:t xml:space="preserve">Open Polytechnic </w:t>
      </w:r>
      <w:r w:rsidR="005D79E3">
        <w:t>has</w:t>
      </w:r>
      <w:r w:rsidR="00B50BD3">
        <w:t xml:space="preserve"> introduced an online marking support system. This system allocates and directs electronically submitted assessments </w:t>
      </w:r>
      <w:r w:rsidR="00786E63">
        <w:t xml:space="preserve">on a pre-determined basis </w:t>
      </w:r>
      <w:r w:rsidR="00B50BD3">
        <w:t xml:space="preserve">to those who will mark them. The system allows the markers to </w:t>
      </w:r>
      <w:r w:rsidR="00A37336">
        <w:t xml:space="preserve">provide feedback in the form of </w:t>
      </w:r>
      <w:r w:rsidR="00B50BD3">
        <w:t>electronic annotations</w:t>
      </w:r>
      <w:r w:rsidR="00A37336">
        <w:t>,</w:t>
      </w:r>
      <w:r w:rsidR="00B50BD3">
        <w:t xml:space="preserve"> highlighted font, ‘notes’, and </w:t>
      </w:r>
      <w:r w:rsidR="00B50BD3" w:rsidRPr="004A0010">
        <w:t>track</w:t>
      </w:r>
      <w:r w:rsidR="000F6BB0">
        <w:t>ed</w:t>
      </w:r>
      <w:r w:rsidR="00B50BD3" w:rsidRPr="004A0010">
        <w:t xml:space="preserve"> changes</w:t>
      </w:r>
      <w:r w:rsidR="00B50BD3">
        <w:t xml:space="preserve">. </w:t>
      </w:r>
    </w:p>
    <w:p w:rsidR="00B50BD3" w:rsidRDefault="00B568DE" w:rsidP="00142747">
      <w:pPr>
        <w:spacing w:after="240"/>
        <w:jc w:val="both"/>
      </w:pPr>
      <w:r>
        <w:t xml:space="preserve">The </w:t>
      </w:r>
      <w:r w:rsidR="00B50BD3">
        <w:t xml:space="preserve">Open Polytechnic has a </w:t>
      </w:r>
      <w:r w:rsidR="00B50BD3" w:rsidRPr="00D33AD4">
        <w:t>policy that if a student submits a</w:t>
      </w:r>
      <w:r w:rsidR="00B50BD3">
        <w:t>n</w:t>
      </w:r>
      <w:r w:rsidR="00B50BD3" w:rsidRPr="00D33AD4">
        <w:t xml:space="preserve"> assessment electronically they receive </w:t>
      </w:r>
      <w:r w:rsidR="00A37336">
        <w:t xml:space="preserve">a </w:t>
      </w:r>
      <w:r w:rsidR="00A37336" w:rsidRPr="000731A5">
        <w:t>marked</w:t>
      </w:r>
      <w:r w:rsidR="000731A5">
        <w:t>-</w:t>
      </w:r>
      <w:r w:rsidR="00A37336" w:rsidRPr="000731A5">
        <w:t>up</w:t>
      </w:r>
      <w:r w:rsidR="00A37336">
        <w:t xml:space="preserve"> version </w:t>
      </w:r>
      <w:r w:rsidR="00B50BD3" w:rsidRPr="00D33AD4">
        <w:t>back</w:t>
      </w:r>
      <w:r w:rsidR="00B50BD3">
        <w:t xml:space="preserve"> via the </w:t>
      </w:r>
      <w:r w:rsidR="00B50BD3" w:rsidRPr="000731A5">
        <w:t>LMS</w:t>
      </w:r>
      <w:r w:rsidR="00B50BD3">
        <w:t xml:space="preserve">. </w:t>
      </w:r>
      <w:r w:rsidR="00BA71D8">
        <w:t>And the</w:t>
      </w:r>
      <w:r w:rsidR="00B50BD3">
        <w:t xml:space="preserve"> LMS </w:t>
      </w:r>
      <w:r w:rsidR="00BA71D8">
        <w:t>allows</w:t>
      </w:r>
      <w:r w:rsidR="00B50BD3">
        <w:t xml:space="preserve"> student</w:t>
      </w:r>
      <w:r w:rsidR="00BA71D8">
        <w:t>s to</w:t>
      </w:r>
      <w:r w:rsidR="00B50BD3">
        <w:t xml:space="preserve"> view feedback and</w:t>
      </w:r>
      <w:r w:rsidR="00B50BD3" w:rsidRPr="00D33AD4">
        <w:t xml:space="preserve"> comments </w:t>
      </w:r>
      <w:r w:rsidR="00BA71D8">
        <w:t>via</w:t>
      </w:r>
      <w:r w:rsidR="00B50BD3" w:rsidRPr="00D33AD4">
        <w:t xml:space="preserve"> an electronic marking sheet</w:t>
      </w:r>
      <w:r w:rsidR="00BA71D8">
        <w:t xml:space="preserve"> as well as providing </w:t>
      </w:r>
      <w:r w:rsidR="00B50BD3" w:rsidRPr="00D33AD4">
        <w:t>model answers</w:t>
      </w:r>
      <w:r w:rsidR="00B50BD3">
        <w:t>. When th</w:t>
      </w:r>
      <w:r w:rsidR="00A37336">
        <w:t>e</w:t>
      </w:r>
      <w:r w:rsidR="00B50BD3">
        <w:t xml:space="preserve"> marking process is complete</w:t>
      </w:r>
      <w:r w:rsidR="006A570A">
        <w:t>,</w:t>
      </w:r>
      <w:r w:rsidR="00B50BD3">
        <w:t xml:space="preserve"> the system alerts the student that their assessment is available for viewing.</w:t>
      </w:r>
    </w:p>
    <w:p w:rsidR="00B50BD3" w:rsidRDefault="00B50BD3" w:rsidP="004147FE">
      <w:pPr>
        <w:pStyle w:val="Heading3"/>
      </w:pPr>
      <w:bookmarkStart w:id="80" w:name="_Toc359233196"/>
      <w:r>
        <w:t xml:space="preserve">Recognition of </w:t>
      </w:r>
      <w:r w:rsidR="00134F19">
        <w:t>p</w:t>
      </w:r>
      <w:r>
        <w:t xml:space="preserve">rior </w:t>
      </w:r>
      <w:r w:rsidR="00134F19">
        <w:t>l</w:t>
      </w:r>
      <w:r>
        <w:t>earning</w:t>
      </w:r>
      <w:bookmarkEnd w:id="80"/>
    </w:p>
    <w:p w:rsidR="00B50BD3" w:rsidRDefault="00B50BD3" w:rsidP="00F7463E">
      <w:pPr>
        <w:spacing w:after="240"/>
        <w:jc w:val="both"/>
      </w:pPr>
      <w:r>
        <w:t>The Open Polytechnic is running a pilot for recognition of prior learning (RPL</w:t>
      </w:r>
      <w:r w:rsidR="00D96FA0">
        <w:t xml:space="preserve">) </w:t>
      </w:r>
      <w:r w:rsidR="000D220D">
        <w:t xml:space="preserve">so </w:t>
      </w:r>
      <w:r w:rsidR="00F717B8">
        <w:t>it</w:t>
      </w:r>
      <w:r w:rsidR="000D220D">
        <w:t xml:space="preserve"> can</w:t>
      </w:r>
      <w:r w:rsidR="00D96FA0">
        <w:t xml:space="preserve"> link </w:t>
      </w:r>
      <w:r w:rsidR="00A971D0">
        <w:t>this</w:t>
      </w:r>
      <w:r>
        <w:t xml:space="preserve"> with </w:t>
      </w:r>
      <w:r w:rsidR="00F717B8">
        <w:t>its</w:t>
      </w:r>
      <w:r>
        <w:t xml:space="preserve"> enrolment and student support processes. </w:t>
      </w:r>
      <w:r w:rsidR="000D220D">
        <w:t xml:space="preserve">The </w:t>
      </w:r>
      <w:r>
        <w:t xml:space="preserve">Open Polytechnic’s RPL process involves </w:t>
      </w:r>
      <w:r w:rsidR="00B4287E">
        <w:t>gathering</w:t>
      </w:r>
      <w:r>
        <w:t xml:space="preserve"> evidence through mechanisms like professional conversations and questionnaires</w:t>
      </w:r>
      <w:r w:rsidR="00B4287E">
        <w:t>,</w:t>
      </w:r>
      <w:r>
        <w:t xml:space="preserve"> to allow learners to demonstrate competence or </w:t>
      </w:r>
      <w:r w:rsidR="00B4287E">
        <w:t>fulfil</w:t>
      </w:r>
      <w:r>
        <w:t xml:space="preserve"> credit requirements. The questionnaire precedes and informs the professional conversation(s). </w:t>
      </w:r>
      <w:r w:rsidR="00D96FA0">
        <w:t>A</w:t>
      </w:r>
      <w:r>
        <w:t xml:space="preserve">ccelerated assessments are </w:t>
      </w:r>
      <w:r w:rsidRPr="000731A5">
        <w:t>used where</w:t>
      </w:r>
      <w:r>
        <w:t xml:space="preserve"> students</w:t>
      </w:r>
      <w:r w:rsidR="00D96FA0">
        <w:t xml:space="preserve"> who</w:t>
      </w:r>
      <w:r>
        <w:t xml:space="preserve"> can clearly demonstrate competence </w:t>
      </w:r>
      <w:r w:rsidR="00F82E17">
        <w:t>are able to</w:t>
      </w:r>
      <w:r>
        <w:t xml:space="preserve"> complete their study more quickly. </w:t>
      </w:r>
    </w:p>
    <w:p w:rsidR="00B50BD3" w:rsidRDefault="00B50BD3" w:rsidP="004147FE">
      <w:pPr>
        <w:pStyle w:val="Heading3"/>
      </w:pPr>
      <w:bookmarkStart w:id="81" w:name="_Toc359233197"/>
      <w:r>
        <w:t>Student satisfaction, performance and completions</w:t>
      </w:r>
      <w:bookmarkEnd w:id="81"/>
    </w:p>
    <w:p w:rsidR="00B50BD3" w:rsidRDefault="00B50BD3" w:rsidP="00D778A0">
      <w:pPr>
        <w:spacing w:after="240"/>
        <w:jc w:val="both"/>
      </w:pPr>
      <w:r>
        <w:t xml:space="preserve">The Open Polytechnic uses Colmar Brunton to undertake </w:t>
      </w:r>
      <w:r w:rsidR="00B4287E">
        <w:t>its</w:t>
      </w:r>
      <w:r>
        <w:t xml:space="preserve"> student satisfaction survey</w:t>
      </w:r>
      <w:r w:rsidR="00A67EEA">
        <w:t>,</w:t>
      </w:r>
      <w:r>
        <w:t xml:space="preserve"> which covers pre-enrolment to completion. The surveys consistently show high levels of student satisfaction. The </w:t>
      </w:r>
      <w:r w:rsidR="005D4F2F">
        <w:t xml:space="preserve">Open Polytechnic’s </w:t>
      </w:r>
      <w:r>
        <w:t>Australasian Survey of Student Engagement</w:t>
      </w:r>
      <w:r w:rsidR="005D4F2F">
        <w:t xml:space="preserve"> data</w:t>
      </w:r>
      <w:r>
        <w:t xml:space="preserve"> also shows high levels of student satisfaction.</w:t>
      </w:r>
    </w:p>
    <w:p w:rsidR="00B50BD3" w:rsidRDefault="00B50BD3" w:rsidP="005829C1">
      <w:pPr>
        <w:spacing w:after="240"/>
        <w:jc w:val="both"/>
      </w:pPr>
      <w:r>
        <w:t xml:space="preserve">The Colmar Brunton surveys show </w:t>
      </w:r>
      <w:r w:rsidR="005647B7">
        <w:t xml:space="preserve">that </w:t>
      </w:r>
      <w:r>
        <w:t xml:space="preserve">the main reasons students enrol at </w:t>
      </w:r>
      <w:r w:rsidR="00A82638">
        <w:t xml:space="preserve">the </w:t>
      </w:r>
      <w:r>
        <w:t>Open Polytechnic are the flexibility and convenience of its services. But findings from the Colmar Brunton surveys also include inconsistent tutor support</w:t>
      </w:r>
      <w:r w:rsidR="005A0981">
        <w:t>,</w:t>
      </w:r>
      <w:r>
        <w:t xml:space="preserve"> with a wide variation from excellent to inadequate. One of </w:t>
      </w:r>
      <w:r w:rsidR="00DB0A4B">
        <w:t xml:space="preserve">the </w:t>
      </w:r>
      <w:r w:rsidR="005406BF">
        <w:t>surveys’</w:t>
      </w:r>
      <w:r>
        <w:t xml:space="preserve"> common themes was students’ concerns, </w:t>
      </w:r>
      <w:r w:rsidRPr="005B3A5B">
        <w:t>issues and</w:t>
      </w:r>
      <w:r>
        <w:t xml:space="preserve"> problems relating to perceived or actual isolation. Results from the 2011 Colmar Brunton survey indicated that </w:t>
      </w:r>
      <w:r w:rsidR="00A82638">
        <w:t xml:space="preserve">the </w:t>
      </w:r>
      <w:r>
        <w:t xml:space="preserve">Open Polytechnic’s assessment feedback and marking </w:t>
      </w:r>
      <w:r w:rsidR="008F77F3">
        <w:t>were</w:t>
      </w:r>
      <w:r>
        <w:t xml:space="preserve"> not as timely as students desired and this has led to improvements </w:t>
      </w:r>
      <w:r w:rsidRPr="005B3A5B">
        <w:t>being made</w:t>
      </w:r>
      <w:r>
        <w:t xml:space="preserve"> (</w:t>
      </w:r>
      <w:r w:rsidR="005406BF">
        <w:t>including</w:t>
      </w:r>
      <w:r>
        <w:t xml:space="preserve"> the online marking system</w:t>
      </w:r>
      <w:r w:rsidR="005406BF">
        <w:t xml:space="preserve"> referred to above</w:t>
      </w:r>
      <w:r>
        <w:t xml:space="preserve">). </w:t>
      </w:r>
    </w:p>
    <w:p w:rsidR="00B50BD3" w:rsidRDefault="00B50BD3" w:rsidP="004147FE">
      <w:pPr>
        <w:pStyle w:val="Heading3"/>
      </w:pPr>
      <w:bookmarkStart w:id="82" w:name="_Toc359233198"/>
      <w:r>
        <w:t xml:space="preserve">Single Data Return and </w:t>
      </w:r>
      <w:r w:rsidR="00EB66E9">
        <w:t>i</w:t>
      </w:r>
      <w:r w:rsidRPr="00EB66E9">
        <w:t xml:space="preserve">nstitutional </w:t>
      </w:r>
      <w:r w:rsidR="00EB66E9">
        <w:t>d</w:t>
      </w:r>
      <w:r w:rsidRPr="00EB66E9">
        <w:t>ata</w:t>
      </w:r>
      <w:bookmarkEnd w:id="82"/>
    </w:p>
    <w:p w:rsidR="00B50BD3" w:rsidRDefault="00B50BD3" w:rsidP="005829C1">
      <w:pPr>
        <w:spacing w:after="240"/>
        <w:jc w:val="both"/>
      </w:pPr>
      <w:r>
        <w:t xml:space="preserve">The Open Polytechnic uses </w:t>
      </w:r>
      <w:r w:rsidR="00C94328">
        <w:t xml:space="preserve">Single </w:t>
      </w:r>
      <w:r w:rsidR="005A0981">
        <w:t xml:space="preserve">Data Return </w:t>
      </w:r>
      <w:r w:rsidR="00C94328">
        <w:t>(</w:t>
      </w:r>
      <w:r>
        <w:t>SDR</w:t>
      </w:r>
      <w:r w:rsidR="00C94328">
        <w:t>)</w:t>
      </w:r>
      <w:r>
        <w:t xml:space="preserve"> for internal </w:t>
      </w:r>
      <w:r w:rsidR="00EE71AE">
        <w:t>as well as</w:t>
      </w:r>
      <w:r>
        <w:t xml:space="preserve"> external reporting</w:t>
      </w:r>
      <w:r w:rsidR="00EE71AE">
        <w:t>. Internal uses include</w:t>
      </w:r>
      <w:r>
        <w:t xml:space="preserve"> helping assess </w:t>
      </w:r>
      <w:r w:rsidR="00964605">
        <w:t>its</w:t>
      </w:r>
      <w:r>
        <w:t xml:space="preserve"> progress against </w:t>
      </w:r>
      <w:r w:rsidR="00C94328">
        <w:t>key performance indicators</w:t>
      </w:r>
      <w:r>
        <w:t xml:space="preserve">. </w:t>
      </w:r>
      <w:r w:rsidR="00A7794D">
        <w:t xml:space="preserve">External </w:t>
      </w:r>
      <w:r w:rsidR="00A7794D">
        <w:lastRenderedPageBreak/>
        <w:t>uses include</w:t>
      </w:r>
      <w:r>
        <w:t xml:space="preserve"> advis</w:t>
      </w:r>
      <w:r w:rsidR="00A7794D">
        <w:t>ing</w:t>
      </w:r>
      <w:r>
        <w:t xml:space="preserve"> clients </w:t>
      </w:r>
      <w:r w:rsidR="00A7794D">
        <w:t>such as</w:t>
      </w:r>
      <w:r>
        <w:t xml:space="preserve"> employers and </w:t>
      </w:r>
      <w:r w:rsidR="00D73DFE">
        <w:t>i</w:t>
      </w:r>
      <w:r w:rsidRPr="00964605">
        <w:t xml:space="preserve">ndustry </w:t>
      </w:r>
      <w:r w:rsidR="00D73DFE">
        <w:t>t</w:t>
      </w:r>
      <w:r w:rsidRPr="00964605">
        <w:t xml:space="preserve">raining </w:t>
      </w:r>
      <w:r w:rsidR="00D73DFE">
        <w:t>o</w:t>
      </w:r>
      <w:r w:rsidRPr="00964605">
        <w:t>r</w:t>
      </w:r>
      <w:r>
        <w:t>ganisations</w:t>
      </w:r>
      <w:r w:rsidR="00FC2A4E">
        <w:t xml:space="preserve"> (ITOs)</w:t>
      </w:r>
      <w:r>
        <w:t xml:space="preserve"> of trainee and employee progress. </w:t>
      </w:r>
    </w:p>
    <w:p w:rsidR="00B50BD3" w:rsidRDefault="00A7794D" w:rsidP="005829C1">
      <w:pPr>
        <w:spacing w:after="240"/>
        <w:jc w:val="both"/>
      </w:pPr>
      <w:r>
        <w:t xml:space="preserve">The </w:t>
      </w:r>
      <w:r w:rsidR="00B50BD3">
        <w:t xml:space="preserve">Open Polytechnic’s logistics department records critical </w:t>
      </w:r>
      <w:r w:rsidR="00B50BD3" w:rsidRPr="005D5439">
        <w:t>data including</w:t>
      </w:r>
      <w:r w:rsidR="00B50BD3">
        <w:t xml:space="preserve"> the course delivery mode and channel(s), assessments, programme details such as how it was approved and who did this</w:t>
      </w:r>
      <w:r w:rsidR="00DB0A4B">
        <w:t>,</w:t>
      </w:r>
      <w:r w:rsidR="00B50BD3">
        <w:t xml:space="preserve"> and mandatory fields such as funding codes and credits. </w:t>
      </w:r>
      <w:r w:rsidR="000245A8">
        <w:t>It uses</w:t>
      </w:r>
      <w:r w:rsidR="00EE71AE">
        <w:t xml:space="preserve"> data</w:t>
      </w:r>
      <w:r w:rsidR="00B50BD3">
        <w:t xml:space="preserve"> to </w:t>
      </w:r>
      <w:r w:rsidR="000245A8">
        <w:t>determine</w:t>
      </w:r>
      <w:r w:rsidR="00B50BD3">
        <w:t xml:space="preserve"> the course materials that need to be sent to students as well as confirming </w:t>
      </w:r>
      <w:r w:rsidR="00B50BD3" w:rsidRPr="00964605">
        <w:t xml:space="preserve">that they are correct </w:t>
      </w:r>
      <w:r w:rsidR="005A0981" w:rsidRPr="00964605">
        <w:t>before</w:t>
      </w:r>
      <w:r w:rsidR="00B50BD3" w:rsidRPr="00964605">
        <w:t xml:space="preserve"> dispat</w:t>
      </w:r>
      <w:r w:rsidR="00B50BD3">
        <w:t xml:space="preserve">ch. </w:t>
      </w:r>
    </w:p>
    <w:p w:rsidR="00B50BD3" w:rsidRDefault="00B50BD3" w:rsidP="005829C1">
      <w:pPr>
        <w:spacing w:after="240"/>
        <w:jc w:val="both"/>
      </w:pPr>
      <w:r>
        <w:t>Data on prior achievement is used to identify additional support requirements</w:t>
      </w:r>
      <w:r w:rsidR="00A7794D">
        <w:t>. It is also used</w:t>
      </w:r>
      <w:r>
        <w:t xml:space="preserve"> to inform recruitment</w:t>
      </w:r>
      <w:r w:rsidR="00A10390">
        <w:t>,</w:t>
      </w:r>
      <w:r w:rsidR="00C94328">
        <w:t xml:space="preserve"> </w:t>
      </w:r>
      <w:r w:rsidR="00A7794D">
        <w:t>with an emphasis on</w:t>
      </w:r>
      <w:r>
        <w:t xml:space="preserve"> student groups who are more likely to enrol and be successful. Data is used by faculty to re-engage with students</w:t>
      </w:r>
      <w:r w:rsidRPr="00667E82">
        <w:t xml:space="preserve"> </w:t>
      </w:r>
      <w:r>
        <w:t xml:space="preserve">as well as monitoring </w:t>
      </w:r>
      <w:r w:rsidR="00DB0A4B">
        <w:t>their</w:t>
      </w:r>
      <w:r>
        <w:t xml:space="preserve"> progress and success and the support they have received. It is also used as a reminder to </w:t>
      </w:r>
      <w:r w:rsidRPr="00A66452">
        <w:t>those</w:t>
      </w:r>
      <w:r>
        <w:t xml:space="preserve"> learners who have completed their enrolment</w:t>
      </w:r>
      <w:r w:rsidR="00EE71AE">
        <w:t>,</w:t>
      </w:r>
      <w:r>
        <w:t xml:space="preserve"> but have taken no further action. </w:t>
      </w:r>
    </w:p>
    <w:p w:rsidR="00B50BD3" w:rsidRDefault="00B50BD3" w:rsidP="004147FE">
      <w:pPr>
        <w:pStyle w:val="Heading3"/>
      </w:pPr>
      <w:bookmarkStart w:id="83" w:name="_Toc359233199"/>
      <w:r>
        <w:t>Course type/structure</w:t>
      </w:r>
      <w:bookmarkEnd w:id="83"/>
    </w:p>
    <w:p w:rsidR="00B50BD3" w:rsidRDefault="00A7794D" w:rsidP="00DA48F0">
      <w:pPr>
        <w:spacing w:after="240"/>
        <w:jc w:val="both"/>
      </w:pPr>
      <w:r>
        <w:t xml:space="preserve">The </w:t>
      </w:r>
      <w:r w:rsidR="00B50BD3">
        <w:t xml:space="preserve">Open Polytechnic </w:t>
      </w:r>
      <w:r>
        <w:t>has</w:t>
      </w:r>
      <w:r w:rsidR="00B50BD3">
        <w:t xml:space="preserve"> two types of courses: trimester </w:t>
      </w:r>
      <w:r w:rsidR="00B50BD3" w:rsidRPr="005F7D2C">
        <w:t>courses</w:t>
      </w:r>
      <w:r w:rsidR="005F7D2C">
        <w:t>,</w:t>
      </w:r>
      <w:r w:rsidR="00B50BD3" w:rsidRPr="005F7D2C">
        <w:t xml:space="preserve"> which run</w:t>
      </w:r>
      <w:r w:rsidR="00B50BD3">
        <w:t xml:space="preserve"> for 17 weeks</w:t>
      </w:r>
      <w:r w:rsidR="005F7D2C">
        <w:t>,</w:t>
      </w:r>
      <w:r w:rsidR="00B50BD3">
        <w:t xml:space="preserve"> and open courses. For open courses</w:t>
      </w:r>
      <w:r w:rsidR="00B22945">
        <w:t>,</w:t>
      </w:r>
      <w:r w:rsidR="00B50BD3" w:rsidRPr="00010A08">
        <w:t xml:space="preserve"> </w:t>
      </w:r>
      <w:r w:rsidR="00B50BD3">
        <w:t xml:space="preserve">students select a start date or ‘block’. </w:t>
      </w:r>
      <w:r w:rsidR="00CF7172">
        <w:t>T</w:t>
      </w:r>
      <w:r w:rsidR="00B50BD3">
        <w:t>he</w:t>
      </w:r>
      <w:r>
        <w:t>se open</w:t>
      </w:r>
      <w:r w:rsidR="00B50BD3">
        <w:t xml:space="preserve"> course</w:t>
      </w:r>
      <w:r>
        <w:t>s</w:t>
      </w:r>
      <w:r w:rsidR="00B50BD3">
        <w:t xml:space="preserve"> run</w:t>
      </w:r>
      <w:r w:rsidR="00B22945">
        <w:t xml:space="preserve"> for</w:t>
      </w:r>
      <w:r w:rsidR="00B50BD3">
        <w:t xml:space="preserve"> 32 </w:t>
      </w:r>
      <w:r w:rsidR="00CF7172">
        <w:t xml:space="preserve">consecutive </w:t>
      </w:r>
      <w:r w:rsidR="00B50BD3">
        <w:t xml:space="preserve">weeks from the first of the month after </w:t>
      </w:r>
      <w:r w:rsidR="005F7D2C">
        <w:t>the student’s</w:t>
      </w:r>
      <w:r w:rsidR="00B50BD3">
        <w:t xml:space="preserve"> enrolment is accepted.</w:t>
      </w:r>
    </w:p>
    <w:p w:rsidR="00B50BD3" w:rsidRDefault="00B50BD3" w:rsidP="004147FE">
      <w:pPr>
        <w:pStyle w:val="Heading3"/>
      </w:pPr>
      <w:bookmarkStart w:id="84" w:name="_Toc359233200"/>
      <w:r>
        <w:t>Programme/</w:t>
      </w:r>
      <w:r w:rsidR="00134F19">
        <w:t>c</w:t>
      </w:r>
      <w:r>
        <w:t>ourse development, approval and materials</w:t>
      </w:r>
      <w:bookmarkEnd w:id="84"/>
    </w:p>
    <w:p w:rsidR="00B50BD3" w:rsidRDefault="00B50BD3" w:rsidP="00DA48F0">
      <w:pPr>
        <w:spacing w:after="240"/>
        <w:jc w:val="both"/>
      </w:pPr>
      <w:r>
        <w:t>In distance education</w:t>
      </w:r>
      <w:r w:rsidR="00904D01">
        <w:t>,</w:t>
      </w:r>
      <w:r>
        <w:t xml:space="preserve"> accessibility for students is critical and learning materials need to </w:t>
      </w:r>
      <w:r w:rsidRPr="00FA609E">
        <w:t>assist and contribute to</w:t>
      </w:r>
      <w:r>
        <w:t xml:space="preserve"> student motivation. To achieve this</w:t>
      </w:r>
      <w:r w:rsidR="00D5609A">
        <w:t xml:space="preserve"> objective</w:t>
      </w:r>
      <w:r w:rsidR="00B22945">
        <w:t>,</w:t>
      </w:r>
      <w:r>
        <w:t xml:space="preserve"> </w:t>
      </w:r>
      <w:r w:rsidR="00D5609A">
        <w:t xml:space="preserve">the </w:t>
      </w:r>
      <w:r>
        <w:t xml:space="preserve">Open Polytechnic has a dedicated team of instructional </w:t>
      </w:r>
      <w:r w:rsidRPr="00FA609E">
        <w:t>designers</w:t>
      </w:r>
      <w:r w:rsidR="00D5609A" w:rsidRPr="00FA609E">
        <w:t xml:space="preserve"> which</w:t>
      </w:r>
      <w:r>
        <w:t xml:space="preserve"> also ha</w:t>
      </w:r>
      <w:r w:rsidR="00D5609A">
        <w:t>s</w:t>
      </w:r>
      <w:r>
        <w:t xml:space="preserve"> input from specialists </w:t>
      </w:r>
      <w:r w:rsidR="008023C8">
        <w:t>in</w:t>
      </w:r>
      <w:r>
        <w:t xml:space="preserve"> print, graphic design, LMS, multimedia, layout, editing, flexible learning, and user interface. External and internal subject matter experts are also involved. </w:t>
      </w:r>
    </w:p>
    <w:p w:rsidR="00B50BD3" w:rsidRDefault="00B50BD3" w:rsidP="00DA48F0">
      <w:pPr>
        <w:spacing w:after="240"/>
        <w:jc w:val="both"/>
      </w:pPr>
      <w:r>
        <w:t xml:space="preserve">Specialist editors are used to ensure that the grammar, punctuation and spelling in programme materials are accurate. Another critical role they play is in ensuring there is a consistent ‘look and feel’ </w:t>
      </w:r>
      <w:r w:rsidR="00E72074">
        <w:t>to</w:t>
      </w:r>
      <w:r>
        <w:t xml:space="preserve"> the programme materials</w:t>
      </w:r>
      <w:r w:rsidR="00372195">
        <w:t>,</w:t>
      </w:r>
      <w:r>
        <w:t xml:space="preserve"> because this assists students</w:t>
      </w:r>
      <w:r w:rsidR="00372195">
        <w:t>’</w:t>
      </w:r>
      <w:r>
        <w:t xml:space="preserve"> learning.</w:t>
      </w:r>
      <w:r w:rsidRPr="00A05C03">
        <w:t xml:space="preserve"> </w:t>
      </w:r>
      <w:r w:rsidR="00D5609A">
        <w:t>Technical experts, who are typically Open Polytechnic staff,</w:t>
      </w:r>
      <w:r>
        <w:t xml:space="preserve"> also ensure such items as legislative, technical, and mathematical and scientific </w:t>
      </w:r>
      <w:r w:rsidRPr="004D7C09">
        <w:t>concepts and</w:t>
      </w:r>
      <w:r>
        <w:t xml:space="preserve"> formulas are accurate. </w:t>
      </w:r>
      <w:r w:rsidR="00D5609A">
        <w:t>The</w:t>
      </w:r>
      <w:r>
        <w:t xml:space="preserve"> Open Polytechnic also employs project and operations managers </w:t>
      </w:r>
      <w:r w:rsidR="008023C8">
        <w:t>to develop its</w:t>
      </w:r>
      <w:r>
        <w:t xml:space="preserve"> programme materials. </w:t>
      </w:r>
    </w:p>
    <w:p w:rsidR="00B50BD3" w:rsidRDefault="002E384C" w:rsidP="00DA48F0">
      <w:pPr>
        <w:spacing w:after="240"/>
        <w:jc w:val="both"/>
      </w:pPr>
      <w:r>
        <w:t>The work of e</w:t>
      </w:r>
      <w:r w:rsidR="00B50BD3">
        <w:t>xternal writers</w:t>
      </w:r>
      <w:r>
        <w:t xml:space="preserve"> </w:t>
      </w:r>
      <w:r w:rsidR="00B50BD3">
        <w:t>need</w:t>
      </w:r>
      <w:r>
        <w:t>s</w:t>
      </w:r>
      <w:r w:rsidR="00B50BD3">
        <w:t xml:space="preserve"> to be carefully peer reviewed to ensure </w:t>
      </w:r>
      <w:r>
        <w:t>it</w:t>
      </w:r>
      <w:r w:rsidR="00B50BD3">
        <w:t xml:space="preserve"> meets expected Open Polytechnic standards and requirements. This peer review also allows for the identification of any copyright breaches or issues.</w:t>
      </w:r>
    </w:p>
    <w:p w:rsidR="00B50BD3" w:rsidRDefault="002304E2" w:rsidP="00DA48F0">
      <w:pPr>
        <w:spacing w:after="240"/>
        <w:jc w:val="both"/>
      </w:pPr>
      <w:r>
        <w:t>Their</w:t>
      </w:r>
      <w:r w:rsidR="00B50BD3">
        <w:t xml:space="preserve"> Learning and Teaching Solutions Directorate</w:t>
      </w:r>
      <w:r w:rsidR="00D5609A">
        <w:t xml:space="preserve"> </w:t>
      </w:r>
      <w:r w:rsidR="007E317D">
        <w:t>is</w:t>
      </w:r>
      <w:r w:rsidR="00B50BD3">
        <w:t xml:space="preserve"> responsible for the programme development approval process. </w:t>
      </w:r>
      <w:r w:rsidR="00D5609A">
        <w:t>This</w:t>
      </w:r>
      <w:r w:rsidR="00B50BD3">
        <w:t xml:space="preserve"> process </w:t>
      </w:r>
      <w:r w:rsidR="00E72074">
        <w:t xml:space="preserve">involves a </w:t>
      </w:r>
      <w:r w:rsidR="00B50BD3">
        <w:t xml:space="preserve">concept case, business case, academic case, </w:t>
      </w:r>
      <w:r w:rsidR="00B50BD3" w:rsidRPr="006D3CF2">
        <w:t xml:space="preserve">and programme design </w:t>
      </w:r>
      <w:r w:rsidR="00B50BD3">
        <w:t>document. The concept case outlines what the programme is proposing</w:t>
      </w:r>
      <w:r w:rsidR="001908FC">
        <w:t>,</w:t>
      </w:r>
      <w:r w:rsidR="00B50BD3">
        <w:t xml:space="preserve"> while the business case focuses on its sustainability. A programme business case focuses on the expected initial investment as well as the ongoing/operational costs.  </w:t>
      </w:r>
    </w:p>
    <w:p w:rsidR="00B50BD3" w:rsidRDefault="00B50BD3" w:rsidP="00DA48F0">
      <w:pPr>
        <w:spacing w:after="240"/>
        <w:jc w:val="both"/>
      </w:pPr>
      <w:r>
        <w:t>Programme reviews are carried out by the programme leader</w:t>
      </w:r>
      <w:r w:rsidR="0094273D">
        <w:t>,</w:t>
      </w:r>
      <w:r>
        <w:t xml:space="preserve"> who ensures the course or modules are consistent with the programme and any programme</w:t>
      </w:r>
      <w:r w:rsidR="00DA6F9A">
        <w:t>-</w:t>
      </w:r>
      <w:r>
        <w:t xml:space="preserve">specific requirements are being met. For revisions and small amendments a reduced process is employed. For these and other programme updates </w:t>
      </w:r>
      <w:r w:rsidR="0059142C">
        <w:t xml:space="preserve">the </w:t>
      </w:r>
      <w:r>
        <w:t>Open Polytechnic relies on faculty input and directives.</w:t>
      </w:r>
    </w:p>
    <w:p w:rsidR="00B50BD3" w:rsidRDefault="0059142C" w:rsidP="00DA48F0">
      <w:pPr>
        <w:spacing w:after="240"/>
        <w:jc w:val="both"/>
      </w:pPr>
      <w:r>
        <w:t xml:space="preserve">The </w:t>
      </w:r>
      <w:r w:rsidR="00B50BD3">
        <w:t>Open Polytechnic also undertake</w:t>
      </w:r>
      <w:r>
        <w:t>s</w:t>
      </w:r>
      <w:r w:rsidR="00B50BD3">
        <w:t xml:space="preserve"> a review to ensure its materials are culturally appropriate. Course evaluation reports focus on students’ results, how the course is progressing, and </w:t>
      </w:r>
      <w:r w:rsidR="000D0B90">
        <w:t>the identification of</w:t>
      </w:r>
      <w:r w:rsidR="00B50BD3">
        <w:t xml:space="preserve"> issues and concerns. </w:t>
      </w:r>
      <w:r>
        <w:t>These reports</w:t>
      </w:r>
      <w:r w:rsidR="0072774A">
        <w:t>,</w:t>
      </w:r>
      <w:r w:rsidR="00B50BD3">
        <w:t xml:space="preserve"> along with the student satisfaction survey and annual programme evaluation </w:t>
      </w:r>
      <w:r w:rsidR="008023C8">
        <w:t>reports</w:t>
      </w:r>
      <w:r w:rsidR="00B50BD3">
        <w:t xml:space="preserve"> are used to inform </w:t>
      </w:r>
      <w:r>
        <w:t xml:space="preserve">programme-specific </w:t>
      </w:r>
      <w:r w:rsidR="00B50BD3">
        <w:t xml:space="preserve">action plans. </w:t>
      </w:r>
    </w:p>
    <w:p w:rsidR="00B50BD3" w:rsidRDefault="00B50BD3" w:rsidP="00DA48F0">
      <w:pPr>
        <w:spacing w:after="240"/>
        <w:jc w:val="both"/>
      </w:pPr>
      <w:r>
        <w:lastRenderedPageBreak/>
        <w:t>The Open Polytechnic’s Academic Board gets an overview of the programme evaluation reports and the progress on the action plans. The focus here is on where improvements have been made and the planned activities for the following year. On a quarterly basis, the Academic Board can consider over 100 programme evaluation reports.</w:t>
      </w:r>
    </w:p>
    <w:p w:rsidR="00B50BD3" w:rsidRDefault="00B50BD3" w:rsidP="004147FE">
      <w:pPr>
        <w:pStyle w:val="Heading3"/>
      </w:pPr>
      <w:bookmarkStart w:id="85" w:name="_Toc359233201"/>
      <w:r>
        <w:t>Delivery</w:t>
      </w:r>
      <w:bookmarkEnd w:id="85"/>
      <w:r>
        <w:t xml:space="preserve"> </w:t>
      </w:r>
    </w:p>
    <w:p w:rsidR="00B50BD3" w:rsidRDefault="00FE3664" w:rsidP="00713545">
      <w:pPr>
        <w:spacing w:after="240"/>
        <w:jc w:val="both"/>
      </w:pPr>
      <w:r>
        <w:t xml:space="preserve">The </w:t>
      </w:r>
      <w:r w:rsidR="00B50BD3">
        <w:t>Open Polytechnic’s analysis indicates that</w:t>
      </w:r>
      <w:r w:rsidR="00A27AEA">
        <w:t xml:space="preserve"> the</w:t>
      </w:r>
      <w:r w:rsidR="00B50BD3">
        <w:t xml:space="preserve"> uptake of e-learning is increasing, particularly among their fastest growing student group, the 18-24</w:t>
      </w:r>
      <w:r w:rsidR="00E81406">
        <w:t xml:space="preserve"> year old</w:t>
      </w:r>
      <w:r w:rsidR="00B50BD3">
        <w:t>s. However</w:t>
      </w:r>
      <w:r w:rsidR="00A767A9">
        <w:t>,</w:t>
      </w:r>
      <w:r w:rsidR="00B50BD3" w:rsidRPr="00B94B00">
        <w:t xml:space="preserve"> </w:t>
      </w:r>
      <w:r w:rsidR="00B50BD3">
        <w:t>their delivery is usually a mix of paper</w:t>
      </w:r>
      <w:r w:rsidR="00600B0E">
        <w:t>-</w:t>
      </w:r>
      <w:r w:rsidR="00B50BD3">
        <w:t xml:space="preserve">based and online because of technology limitations, external </w:t>
      </w:r>
      <w:r w:rsidR="009955A7">
        <w:t xml:space="preserve">and </w:t>
      </w:r>
      <w:r>
        <w:t>learner</w:t>
      </w:r>
      <w:r w:rsidR="009955A7">
        <w:t xml:space="preserve"> </w:t>
      </w:r>
      <w:r w:rsidR="00B50BD3">
        <w:t>requirements, and student preferences. Furthermore</w:t>
      </w:r>
      <w:r w:rsidR="000850EB">
        <w:t>,</w:t>
      </w:r>
      <w:r w:rsidR="00B50BD3">
        <w:t xml:space="preserve"> in </w:t>
      </w:r>
      <w:r w:rsidR="00600B0E">
        <w:t xml:space="preserve">the </w:t>
      </w:r>
      <w:r w:rsidR="00B50BD3">
        <w:t xml:space="preserve">Open Polytechnic’s view the available technologies lack the functionality to support fully online learning. </w:t>
      </w:r>
    </w:p>
    <w:p w:rsidR="00E81406" w:rsidRDefault="00B50BD3" w:rsidP="00E81406">
      <w:pPr>
        <w:spacing w:after="240"/>
        <w:jc w:val="both"/>
      </w:pPr>
      <w:r w:rsidRPr="009101DA">
        <w:t>While 52</w:t>
      </w:r>
      <w:r w:rsidR="00713545">
        <w:t xml:space="preserve"> percent </w:t>
      </w:r>
      <w:r w:rsidRPr="009101DA">
        <w:t xml:space="preserve">of </w:t>
      </w:r>
      <w:r>
        <w:t>the Open Polytechnic’s</w:t>
      </w:r>
      <w:r w:rsidRPr="009101DA">
        <w:t xml:space="preserve"> students prefer to study through a mixture of online, offline and print, </w:t>
      </w:r>
      <w:r w:rsidR="009351F2">
        <w:t>more</w:t>
      </w:r>
      <w:r w:rsidRPr="009101DA">
        <w:t xml:space="preserve"> students</w:t>
      </w:r>
      <w:r w:rsidR="009351F2">
        <w:t xml:space="preserve"> are</w:t>
      </w:r>
      <w:r w:rsidRPr="009101DA">
        <w:t xml:space="preserve"> requesting</w:t>
      </w:r>
      <w:r>
        <w:t xml:space="preserve"> </w:t>
      </w:r>
      <w:r w:rsidRPr="009101DA">
        <w:t>online-only versions of course materials (16</w:t>
      </w:r>
      <w:r w:rsidR="00713545">
        <w:t xml:space="preserve"> percent </w:t>
      </w:r>
      <w:r w:rsidRPr="009101DA">
        <w:t xml:space="preserve">of </w:t>
      </w:r>
      <w:r w:rsidR="0099765B">
        <w:t>s</w:t>
      </w:r>
      <w:r w:rsidRPr="0099765B">
        <w:t xml:space="preserve">tudent </w:t>
      </w:r>
      <w:r w:rsidR="0099765B">
        <w:t>s</w:t>
      </w:r>
      <w:r w:rsidRPr="0099765B">
        <w:t xml:space="preserve">atisfaction </w:t>
      </w:r>
      <w:r w:rsidR="0099765B">
        <w:t>s</w:t>
      </w:r>
      <w:r w:rsidRPr="0099765B">
        <w:t>urvey</w:t>
      </w:r>
      <w:r w:rsidRPr="009101DA">
        <w:t xml:space="preserve"> respondents in 2011, up from 12</w:t>
      </w:r>
      <w:r w:rsidR="00713545">
        <w:t xml:space="preserve"> percent</w:t>
      </w:r>
      <w:r w:rsidRPr="009101DA">
        <w:t xml:space="preserve"> in 2010).</w:t>
      </w:r>
      <w:r w:rsidR="00E81406" w:rsidRPr="00E81406">
        <w:t xml:space="preserve"> </w:t>
      </w:r>
      <w:r w:rsidR="00E81406">
        <w:t>And strategically, the Open Polytechnic wants to</w:t>
      </w:r>
      <w:r w:rsidR="00E81406" w:rsidRPr="006D2A49">
        <w:t xml:space="preserve"> </w:t>
      </w:r>
      <w:r w:rsidR="00E81406">
        <w:t>deliver its materials</w:t>
      </w:r>
      <w:r w:rsidR="00E81406" w:rsidRPr="006D2A49">
        <w:t xml:space="preserve"> in different media</w:t>
      </w:r>
      <w:r w:rsidR="00E81406">
        <w:t xml:space="preserve"> (</w:t>
      </w:r>
      <w:r w:rsidR="00E81406" w:rsidRPr="006D2A49">
        <w:t>online, mobile and paper</w:t>
      </w:r>
      <w:r w:rsidR="00E81406">
        <w:t>)</w:t>
      </w:r>
      <w:r w:rsidR="00E81406" w:rsidRPr="006D2A49">
        <w:t xml:space="preserve"> depending on learner context and </w:t>
      </w:r>
      <w:r w:rsidR="00E81406">
        <w:t>requirements</w:t>
      </w:r>
      <w:r w:rsidR="009955A7">
        <w:t xml:space="preserve">, but </w:t>
      </w:r>
      <w:r w:rsidR="00E81406" w:rsidRPr="006D2A49">
        <w:t>with online delivery</w:t>
      </w:r>
      <w:r w:rsidR="009955A7">
        <w:t xml:space="preserve"> as</w:t>
      </w:r>
      <w:r w:rsidR="00E81406" w:rsidRPr="006D2A49">
        <w:t xml:space="preserve"> the core focus.</w:t>
      </w:r>
    </w:p>
    <w:p w:rsidR="00B50BD3" w:rsidRDefault="00B50BD3" w:rsidP="00713545">
      <w:pPr>
        <w:spacing w:after="240"/>
        <w:jc w:val="both"/>
      </w:pPr>
      <w:r>
        <w:t>A large number of courses and programmes are also delivered through various blended models. For example, in many instances, the Open Polytechnic provides the theoretical components while using the services of adjunct faculty or ITOs and workplaces to facilitate activities occurring in the workplace such as assessments and verifications.</w:t>
      </w:r>
    </w:p>
    <w:p w:rsidR="009955A7" w:rsidRDefault="00B50BD3" w:rsidP="009955A7">
      <w:pPr>
        <w:spacing w:after="240"/>
        <w:jc w:val="both"/>
      </w:pPr>
      <w:r>
        <w:t>The Open Polytechnic’s</w:t>
      </w:r>
      <w:r w:rsidRPr="009101DA">
        <w:t xml:space="preserve"> delivery model allows self-directed individual learner</w:t>
      </w:r>
      <w:r>
        <w:t>s</w:t>
      </w:r>
      <w:r w:rsidRPr="009101DA">
        <w:t xml:space="preserve"> to access training and education </w:t>
      </w:r>
      <w:r>
        <w:t>at a time, place and pace of their choosing</w:t>
      </w:r>
      <w:r w:rsidR="006A7796">
        <w:t>, to fit</w:t>
      </w:r>
      <w:r w:rsidRPr="009101DA">
        <w:t xml:space="preserve"> in with their family, work and community commitments. In this model, the student communicates with tutors via email, text and phone</w:t>
      </w:r>
      <w:r w:rsidR="00E81406">
        <w:t>,</w:t>
      </w:r>
      <w:r w:rsidRPr="009101DA">
        <w:t xml:space="preserve"> and increasingly with </w:t>
      </w:r>
      <w:r>
        <w:t>their peers</w:t>
      </w:r>
      <w:r w:rsidRPr="009101DA">
        <w:t xml:space="preserve"> through online forums, </w:t>
      </w:r>
      <w:r>
        <w:t>rather than</w:t>
      </w:r>
      <w:r w:rsidRPr="009101DA">
        <w:t xml:space="preserve"> through</w:t>
      </w:r>
      <w:r>
        <w:t xml:space="preserve"> </w:t>
      </w:r>
      <w:r w:rsidRPr="009101DA">
        <w:t>face-to-face contact.</w:t>
      </w:r>
      <w:r w:rsidR="009955A7">
        <w:t xml:space="preserve"> The</w:t>
      </w:r>
      <w:r w:rsidR="00FE3664">
        <w:t xml:space="preserve"> Open Polytechnic</w:t>
      </w:r>
      <w:r w:rsidR="009955A7">
        <w:t xml:space="preserve"> also make</w:t>
      </w:r>
      <w:r w:rsidR="00FE3664">
        <w:t>s</w:t>
      </w:r>
      <w:r w:rsidR="009955A7">
        <w:t xml:space="preserve"> extensive use of video and DVDs/CDs to support </w:t>
      </w:r>
      <w:r w:rsidR="006A7796">
        <w:t>its</w:t>
      </w:r>
      <w:r w:rsidR="009955A7">
        <w:t xml:space="preserve"> learners.</w:t>
      </w:r>
    </w:p>
    <w:p w:rsidR="00B50BD3" w:rsidRDefault="00B50BD3" w:rsidP="004147FE">
      <w:pPr>
        <w:pStyle w:val="Heading3"/>
      </w:pPr>
      <w:bookmarkStart w:id="86" w:name="_Toc359233202"/>
      <w:r>
        <w:t>Business models/costs</w:t>
      </w:r>
      <w:bookmarkEnd w:id="86"/>
    </w:p>
    <w:p w:rsidR="00B50BD3" w:rsidRDefault="00B50BD3" w:rsidP="00A87ECF">
      <w:pPr>
        <w:spacing w:after="240"/>
        <w:jc w:val="both"/>
      </w:pPr>
      <w:r w:rsidRPr="00DD64E5">
        <w:t>In recent years the Open Polytechnic has introduced several new business models to enable it to meet the needs of new groups of learners. For example, to ensure greater success of priority learners studying at foundation and transition levels, the Open Polytechnic has evolved its open and distance learning</w:t>
      </w:r>
      <w:r w:rsidR="0059472C">
        <w:t xml:space="preserve"> support</w:t>
      </w:r>
      <w:r w:rsidRPr="00DD64E5">
        <w:t xml:space="preserve"> model and assessment</w:t>
      </w:r>
      <w:r w:rsidR="00FE3664">
        <w:t>s</w:t>
      </w:r>
      <w:r w:rsidRPr="00DD64E5">
        <w:t xml:space="preserve"> </w:t>
      </w:r>
      <w:r w:rsidR="00743902">
        <w:t>by partnering with</w:t>
      </w:r>
      <w:r w:rsidRPr="00DD64E5">
        <w:t xml:space="preserve"> </w:t>
      </w:r>
      <w:r>
        <w:t>community-based</w:t>
      </w:r>
      <w:r w:rsidRPr="00DD64E5">
        <w:t xml:space="preserve"> organisations</w:t>
      </w:r>
      <w:r w:rsidR="001F089C" w:rsidRPr="001F089C">
        <w:t xml:space="preserve"> </w:t>
      </w:r>
      <w:r w:rsidR="001F089C">
        <w:t xml:space="preserve">such as the </w:t>
      </w:r>
      <w:r w:rsidR="00EE5570">
        <w:t>New Zealand</w:t>
      </w:r>
      <w:r w:rsidR="001F089C">
        <w:t xml:space="preserve"> Home-</w:t>
      </w:r>
      <w:r w:rsidR="00EE5570">
        <w:t>b</w:t>
      </w:r>
      <w:r w:rsidR="001F089C">
        <w:t>ased Early Childhood Education Association and Barnardos</w:t>
      </w:r>
      <w:r w:rsidR="009E0607">
        <w:t>,</w:t>
      </w:r>
      <w:r w:rsidRPr="00DD64E5">
        <w:t xml:space="preserve"> where:</w:t>
      </w:r>
    </w:p>
    <w:p w:rsidR="004147FE" w:rsidRDefault="009E0607" w:rsidP="007E317D">
      <w:pPr>
        <w:numPr>
          <w:ilvl w:val="0"/>
          <w:numId w:val="37"/>
        </w:numPr>
        <w:ind w:left="851" w:hanging="567"/>
        <w:jc w:val="both"/>
      </w:pPr>
      <w:r>
        <w:t>t</w:t>
      </w:r>
      <w:r w:rsidR="004147FE">
        <w:t>he Open Polytechnic obtains accreditation and programme approval, develops and owns the learning materials, provides support for learners, creates and moderates assessments, and trains and moderates mentors</w:t>
      </w:r>
    </w:p>
    <w:p w:rsidR="004147FE" w:rsidRDefault="009E0607" w:rsidP="007E317D">
      <w:pPr>
        <w:numPr>
          <w:ilvl w:val="0"/>
          <w:numId w:val="37"/>
        </w:numPr>
        <w:ind w:left="851" w:hanging="567"/>
        <w:jc w:val="both"/>
      </w:pPr>
      <w:r>
        <w:t>t</w:t>
      </w:r>
      <w:r w:rsidR="004147FE">
        <w:t xml:space="preserve">he community-based organisations recruit priority learners and host mentors/coaches to support face-to-face and practical course components. </w:t>
      </w:r>
      <w:r w:rsidR="0059472C">
        <w:t>O</w:t>
      </w:r>
      <w:r w:rsidR="004147FE">
        <w:t>ne-on-one support is available where necessary</w:t>
      </w:r>
    </w:p>
    <w:p w:rsidR="004147FE" w:rsidRDefault="009E0607" w:rsidP="00BA28E4">
      <w:pPr>
        <w:numPr>
          <w:ilvl w:val="0"/>
          <w:numId w:val="37"/>
        </w:numPr>
        <w:spacing w:after="240"/>
        <w:ind w:hanging="357"/>
        <w:jc w:val="both"/>
      </w:pPr>
      <w:r>
        <w:t>l</w:t>
      </w:r>
      <w:r w:rsidR="004147FE">
        <w:t>earners in pre-existing communities, including workplaces, prisons and churches</w:t>
      </w:r>
      <w:r w:rsidR="003A5C6D">
        <w:t>,</w:t>
      </w:r>
      <w:r w:rsidR="004147FE">
        <w:t xml:space="preserve"> enrol through a community-based organisation at any</w:t>
      </w:r>
      <w:r w:rsidR="003A5C6D">
        <w:t xml:space="preserve"> </w:t>
      </w:r>
      <w:r w:rsidR="004147FE">
        <w:t>time throughout the year, and work at their own pace.</w:t>
      </w:r>
    </w:p>
    <w:p w:rsidR="001F089C" w:rsidRDefault="001F089C" w:rsidP="001F089C">
      <w:pPr>
        <w:spacing w:after="240"/>
        <w:jc w:val="both"/>
      </w:pPr>
      <w:r>
        <w:t xml:space="preserve">The Open Polytechnic is considering </w:t>
      </w:r>
      <w:r w:rsidRPr="0086344F">
        <w:t>leveraging</w:t>
      </w:r>
      <w:r>
        <w:t xml:space="preserve"> and formalising these partnerships by creating community hubs.</w:t>
      </w:r>
    </w:p>
    <w:p w:rsidR="00B50BD3" w:rsidRDefault="00FE3664" w:rsidP="001F089C">
      <w:pPr>
        <w:spacing w:before="120" w:after="240"/>
        <w:jc w:val="both"/>
      </w:pPr>
      <w:r>
        <w:t xml:space="preserve">The </w:t>
      </w:r>
      <w:r w:rsidR="00B50BD3">
        <w:t xml:space="preserve">Open Polytechnic’s main </w:t>
      </w:r>
      <w:r w:rsidR="003B0343">
        <w:t>asset is</w:t>
      </w:r>
      <w:r w:rsidR="00B50BD3">
        <w:t xml:space="preserve"> courseware that is specifically designed for the</w:t>
      </w:r>
      <w:r w:rsidR="003B0343">
        <w:t xml:space="preserve">            </w:t>
      </w:r>
      <w:r w:rsidR="00B50BD3">
        <w:t>self-directed learner.</w:t>
      </w:r>
      <w:r w:rsidR="001F089C">
        <w:t xml:space="preserve"> </w:t>
      </w:r>
      <w:r w:rsidR="00F91D92">
        <w:t>O</w:t>
      </w:r>
      <w:r w:rsidR="00B50BD3">
        <w:t>nce the initial investment has been made</w:t>
      </w:r>
      <w:r w:rsidR="00F91D92">
        <w:t>,</w:t>
      </w:r>
      <w:r>
        <w:t xml:space="preserve"> additional</w:t>
      </w:r>
      <w:r w:rsidR="00B50BD3">
        <w:t xml:space="preserve"> value is leveraged from the asset over the course of its life through the increasing number of learners enrolled in a </w:t>
      </w:r>
      <w:r w:rsidR="00B50BD3">
        <w:lastRenderedPageBreak/>
        <w:t>given course or programme. This is the basis of the economies of scale that can be achieved in open and distance learning. But this does not determine value for money. This is typically done by using Colmar Brunton data and industry partnerships.</w:t>
      </w:r>
    </w:p>
    <w:p w:rsidR="001F089C" w:rsidRDefault="00B50BD3" w:rsidP="00BA28E4">
      <w:pPr>
        <w:spacing w:after="240"/>
        <w:jc w:val="both"/>
      </w:pPr>
      <w:r>
        <w:t>In addition to being able to achieve economies of scale</w:t>
      </w:r>
      <w:r w:rsidR="00F91D92">
        <w:t>,</w:t>
      </w:r>
      <w:r>
        <w:t xml:space="preserve"> </w:t>
      </w:r>
      <w:r w:rsidR="00FE3664">
        <w:t xml:space="preserve">the </w:t>
      </w:r>
      <w:r>
        <w:t>Open Polytechnic</w:t>
      </w:r>
      <w:r w:rsidR="00E56E71">
        <w:t>,</w:t>
      </w:r>
      <w:r>
        <w:t xml:space="preserve"> </w:t>
      </w:r>
      <w:r w:rsidR="00FE3664">
        <w:t xml:space="preserve">unlike </w:t>
      </w:r>
      <w:r w:rsidR="00F91D92">
        <w:t xml:space="preserve">most </w:t>
      </w:r>
      <w:r w:rsidR="00FE3664">
        <w:t>other institutions</w:t>
      </w:r>
      <w:r w:rsidR="00E56E71">
        <w:t>,</w:t>
      </w:r>
      <w:r w:rsidR="00FE3664">
        <w:t xml:space="preserve"> does not need to</w:t>
      </w:r>
      <w:r>
        <w:t xml:space="preserve"> invest in </w:t>
      </w:r>
      <w:r w:rsidR="00B43D8F">
        <w:t>extensive</w:t>
      </w:r>
      <w:r>
        <w:t xml:space="preserve"> plant and facilities. But this is counter-balanced by </w:t>
      </w:r>
      <w:r w:rsidR="001740F6">
        <w:t>its</w:t>
      </w:r>
      <w:r>
        <w:t xml:space="preserve"> approach to learning materials and </w:t>
      </w:r>
      <w:r w:rsidR="001740F6">
        <w:t>its</w:t>
      </w:r>
      <w:r>
        <w:t xml:space="preserve"> overall support for students</w:t>
      </w:r>
      <w:r w:rsidR="001740F6">
        <w:t>,</w:t>
      </w:r>
      <w:r>
        <w:t xml:space="preserve"> including the practice of doing </w:t>
      </w:r>
      <w:r w:rsidR="001F089C">
        <w:t>numerous</w:t>
      </w:r>
      <w:r>
        <w:t xml:space="preserve"> follow-ups</w:t>
      </w:r>
      <w:r w:rsidR="00E56E71">
        <w:t>,</w:t>
      </w:r>
      <w:r>
        <w:t xml:space="preserve"> as well as the requirement to maintain multiple</w:t>
      </w:r>
      <w:r w:rsidR="00743902">
        <w:t xml:space="preserve"> </w:t>
      </w:r>
      <w:r>
        <w:t>infrastructures</w:t>
      </w:r>
      <w:r w:rsidR="00743902">
        <w:t xml:space="preserve"> to support paper-based and online delivery</w:t>
      </w:r>
      <w:r>
        <w:t xml:space="preserve">. </w:t>
      </w:r>
    </w:p>
    <w:p w:rsidR="00B50BD3" w:rsidRDefault="00B50BD3" w:rsidP="00BA28E4">
      <w:pPr>
        <w:spacing w:after="240"/>
        <w:jc w:val="both"/>
      </w:pPr>
      <w:r>
        <w:t xml:space="preserve">Advertising activity is increasingly being shifted online, as this provides a highly measurable and targeted means of communication. It also allows </w:t>
      </w:r>
      <w:r w:rsidR="00890C02">
        <w:t>for testing and refinement</w:t>
      </w:r>
      <w:r>
        <w:t xml:space="preserve"> based on results, which continually increases cost-effectiveness.  </w:t>
      </w:r>
    </w:p>
    <w:p w:rsidR="00B50BD3" w:rsidRDefault="00B50BD3" w:rsidP="00BA28E4">
      <w:pPr>
        <w:spacing w:after="240"/>
        <w:jc w:val="both"/>
      </w:pPr>
      <w:r>
        <w:t>A key focus</w:t>
      </w:r>
      <w:r w:rsidR="00743902">
        <w:t xml:space="preserve"> for </w:t>
      </w:r>
      <w:r w:rsidR="00890C02">
        <w:t xml:space="preserve">the </w:t>
      </w:r>
      <w:r w:rsidR="00743902">
        <w:t>Open Polytechnic</w:t>
      </w:r>
      <w:r>
        <w:t xml:space="preserve"> is lowering the cost of delivery. Costs are falling as more Open Polytechnic provision shifts online and to blended models. Further reductions could be made if paper-based materials were provided on a demand rather than mandatory basis. However</w:t>
      </w:r>
      <w:r w:rsidR="001F089C">
        <w:t>,</w:t>
      </w:r>
      <w:r>
        <w:t xml:space="preserve"> lower</w:t>
      </w:r>
      <w:r w:rsidR="00E2796F">
        <w:t>-</w:t>
      </w:r>
      <w:r>
        <w:t xml:space="preserve">level provision tends to be more expensive as this is still largely paper-based and </w:t>
      </w:r>
      <w:r w:rsidR="00890C02">
        <w:t xml:space="preserve">the </w:t>
      </w:r>
      <w:r>
        <w:t>Open Polytechnic also</w:t>
      </w:r>
      <w:r w:rsidR="001F089C">
        <w:t xml:space="preserve"> needs to</w:t>
      </w:r>
      <w:r>
        <w:t xml:space="preserve"> provide increased levels of support</w:t>
      </w:r>
      <w:r w:rsidR="001F089C">
        <w:t xml:space="preserve"> for students</w:t>
      </w:r>
      <w:r w:rsidR="00890C02">
        <w:t xml:space="preserve"> in these courses/programmes</w:t>
      </w:r>
      <w:r>
        <w:t xml:space="preserve">. </w:t>
      </w:r>
    </w:p>
    <w:p w:rsidR="00B50BD3" w:rsidRDefault="00B50BD3" w:rsidP="00BA28E4">
      <w:pPr>
        <w:pStyle w:val="Heading3"/>
      </w:pPr>
      <w:bookmarkStart w:id="87" w:name="_Toc359233203"/>
      <w:r>
        <w:t xml:space="preserve">ECE </w:t>
      </w:r>
      <w:r w:rsidR="009E0607">
        <w:t>p</w:t>
      </w:r>
      <w:r>
        <w:t xml:space="preserve">rogramme </w:t>
      </w:r>
      <w:r w:rsidR="009E0607">
        <w:t>c</w:t>
      </w:r>
      <w:r>
        <w:t xml:space="preserve">ase </w:t>
      </w:r>
      <w:r w:rsidR="009E0607">
        <w:t>s</w:t>
      </w:r>
      <w:r>
        <w:t>tudy</w:t>
      </w:r>
      <w:bookmarkEnd w:id="87"/>
    </w:p>
    <w:p w:rsidR="00B50BD3" w:rsidRDefault="00B50BD3" w:rsidP="00BA28E4">
      <w:pPr>
        <w:spacing w:after="240"/>
        <w:jc w:val="both"/>
      </w:pPr>
      <w:r>
        <w:t xml:space="preserve">The Open Polytechnic’s Bachelor of Teaching Early Childhood Education (ECE) programme is not typical of </w:t>
      </w:r>
      <w:r w:rsidR="002E3B48">
        <w:t>its</w:t>
      </w:r>
      <w:r>
        <w:t xml:space="preserve"> provision because Teachers Council requirements for registration mean that a minimum of 20 days</w:t>
      </w:r>
      <w:r w:rsidR="00554196">
        <w:t>’</w:t>
      </w:r>
      <w:r>
        <w:t xml:space="preserve"> </w:t>
      </w:r>
      <w:r w:rsidR="00036E54">
        <w:t xml:space="preserve">face-to-face </w:t>
      </w:r>
      <w:r>
        <w:t xml:space="preserve">delivery has to be </w:t>
      </w:r>
      <w:r w:rsidRPr="00554196">
        <w:t>provided</w:t>
      </w:r>
      <w:r w:rsidR="002E3B48">
        <w:t>.</w:t>
      </w:r>
      <w:r w:rsidRPr="00554196">
        <w:t xml:space="preserve"> </w:t>
      </w:r>
      <w:r w:rsidR="002E3B48">
        <w:t>F</w:t>
      </w:r>
      <w:r>
        <w:t xml:space="preserve">ace-to-face recruitment processes </w:t>
      </w:r>
      <w:r w:rsidR="002E3B48">
        <w:t xml:space="preserve">are also necessary </w:t>
      </w:r>
      <w:r>
        <w:t xml:space="preserve">to support authentication of applicants and assessment of their suitability to become an ECE teacher. </w:t>
      </w:r>
      <w:r w:rsidR="003B0343">
        <w:t>It uses its</w:t>
      </w:r>
      <w:r w:rsidR="00036E54">
        <w:t xml:space="preserve"> regional networks and staff to </w:t>
      </w:r>
      <w:r>
        <w:t>provide and facilitate</w:t>
      </w:r>
      <w:r w:rsidR="00036E54">
        <w:t xml:space="preserve"> these</w:t>
      </w:r>
      <w:r>
        <w:t xml:space="preserve"> face-to-face tutorials and workshops.</w:t>
      </w:r>
    </w:p>
    <w:p w:rsidR="00B50BD3" w:rsidRDefault="00B50BD3" w:rsidP="00BA28E4">
      <w:pPr>
        <w:spacing w:after="240"/>
        <w:jc w:val="both"/>
      </w:pPr>
      <w:r>
        <w:t xml:space="preserve">This ECE programme has high completion rates. One factor that contributes to the higher completion rates is the strength of the relationships between regional staff and students </w:t>
      </w:r>
      <w:r w:rsidR="003B0343">
        <w:t>as a result of</w:t>
      </w:r>
      <w:r>
        <w:t xml:space="preserve"> staff being in the same community as their students.   </w:t>
      </w:r>
    </w:p>
    <w:p w:rsidR="00517CA7" w:rsidRDefault="000C5942" w:rsidP="00517CA7">
      <w:pPr>
        <w:pStyle w:val="Appendix"/>
        <w:numPr>
          <w:ilvl w:val="0"/>
          <w:numId w:val="0"/>
        </w:numPr>
      </w:pPr>
      <w:r>
        <w:br w:type="page"/>
      </w:r>
      <w:bookmarkStart w:id="88" w:name="_Toc359233204"/>
      <w:bookmarkStart w:id="89" w:name="_Toc379545927"/>
      <w:r w:rsidR="00517CA7">
        <w:lastRenderedPageBreak/>
        <w:t>References</w:t>
      </w:r>
      <w:bookmarkEnd w:id="88"/>
      <w:bookmarkEnd w:id="89"/>
    </w:p>
    <w:p w:rsidR="00517CA7" w:rsidRDefault="00517CA7" w:rsidP="00517CA7">
      <w:pPr>
        <w:pStyle w:val="BodyText"/>
        <w:rPr>
          <w:lang w:val="en-GB" w:eastAsia="en-GB"/>
        </w:rPr>
      </w:pPr>
      <w:r w:rsidRPr="008819A2">
        <w:rPr>
          <w:lang w:val="en-GB" w:eastAsia="en-GB"/>
        </w:rPr>
        <w:t xml:space="preserve">Abdous, M., and </w:t>
      </w:r>
      <w:r>
        <w:rPr>
          <w:lang w:val="en-GB" w:eastAsia="en-GB"/>
        </w:rPr>
        <w:t>Yen, C</w:t>
      </w:r>
      <w:r w:rsidR="0028787D">
        <w:rPr>
          <w:lang w:val="en-GB" w:eastAsia="en-GB"/>
        </w:rPr>
        <w:t>.</w:t>
      </w:r>
      <w:r>
        <w:rPr>
          <w:lang w:val="en-GB" w:eastAsia="en-GB"/>
        </w:rPr>
        <w:t>-J</w:t>
      </w:r>
      <w:r w:rsidR="00FA5931">
        <w:rPr>
          <w:lang w:val="en-GB" w:eastAsia="en-GB"/>
        </w:rPr>
        <w:t>. (2010)</w:t>
      </w:r>
      <w:r w:rsidR="0059338D">
        <w:rPr>
          <w:lang w:val="en-GB" w:eastAsia="en-GB"/>
        </w:rPr>
        <w:t>,</w:t>
      </w:r>
      <w:r w:rsidRPr="008819A2">
        <w:rPr>
          <w:lang w:val="en-GB" w:eastAsia="en-GB"/>
        </w:rPr>
        <w:t xml:space="preserve"> </w:t>
      </w:r>
      <w:r w:rsidR="00D40152">
        <w:rPr>
          <w:i/>
          <w:lang w:val="en-GB" w:eastAsia="en-GB"/>
        </w:rPr>
        <w:t>A predictive study of learner satisfaction and outcomes in face-to-face, satellite broadcast, and live video-streaming learning e</w:t>
      </w:r>
      <w:r w:rsidRPr="00494A65">
        <w:rPr>
          <w:i/>
          <w:lang w:val="en-GB" w:eastAsia="en-GB"/>
        </w:rPr>
        <w:t>nvironments</w:t>
      </w:r>
      <w:r w:rsidR="00AC158C">
        <w:rPr>
          <w:i/>
          <w:lang w:val="en-GB" w:eastAsia="en-GB"/>
        </w:rPr>
        <w:t xml:space="preserve">, </w:t>
      </w:r>
      <w:r w:rsidR="00AC158C">
        <w:rPr>
          <w:lang w:val="en-GB" w:eastAsia="en-GB"/>
        </w:rPr>
        <w:t>The Internet and Higher Education 13(4)</w:t>
      </w:r>
    </w:p>
    <w:p w:rsidR="00517CA7" w:rsidRDefault="00517CA7" w:rsidP="00FA5931">
      <w:pPr>
        <w:pStyle w:val="BodyText"/>
      </w:pPr>
      <w:r w:rsidRPr="008819A2">
        <w:rPr>
          <w:lang w:val="en-GB" w:eastAsia="en-GB"/>
        </w:rPr>
        <w:t>Akyol, Z., G</w:t>
      </w:r>
      <w:r w:rsidR="00317716">
        <w:rPr>
          <w:lang w:val="en-GB" w:eastAsia="en-GB"/>
        </w:rPr>
        <w:t>arrison, D. R.</w:t>
      </w:r>
      <w:r w:rsidR="0028787D">
        <w:rPr>
          <w:lang w:val="en-GB" w:eastAsia="en-GB"/>
        </w:rPr>
        <w:t>,</w:t>
      </w:r>
      <w:r w:rsidR="00317716">
        <w:rPr>
          <w:lang w:val="en-GB" w:eastAsia="en-GB"/>
        </w:rPr>
        <w:t xml:space="preserve"> </w:t>
      </w:r>
      <w:r w:rsidR="001B33CE">
        <w:rPr>
          <w:lang w:val="en-GB" w:eastAsia="en-GB"/>
        </w:rPr>
        <w:t>and</w:t>
      </w:r>
      <w:r w:rsidR="00317716">
        <w:rPr>
          <w:lang w:val="en-GB" w:eastAsia="en-GB"/>
        </w:rPr>
        <w:t xml:space="preserve"> Ozden, M. Y.</w:t>
      </w:r>
      <w:r w:rsidR="00FA5931">
        <w:rPr>
          <w:lang w:val="en-GB" w:eastAsia="en-GB"/>
        </w:rPr>
        <w:t xml:space="preserve"> (2009).</w:t>
      </w:r>
      <w:r w:rsidRPr="008819A2">
        <w:rPr>
          <w:lang w:val="en-GB" w:eastAsia="en-GB"/>
        </w:rPr>
        <w:t xml:space="preserve"> </w:t>
      </w:r>
      <w:r w:rsidR="009A4CAF" w:rsidRPr="00AC158C">
        <w:rPr>
          <w:i/>
          <w:iCs/>
          <w:lang w:val="en-GB" w:eastAsia="en-GB"/>
        </w:rPr>
        <w:t>Online and blended communities of inquiry</w:t>
      </w:r>
      <w:r w:rsidR="00AC5BCD" w:rsidRPr="00AC158C">
        <w:rPr>
          <w:i/>
          <w:iCs/>
          <w:lang w:val="en-GB" w:eastAsia="en-GB"/>
        </w:rPr>
        <w:t>: e</w:t>
      </w:r>
      <w:r w:rsidR="009A4CAF" w:rsidRPr="00AC158C">
        <w:rPr>
          <w:i/>
          <w:iCs/>
          <w:lang w:val="en-GB" w:eastAsia="en-GB"/>
        </w:rPr>
        <w:t>xploring the developmental and perceptional d</w:t>
      </w:r>
      <w:r w:rsidR="00FA5931" w:rsidRPr="00AC158C">
        <w:rPr>
          <w:i/>
          <w:iCs/>
          <w:lang w:val="en-GB" w:eastAsia="en-GB"/>
        </w:rPr>
        <w:t>ifferences</w:t>
      </w:r>
      <w:r w:rsidR="00AC158C">
        <w:rPr>
          <w:iCs/>
          <w:lang w:val="en-GB" w:eastAsia="en-GB"/>
        </w:rPr>
        <w:t>,</w:t>
      </w:r>
      <w:r w:rsidRPr="008819A2">
        <w:rPr>
          <w:i/>
          <w:iCs/>
          <w:lang w:val="en-GB" w:eastAsia="en-GB"/>
        </w:rPr>
        <w:t xml:space="preserve"> </w:t>
      </w:r>
      <w:r w:rsidRPr="00AC158C">
        <w:rPr>
          <w:iCs/>
          <w:lang w:val="en-GB" w:eastAsia="en-GB"/>
        </w:rPr>
        <w:t>International Review of Research in Open and Distance Learning,</w:t>
      </w:r>
      <w:r w:rsidR="009F3465" w:rsidRPr="00AC158C">
        <w:rPr>
          <w:iCs/>
          <w:lang w:val="en-GB" w:eastAsia="en-GB"/>
        </w:rPr>
        <w:t xml:space="preserve"> 10(6</w:t>
      </w:r>
      <w:r w:rsidR="009F3465">
        <w:rPr>
          <w:iCs/>
          <w:lang w:val="en-GB" w:eastAsia="en-GB"/>
        </w:rPr>
        <w:t>)</w:t>
      </w:r>
      <w:r w:rsidR="00AC158C">
        <w:rPr>
          <w:iCs/>
          <w:lang w:val="en-GB" w:eastAsia="en-GB"/>
        </w:rPr>
        <w:t>, r</w:t>
      </w:r>
      <w:r w:rsidRPr="008819A2">
        <w:rPr>
          <w:iCs/>
          <w:lang w:val="en-GB" w:eastAsia="en-GB"/>
        </w:rPr>
        <w:t xml:space="preserve">etrieved from </w:t>
      </w:r>
      <w:hyperlink r:id="rId39" w:history="1">
        <w:r w:rsidRPr="008819A2">
          <w:rPr>
            <w:rStyle w:val="Hyperlink"/>
            <w:iCs/>
            <w:szCs w:val="22"/>
            <w:lang w:val="en-GB" w:eastAsia="en-GB"/>
          </w:rPr>
          <w:t>http://www.irrodl.org/index.php/irrodl/article/viewArticle/765/1436</w:t>
        </w:r>
      </w:hyperlink>
    </w:p>
    <w:p w:rsidR="00517CA7" w:rsidRDefault="00B31B8D" w:rsidP="00517CA7">
      <w:pPr>
        <w:pStyle w:val="BodyText"/>
      </w:pPr>
      <w:r>
        <w:rPr>
          <w:lang w:val="en-AU"/>
        </w:rPr>
        <w:t>Anderson, B.</w:t>
      </w:r>
      <w:r w:rsidR="00EE2135">
        <w:rPr>
          <w:lang w:val="en-AU"/>
        </w:rPr>
        <w:t>,</w:t>
      </w:r>
      <w:r>
        <w:rPr>
          <w:lang w:val="en-AU"/>
        </w:rPr>
        <w:t xml:space="preserve"> </w:t>
      </w:r>
      <w:r w:rsidR="001B33CE">
        <w:rPr>
          <w:lang w:val="en-AU"/>
        </w:rPr>
        <w:t>and</w:t>
      </w:r>
      <w:r>
        <w:rPr>
          <w:lang w:val="en-AU"/>
        </w:rPr>
        <w:t xml:space="preserve"> Simpson</w:t>
      </w:r>
      <w:r w:rsidR="004113B5">
        <w:rPr>
          <w:lang w:val="en-AU"/>
        </w:rPr>
        <w:t>,</w:t>
      </w:r>
      <w:r>
        <w:rPr>
          <w:lang w:val="en-AU"/>
        </w:rPr>
        <w:t xml:space="preserve"> M.</w:t>
      </w:r>
      <w:r w:rsidR="00AC158C">
        <w:rPr>
          <w:lang w:val="en-AU"/>
        </w:rPr>
        <w:t xml:space="preserve"> (2004),</w:t>
      </w:r>
      <w:r w:rsidR="00517CA7" w:rsidRPr="008819A2">
        <w:rPr>
          <w:lang w:val="en-AU"/>
        </w:rPr>
        <w:t xml:space="preserve"> </w:t>
      </w:r>
      <w:r w:rsidRPr="00AC158C">
        <w:rPr>
          <w:i/>
          <w:lang w:val="en-AU"/>
        </w:rPr>
        <w:t>Group and class contexts for learning and support o</w:t>
      </w:r>
      <w:r w:rsidR="00517CA7" w:rsidRPr="00AC158C">
        <w:rPr>
          <w:i/>
          <w:lang w:val="en-AU"/>
        </w:rPr>
        <w:t xml:space="preserve">nline: </w:t>
      </w:r>
      <w:r w:rsidRPr="00AC158C">
        <w:rPr>
          <w:i/>
          <w:iCs/>
          <w:lang w:val="en-AU"/>
        </w:rPr>
        <w:t>l</w:t>
      </w:r>
      <w:r w:rsidR="00517CA7" w:rsidRPr="00AC158C">
        <w:rPr>
          <w:i/>
          <w:iCs/>
          <w:lang w:val="en-AU"/>
        </w:rPr>
        <w:t>earning and affective support in</w:t>
      </w:r>
      <w:r w:rsidR="00FA5931" w:rsidRPr="00AC158C">
        <w:rPr>
          <w:i/>
          <w:iCs/>
          <w:lang w:val="en-AU"/>
        </w:rPr>
        <w:t xml:space="preserve"> small group and class contexts</w:t>
      </w:r>
      <w:r w:rsidR="00AC158C">
        <w:rPr>
          <w:i/>
          <w:iCs/>
          <w:lang w:val="en-AU"/>
        </w:rPr>
        <w:t>,</w:t>
      </w:r>
      <w:r w:rsidR="00517CA7" w:rsidRPr="008819A2">
        <w:rPr>
          <w:iCs/>
          <w:lang w:val="en-AU"/>
        </w:rPr>
        <w:t xml:space="preserve"> </w:t>
      </w:r>
      <w:r w:rsidR="00517CA7" w:rsidRPr="00AC158C">
        <w:rPr>
          <w:iCs/>
          <w:lang w:val="en-AU"/>
        </w:rPr>
        <w:t>International Review of Research in Open and Distance Learning, 5</w:t>
      </w:r>
      <w:r w:rsidR="00E82FDE" w:rsidRPr="00AC158C">
        <w:rPr>
          <w:iCs/>
          <w:lang w:val="en-AU"/>
        </w:rPr>
        <w:t>(3</w:t>
      </w:r>
      <w:r w:rsidR="00E82FDE">
        <w:rPr>
          <w:iCs/>
          <w:lang w:val="en-AU"/>
        </w:rPr>
        <w:t>)</w:t>
      </w:r>
      <w:r w:rsidR="00AC158C">
        <w:rPr>
          <w:iCs/>
          <w:lang w:val="en-AU"/>
        </w:rPr>
        <w:t>,</w:t>
      </w:r>
      <w:r w:rsidR="007F31D8">
        <w:rPr>
          <w:iCs/>
          <w:lang w:val="en-AU"/>
        </w:rPr>
        <w:t xml:space="preserve"> </w:t>
      </w:r>
      <w:r w:rsidR="00AC158C">
        <w:rPr>
          <w:iCs/>
          <w:lang w:val="en-AU"/>
        </w:rPr>
        <w:t>r</w:t>
      </w:r>
      <w:r w:rsidR="00517CA7" w:rsidRPr="008819A2">
        <w:rPr>
          <w:iCs/>
          <w:lang w:val="en-AU"/>
        </w:rPr>
        <w:t xml:space="preserve">etrieved from </w:t>
      </w:r>
      <w:hyperlink r:id="rId40" w:history="1">
        <w:r w:rsidR="00517CA7" w:rsidRPr="008819A2">
          <w:rPr>
            <w:rStyle w:val="Hyperlink"/>
            <w:iCs/>
            <w:szCs w:val="22"/>
            <w:lang w:val="en-AU"/>
          </w:rPr>
          <w:t>http://www.irrodl.org/index.php/irrodl/article/viewArticle/208/291</w:t>
        </w:r>
      </w:hyperlink>
    </w:p>
    <w:p w:rsidR="00517CA7" w:rsidRPr="00C160F2" w:rsidRDefault="00517CA7" w:rsidP="00517CA7">
      <w:pPr>
        <w:pStyle w:val="BodyText"/>
        <w:rPr>
          <w:iCs/>
          <w:lang w:val="en-GB" w:eastAsia="en-GB"/>
        </w:rPr>
      </w:pPr>
      <w:r w:rsidRPr="002E2D0C">
        <w:rPr>
          <w:iCs/>
          <w:lang w:val="en-GB" w:eastAsia="en-GB"/>
        </w:rPr>
        <w:t>Andrew, M.</w:t>
      </w:r>
      <w:r w:rsidR="00B31B8D">
        <w:rPr>
          <w:iCs/>
          <w:lang w:val="en-GB" w:eastAsia="en-GB"/>
        </w:rPr>
        <w:t xml:space="preserve"> B.</w:t>
      </w:r>
      <w:r w:rsidRPr="002E2D0C">
        <w:rPr>
          <w:iCs/>
          <w:lang w:val="en-GB" w:eastAsia="en-GB"/>
        </w:rPr>
        <w:t xml:space="preserve"> (2009)</w:t>
      </w:r>
      <w:r w:rsidR="00FA5931">
        <w:rPr>
          <w:iCs/>
          <w:lang w:val="en-GB" w:eastAsia="en-GB"/>
        </w:rPr>
        <w:t>.</w:t>
      </w:r>
      <w:r w:rsidRPr="002E2D0C">
        <w:rPr>
          <w:iCs/>
          <w:lang w:val="en-GB" w:eastAsia="en-GB"/>
        </w:rPr>
        <w:t xml:space="preserve"> </w:t>
      </w:r>
      <w:r w:rsidR="00FA5931">
        <w:rPr>
          <w:i/>
          <w:iCs/>
          <w:lang w:val="en-GB" w:eastAsia="en-GB"/>
        </w:rPr>
        <w:t xml:space="preserve">Deepened mirrors of cultural learning: Expressing identity through </w:t>
      </w:r>
      <w:r w:rsidR="00AC158C">
        <w:rPr>
          <w:i/>
          <w:iCs/>
          <w:lang w:val="en-GB" w:eastAsia="en-GB"/>
        </w:rPr>
        <w:t xml:space="preserve">     </w:t>
      </w:r>
      <w:r w:rsidR="00FA5931">
        <w:rPr>
          <w:i/>
          <w:iCs/>
          <w:lang w:val="en-GB" w:eastAsia="en-GB"/>
        </w:rPr>
        <w:t>e</w:t>
      </w:r>
      <w:r w:rsidRPr="006B1828">
        <w:rPr>
          <w:i/>
          <w:iCs/>
          <w:lang w:val="en-GB" w:eastAsia="en-GB"/>
        </w:rPr>
        <w:t>-writing</w:t>
      </w:r>
      <w:r w:rsidR="00FA5931">
        <w:rPr>
          <w:iCs/>
          <w:lang w:val="en-GB" w:eastAsia="en-GB"/>
        </w:rPr>
        <w:t>.</w:t>
      </w:r>
      <w:r w:rsidR="007F31D8">
        <w:rPr>
          <w:iCs/>
          <w:lang w:val="en-GB" w:eastAsia="en-GB"/>
        </w:rPr>
        <w:t xml:space="preserve"> Auckland, New Zealand: Unitec</w:t>
      </w:r>
    </w:p>
    <w:p w:rsidR="00517CA7" w:rsidRDefault="00517CA7" w:rsidP="00517CA7">
      <w:pPr>
        <w:pStyle w:val="BodyText"/>
        <w:rPr>
          <w:lang w:val="en-GB" w:eastAsia="en-GB"/>
        </w:rPr>
      </w:pPr>
      <w:r w:rsidRPr="008819A2">
        <w:rPr>
          <w:lang w:val="en-GB" w:eastAsia="en-GB"/>
        </w:rPr>
        <w:t>Artino,</w:t>
      </w:r>
      <w:r w:rsidR="00B31B8D">
        <w:rPr>
          <w:lang w:val="en-GB" w:eastAsia="en-GB"/>
        </w:rPr>
        <w:t xml:space="preserve"> A. R. </w:t>
      </w:r>
      <w:r w:rsidR="00B31B8D" w:rsidRPr="00FA5931">
        <w:rPr>
          <w:lang w:val="en-GB" w:eastAsia="en-GB"/>
        </w:rPr>
        <w:t>Jr.,</w:t>
      </w:r>
      <w:r w:rsidR="00B31B8D">
        <w:rPr>
          <w:lang w:val="en-GB" w:eastAsia="en-GB"/>
        </w:rPr>
        <w:t xml:space="preserve"> </w:t>
      </w:r>
      <w:r w:rsidR="001B33CE">
        <w:rPr>
          <w:lang w:val="en-GB" w:eastAsia="en-GB"/>
        </w:rPr>
        <w:t>and</w:t>
      </w:r>
      <w:r w:rsidR="00B31B8D">
        <w:rPr>
          <w:lang w:val="en-GB" w:eastAsia="en-GB"/>
        </w:rPr>
        <w:t xml:space="preserve"> Stephens, J. M.</w:t>
      </w:r>
      <w:r w:rsidR="00FA5931">
        <w:rPr>
          <w:lang w:val="en-GB" w:eastAsia="en-GB"/>
        </w:rPr>
        <w:t xml:space="preserve"> (2009)</w:t>
      </w:r>
      <w:r w:rsidR="0075701B">
        <w:rPr>
          <w:lang w:val="en-GB" w:eastAsia="en-GB"/>
        </w:rPr>
        <w:t>,</w:t>
      </w:r>
      <w:r w:rsidRPr="008819A2">
        <w:rPr>
          <w:lang w:val="en-GB" w:eastAsia="en-GB"/>
        </w:rPr>
        <w:t xml:space="preserve"> </w:t>
      </w:r>
      <w:r w:rsidR="00B31B8D">
        <w:rPr>
          <w:i/>
          <w:lang w:val="en-GB" w:eastAsia="en-GB"/>
        </w:rPr>
        <w:t>A</w:t>
      </w:r>
      <w:r w:rsidR="00FA5931">
        <w:rPr>
          <w:i/>
          <w:lang w:val="en-GB" w:eastAsia="en-GB"/>
        </w:rPr>
        <w:t>cademic motivation and s</w:t>
      </w:r>
      <w:r w:rsidR="00B31B8D">
        <w:rPr>
          <w:i/>
          <w:lang w:val="en-GB" w:eastAsia="en-GB"/>
        </w:rPr>
        <w:t>elf</w:t>
      </w:r>
      <w:r w:rsidR="00FA5931">
        <w:rPr>
          <w:i/>
          <w:lang w:val="en-GB" w:eastAsia="en-GB"/>
        </w:rPr>
        <w:t>-regulation: A c</w:t>
      </w:r>
      <w:r w:rsidRPr="00F74F87">
        <w:rPr>
          <w:i/>
          <w:lang w:val="en-GB" w:eastAsia="en-GB"/>
        </w:rPr>
        <w:t>omparati</w:t>
      </w:r>
      <w:r w:rsidR="00FA5931">
        <w:rPr>
          <w:i/>
          <w:lang w:val="en-GB" w:eastAsia="en-GB"/>
        </w:rPr>
        <w:t>ve analysis of undergraduate and graduate students learning o</w:t>
      </w:r>
      <w:r w:rsidRPr="00F74F87">
        <w:rPr>
          <w:i/>
          <w:lang w:val="en-GB" w:eastAsia="en-GB"/>
        </w:rPr>
        <w:t>nline</w:t>
      </w:r>
      <w:r w:rsidR="007A16D2">
        <w:rPr>
          <w:lang w:val="en-GB" w:eastAsia="en-GB"/>
        </w:rPr>
        <w:t>, The Internet and Higher Education 12(3)</w:t>
      </w:r>
    </w:p>
    <w:p w:rsidR="00517CA7" w:rsidRDefault="00517CA7" w:rsidP="00517CA7">
      <w:pPr>
        <w:pStyle w:val="BodyText"/>
        <w:rPr>
          <w:iCs/>
          <w:lang w:val="en-GB" w:eastAsia="en-GB"/>
        </w:rPr>
      </w:pPr>
      <w:r w:rsidRPr="008819A2">
        <w:rPr>
          <w:lang w:val="en-GB" w:eastAsia="en-GB"/>
        </w:rPr>
        <w:t>Barnard</w:t>
      </w:r>
      <w:r w:rsidR="00EF2ACB">
        <w:rPr>
          <w:lang w:val="en-GB" w:eastAsia="en-GB"/>
        </w:rPr>
        <w:t>, L., Paton, V.</w:t>
      </w:r>
      <w:r w:rsidR="00D9304C">
        <w:rPr>
          <w:lang w:val="en-GB" w:eastAsia="en-GB"/>
        </w:rPr>
        <w:t>,</w:t>
      </w:r>
      <w:r w:rsidR="00EF2ACB">
        <w:rPr>
          <w:lang w:val="en-GB" w:eastAsia="en-GB"/>
        </w:rPr>
        <w:t xml:space="preserve"> </w:t>
      </w:r>
      <w:r w:rsidR="001B33CE">
        <w:rPr>
          <w:lang w:val="en-GB" w:eastAsia="en-GB"/>
        </w:rPr>
        <w:t>and</w:t>
      </w:r>
      <w:r w:rsidR="00EF2ACB">
        <w:rPr>
          <w:lang w:val="en-GB" w:eastAsia="en-GB"/>
        </w:rPr>
        <w:t xml:space="preserve"> Lan, W.</w:t>
      </w:r>
      <w:r w:rsidR="00FA5931">
        <w:rPr>
          <w:lang w:val="en-GB" w:eastAsia="en-GB"/>
        </w:rPr>
        <w:t xml:space="preserve"> (2008)</w:t>
      </w:r>
      <w:r w:rsidR="007A16D2">
        <w:rPr>
          <w:lang w:val="en-GB" w:eastAsia="en-GB"/>
        </w:rPr>
        <w:t>,</w:t>
      </w:r>
      <w:r w:rsidRPr="008819A2">
        <w:rPr>
          <w:iCs/>
          <w:lang w:val="en-GB" w:eastAsia="en-GB"/>
        </w:rPr>
        <w:t xml:space="preserve"> </w:t>
      </w:r>
      <w:r w:rsidR="00EF2ACB" w:rsidRPr="007A16D2">
        <w:rPr>
          <w:i/>
          <w:iCs/>
          <w:lang w:val="en-GB" w:eastAsia="en-GB"/>
        </w:rPr>
        <w:t xml:space="preserve">Online self-regulatory learning </w:t>
      </w:r>
      <w:r w:rsidR="007A16D2" w:rsidRPr="007A16D2">
        <w:rPr>
          <w:i/>
          <w:iCs/>
          <w:lang w:val="en-GB" w:eastAsia="en-GB"/>
        </w:rPr>
        <w:t>behaviours</w:t>
      </w:r>
      <w:r w:rsidR="00EF2ACB" w:rsidRPr="007A16D2">
        <w:rPr>
          <w:i/>
          <w:iCs/>
          <w:lang w:val="en-GB" w:eastAsia="en-GB"/>
        </w:rPr>
        <w:t xml:space="preserve"> as a mediator in the relationship between online course perceptions with a</w:t>
      </w:r>
      <w:r w:rsidRPr="007A16D2">
        <w:rPr>
          <w:i/>
          <w:iCs/>
          <w:lang w:val="en-GB" w:eastAsia="en-GB"/>
        </w:rPr>
        <w:t>chievement</w:t>
      </w:r>
      <w:r w:rsidR="007A16D2">
        <w:rPr>
          <w:iCs/>
          <w:lang w:val="en-GB" w:eastAsia="en-GB"/>
        </w:rPr>
        <w:t>,</w:t>
      </w:r>
      <w:r w:rsidRPr="007A16D2">
        <w:rPr>
          <w:i/>
          <w:iCs/>
          <w:lang w:val="en-GB" w:eastAsia="en-GB"/>
        </w:rPr>
        <w:t xml:space="preserve"> </w:t>
      </w:r>
      <w:r w:rsidRPr="007A16D2">
        <w:rPr>
          <w:iCs/>
          <w:lang w:val="en-GB" w:eastAsia="en-GB"/>
        </w:rPr>
        <w:t xml:space="preserve">International Review of Research in Open and Distance Learning, </w:t>
      </w:r>
      <w:r w:rsidR="00161EE9" w:rsidRPr="007A16D2">
        <w:rPr>
          <w:iCs/>
          <w:lang w:val="en-GB" w:eastAsia="en-GB"/>
        </w:rPr>
        <w:t>9(</w:t>
      </w:r>
      <w:r w:rsidRPr="007A16D2">
        <w:rPr>
          <w:iCs/>
          <w:lang w:val="en-GB" w:eastAsia="en-GB"/>
        </w:rPr>
        <w:t>2</w:t>
      </w:r>
      <w:r w:rsidR="00161EE9" w:rsidRPr="007A16D2">
        <w:rPr>
          <w:iCs/>
          <w:lang w:val="en-GB" w:eastAsia="en-GB"/>
        </w:rPr>
        <w:t>)</w:t>
      </w:r>
      <w:r w:rsidR="007A16D2">
        <w:rPr>
          <w:iCs/>
          <w:lang w:val="en-GB" w:eastAsia="en-GB"/>
        </w:rPr>
        <w:t>,</w:t>
      </w:r>
      <w:r w:rsidRPr="007A16D2">
        <w:rPr>
          <w:iCs/>
          <w:lang w:val="en-GB" w:eastAsia="en-GB"/>
        </w:rPr>
        <w:t xml:space="preserve"> </w:t>
      </w:r>
      <w:r w:rsidR="007A16D2">
        <w:rPr>
          <w:iCs/>
          <w:lang w:val="en-GB" w:eastAsia="en-GB"/>
        </w:rPr>
        <w:t>r</w:t>
      </w:r>
      <w:r w:rsidRPr="008819A2">
        <w:rPr>
          <w:iCs/>
          <w:lang w:val="en-GB" w:eastAsia="en-GB"/>
        </w:rPr>
        <w:t xml:space="preserve">etrieved from </w:t>
      </w:r>
      <w:hyperlink r:id="rId41" w:history="1">
        <w:r w:rsidRPr="008819A2">
          <w:rPr>
            <w:rStyle w:val="Hyperlink"/>
            <w:iCs/>
            <w:szCs w:val="22"/>
            <w:lang w:val="en-GB" w:eastAsia="en-GB"/>
          </w:rPr>
          <w:t>http://www.irrodl.org/index.php/irrodl/article/view/516/1075</w:t>
        </w:r>
      </w:hyperlink>
    </w:p>
    <w:p w:rsidR="00CB4809" w:rsidRDefault="00CB4809" w:rsidP="007A16D2">
      <w:pPr>
        <w:pStyle w:val="BodyText"/>
      </w:pPr>
      <w:r w:rsidRPr="008819A2">
        <w:rPr>
          <w:lang w:val="en-GB" w:eastAsia="en-GB"/>
        </w:rPr>
        <w:t xml:space="preserve">Barnard-Brak, L., Lan, W. Y., </w:t>
      </w:r>
      <w:r w:rsidR="001B33CE">
        <w:rPr>
          <w:lang w:val="en-GB" w:eastAsia="en-GB"/>
        </w:rPr>
        <w:t>and</w:t>
      </w:r>
      <w:r>
        <w:rPr>
          <w:lang w:val="en-GB" w:eastAsia="en-GB"/>
        </w:rPr>
        <w:t xml:space="preserve"> </w:t>
      </w:r>
      <w:r w:rsidR="00FA5931">
        <w:rPr>
          <w:lang w:val="en-GB" w:eastAsia="en-GB"/>
        </w:rPr>
        <w:t>Paton, V. O. (2010)</w:t>
      </w:r>
      <w:r w:rsidR="007A16D2">
        <w:rPr>
          <w:lang w:val="en-GB" w:eastAsia="en-GB"/>
        </w:rPr>
        <w:t>,</w:t>
      </w:r>
      <w:r w:rsidRPr="008819A2">
        <w:rPr>
          <w:lang w:val="en-GB" w:eastAsia="en-GB"/>
        </w:rPr>
        <w:t xml:space="preserve"> </w:t>
      </w:r>
      <w:r w:rsidRPr="007A16D2">
        <w:rPr>
          <w:i/>
          <w:iCs/>
          <w:lang w:val="en-GB" w:eastAsia="en-GB"/>
        </w:rPr>
        <w:t>Profiles in self-regulated learning in the online learning environmen</w:t>
      </w:r>
      <w:r w:rsidR="007A16D2">
        <w:rPr>
          <w:i/>
          <w:iCs/>
          <w:lang w:val="en-GB" w:eastAsia="en-GB"/>
        </w:rPr>
        <w:t>t</w:t>
      </w:r>
      <w:r w:rsidR="007A16D2">
        <w:rPr>
          <w:iCs/>
          <w:lang w:val="en-GB" w:eastAsia="en-GB"/>
        </w:rPr>
        <w:t xml:space="preserve">, </w:t>
      </w:r>
      <w:r w:rsidRPr="008819A2">
        <w:rPr>
          <w:i/>
          <w:iCs/>
          <w:lang w:val="en-GB" w:eastAsia="en-GB"/>
        </w:rPr>
        <w:t xml:space="preserve"> </w:t>
      </w:r>
      <w:r w:rsidRPr="007A16D2">
        <w:rPr>
          <w:iCs/>
          <w:lang w:val="en-GB" w:eastAsia="en-GB"/>
        </w:rPr>
        <w:t>International Review of Research in Open and Distance Learning, 11</w:t>
      </w:r>
      <w:r w:rsidR="00161EE9" w:rsidRPr="007A16D2">
        <w:rPr>
          <w:iCs/>
          <w:lang w:val="en-GB" w:eastAsia="en-GB"/>
        </w:rPr>
        <w:t>(1)</w:t>
      </w:r>
      <w:r w:rsidR="007A16D2">
        <w:rPr>
          <w:iCs/>
          <w:lang w:val="en-GB" w:eastAsia="en-GB"/>
        </w:rPr>
        <w:t>, r</w:t>
      </w:r>
      <w:r w:rsidRPr="008819A2">
        <w:rPr>
          <w:iCs/>
          <w:lang w:val="en-GB" w:eastAsia="en-GB"/>
        </w:rPr>
        <w:t xml:space="preserve">etrieved from </w:t>
      </w:r>
      <w:hyperlink r:id="rId42" w:history="1">
        <w:r w:rsidR="007A16D2" w:rsidRPr="00AE6D3C">
          <w:rPr>
            <w:rStyle w:val="Hyperlink"/>
          </w:rPr>
          <w:t>http://www.irrodl.org/index.php/irrodl/article/view/769/1503</w:t>
        </w:r>
      </w:hyperlink>
      <w:r w:rsidR="007A16D2">
        <w:t xml:space="preserve"> </w:t>
      </w:r>
    </w:p>
    <w:p w:rsidR="00517CA7" w:rsidRDefault="00AE04B1" w:rsidP="00517CA7">
      <w:pPr>
        <w:pStyle w:val="BodyText"/>
      </w:pPr>
      <w:r>
        <w:rPr>
          <w:lang w:eastAsia="en-NZ"/>
        </w:rPr>
        <w:t>Bay of Plenty Polytechnic</w:t>
      </w:r>
      <w:r w:rsidR="00FA5931">
        <w:rPr>
          <w:lang w:eastAsia="en-NZ"/>
        </w:rPr>
        <w:t xml:space="preserve"> (2012)</w:t>
      </w:r>
      <w:r w:rsidR="007A16D2">
        <w:rPr>
          <w:lang w:eastAsia="en-NZ"/>
        </w:rPr>
        <w:t>,</w:t>
      </w:r>
      <w:r w:rsidR="00517CA7">
        <w:rPr>
          <w:lang w:eastAsia="en-NZ"/>
        </w:rPr>
        <w:t xml:space="preserve"> </w:t>
      </w:r>
      <w:r w:rsidR="007F31D8">
        <w:rPr>
          <w:i/>
          <w:lang w:eastAsia="en-NZ"/>
        </w:rPr>
        <w:t>Online courses frequently asked q</w:t>
      </w:r>
      <w:r w:rsidR="00517CA7" w:rsidRPr="00494A65">
        <w:rPr>
          <w:i/>
          <w:lang w:eastAsia="en-NZ"/>
        </w:rPr>
        <w:t>uestion</w:t>
      </w:r>
      <w:r w:rsidR="00517CA7" w:rsidRPr="007F31D8">
        <w:rPr>
          <w:i/>
          <w:lang w:eastAsia="en-NZ"/>
        </w:rPr>
        <w:t>s</w:t>
      </w:r>
      <w:r w:rsidR="007A16D2">
        <w:rPr>
          <w:lang w:eastAsia="en-NZ"/>
        </w:rPr>
        <w:t>, r</w:t>
      </w:r>
      <w:r w:rsidR="00517CA7">
        <w:rPr>
          <w:lang w:eastAsia="en-NZ"/>
        </w:rPr>
        <w:t xml:space="preserve">etrieved from </w:t>
      </w:r>
      <w:hyperlink r:id="rId43" w:history="1">
        <w:r w:rsidR="00517CA7" w:rsidRPr="00897ED5">
          <w:rPr>
            <w:rStyle w:val="Hyperlink"/>
            <w:lang w:eastAsia="en-NZ"/>
          </w:rPr>
          <w:t>http://www.boppoly.ac.nz/go/faq/online-learning-faqs</w:t>
        </w:r>
      </w:hyperlink>
    </w:p>
    <w:p w:rsidR="00517CA7" w:rsidRPr="00C00BF3" w:rsidRDefault="00AE04B1" w:rsidP="00517CA7">
      <w:pPr>
        <w:pStyle w:val="BodyText"/>
      </w:pPr>
      <w:r>
        <w:t xml:space="preserve">Bean, J. P., </w:t>
      </w:r>
      <w:r w:rsidR="001B33CE">
        <w:t>and</w:t>
      </w:r>
      <w:r>
        <w:t xml:space="preserve"> Metzner, B. S.</w:t>
      </w:r>
      <w:r w:rsidR="00E34C05">
        <w:t xml:space="preserve"> (1985)</w:t>
      </w:r>
      <w:r w:rsidR="007A16D2">
        <w:t>,</w:t>
      </w:r>
      <w:r w:rsidR="00517CA7">
        <w:t xml:space="preserve"> </w:t>
      </w:r>
      <w:r w:rsidRPr="007A16D2">
        <w:rPr>
          <w:i/>
        </w:rPr>
        <w:t xml:space="preserve">A conceptual model of </w:t>
      </w:r>
      <w:r w:rsidR="007A16D2" w:rsidRPr="007A16D2">
        <w:rPr>
          <w:i/>
        </w:rPr>
        <w:t>non-traditional</w:t>
      </w:r>
      <w:r w:rsidRPr="007A16D2">
        <w:rPr>
          <w:i/>
        </w:rPr>
        <w:t xml:space="preserve"> undergraduate student a</w:t>
      </w:r>
      <w:r w:rsidR="00517CA7" w:rsidRPr="007A16D2">
        <w:rPr>
          <w:i/>
        </w:rPr>
        <w:t>ttrition</w:t>
      </w:r>
      <w:r w:rsidR="007A16D2" w:rsidRPr="007A16D2">
        <w:t>,</w:t>
      </w:r>
      <w:r w:rsidR="00517CA7" w:rsidRPr="007A16D2">
        <w:t xml:space="preserve"> Review of Educational Research, 55</w:t>
      </w:r>
      <w:r w:rsidR="005A24C9" w:rsidRPr="007A16D2">
        <w:t>(4)</w:t>
      </w:r>
      <w:r w:rsidR="007A16D2">
        <w:t>, r</w:t>
      </w:r>
      <w:r w:rsidR="00517CA7">
        <w:t xml:space="preserve">etrieved from </w:t>
      </w:r>
      <w:hyperlink r:id="rId44" w:history="1">
        <w:r w:rsidR="00517CA7" w:rsidRPr="00366F1C">
          <w:rPr>
            <w:rStyle w:val="Hyperlink"/>
          </w:rPr>
          <w:t>http://www.jstor.org/discover/10.2307/1170245?uid=3738776&amp;uid=2129&amp;uid=2&amp;uid=70&amp;uid=4&amp;sid=21102348990007</w:t>
        </w:r>
      </w:hyperlink>
      <w:r w:rsidR="00517CA7">
        <w:t xml:space="preserve"> </w:t>
      </w:r>
    </w:p>
    <w:p w:rsidR="00517CA7" w:rsidRDefault="00517CA7" w:rsidP="007A16D2">
      <w:pPr>
        <w:pStyle w:val="BodyText"/>
      </w:pPr>
      <w:r w:rsidRPr="008819A2">
        <w:rPr>
          <w:lang w:val="en-GB" w:eastAsia="en-GB"/>
        </w:rPr>
        <w:t>Berenso</w:t>
      </w:r>
      <w:r w:rsidR="00AE04B1">
        <w:rPr>
          <w:lang w:val="en-GB" w:eastAsia="en-GB"/>
        </w:rPr>
        <w:t>n, R., Boyles</w:t>
      </w:r>
      <w:r w:rsidR="00D9304C">
        <w:rPr>
          <w:lang w:val="en-GB" w:eastAsia="en-GB"/>
        </w:rPr>
        <w:t>,</w:t>
      </w:r>
      <w:r w:rsidR="00AE04B1">
        <w:rPr>
          <w:lang w:val="en-GB" w:eastAsia="en-GB"/>
        </w:rPr>
        <w:t xml:space="preserve"> G.</w:t>
      </w:r>
      <w:r w:rsidR="00D9304C">
        <w:rPr>
          <w:lang w:val="en-GB" w:eastAsia="en-GB"/>
        </w:rPr>
        <w:t>,</w:t>
      </w:r>
      <w:r w:rsidR="00AE04B1">
        <w:rPr>
          <w:lang w:val="en-GB" w:eastAsia="en-GB"/>
        </w:rPr>
        <w:t xml:space="preserve"> </w:t>
      </w:r>
      <w:r w:rsidR="001B33CE">
        <w:rPr>
          <w:lang w:val="en-GB" w:eastAsia="en-GB"/>
        </w:rPr>
        <w:t>and</w:t>
      </w:r>
      <w:r w:rsidR="00AE04B1">
        <w:rPr>
          <w:lang w:val="en-GB" w:eastAsia="en-GB"/>
        </w:rPr>
        <w:t xml:space="preserve"> Weaver, A.</w:t>
      </w:r>
      <w:r w:rsidR="00300A11">
        <w:rPr>
          <w:lang w:val="en-GB" w:eastAsia="en-GB"/>
        </w:rPr>
        <w:t xml:space="preserve"> (2008)</w:t>
      </w:r>
      <w:r w:rsidR="007A16D2">
        <w:rPr>
          <w:lang w:val="en-GB" w:eastAsia="en-GB"/>
        </w:rPr>
        <w:t>,</w:t>
      </w:r>
      <w:r w:rsidRPr="008819A2">
        <w:rPr>
          <w:i/>
          <w:iCs/>
          <w:lang w:val="en-GB" w:eastAsia="en-GB"/>
        </w:rPr>
        <w:t xml:space="preserve"> </w:t>
      </w:r>
      <w:r w:rsidR="00AE04B1" w:rsidRPr="007A16D2">
        <w:rPr>
          <w:i/>
          <w:iCs/>
          <w:lang w:val="en-GB" w:eastAsia="en-GB"/>
        </w:rPr>
        <w:t>Emotional intelligence as a predictor for success in online l</w:t>
      </w:r>
      <w:r w:rsidRPr="007A16D2">
        <w:rPr>
          <w:i/>
          <w:iCs/>
          <w:lang w:val="en-GB" w:eastAsia="en-GB"/>
        </w:rPr>
        <w:t>earning</w:t>
      </w:r>
      <w:r w:rsidR="007A16D2" w:rsidRPr="007A16D2">
        <w:rPr>
          <w:iCs/>
          <w:lang w:val="en-GB" w:eastAsia="en-GB"/>
        </w:rPr>
        <w:t>,</w:t>
      </w:r>
      <w:r w:rsidRPr="007A16D2">
        <w:rPr>
          <w:iCs/>
          <w:lang w:val="en-GB" w:eastAsia="en-GB"/>
        </w:rPr>
        <w:t xml:space="preserve"> International Review of Research in Open and Distance Learning, 9</w:t>
      </w:r>
      <w:r w:rsidR="005A24C9" w:rsidRPr="007A16D2">
        <w:rPr>
          <w:iCs/>
          <w:lang w:val="en-GB" w:eastAsia="en-GB"/>
        </w:rPr>
        <w:t>(</w:t>
      </w:r>
      <w:r w:rsidRPr="007A16D2">
        <w:rPr>
          <w:iCs/>
          <w:lang w:val="en-GB" w:eastAsia="en-GB"/>
        </w:rPr>
        <w:t>2</w:t>
      </w:r>
      <w:r w:rsidR="005A24C9" w:rsidRPr="007A16D2">
        <w:rPr>
          <w:iCs/>
          <w:lang w:val="en-GB" w:eastAsia="en-GB"/>
        </w:rPr>
        <w:t>)</w:t>
      </w:r>
      <w:r w:rsidR="007A16D2">
        <w:rPr>
          <w:iCs/>
          <w:lang w:val="en-GB" w:eastAsia="en-GB"/>
        </w:rPr>
        <w:t>, r</w:t>
      </w:r>
      <w:r w:rsidRPr="008819A2">
        <w:rPr>
          <w:iCs/>
          <w:lang w:val="en-GB" w:eastAsia="en-GB"/>
        </w:rPr>
        <w:t>etrieved</w:t>
      </w:r>
      <w:r>
        <w:rPr>
          <w:iCs/>
          <w:lang w:val="en-GB" w:eastAsia="en-GB"/>
        </w:rPr>
        <w:t xml:space="preserve"> </w:t>
      </w:r>
      <w:r w:rsidRPr="008819A2">
        <w:rPr>
          <w:iCs/>
          <w:lang w:val="en-GB" w:eastAsia="en-GB"/>
        </w:rPr>
        <w:t xml:space="preserve">from </w:t>
      </w:r>
      <w:hyperlink r:id="rId45" w:history="1">
        <w:r w:rsidR="005A24C9" w:rsidRPr="002367AC">
          <w:rPr>
            <w:rStyle w:val="Hyperlink"/>
            <w:iCs/>
            <w:szCs w:val="22"/>
            <w:lang w:val="en-GB" w:eastAsia="en-GB"/>
          </w:rPr>
          <w:t>http://www.irrodl.org/index.php/irrodl/article/viewArticle/385/1036</w:t>
        </w:r>
      </w:hyperlink>
    </w:p>
    <w:p w:rsidR="00517CA7" w:rsidRPr="00455BF4" w:rsidRDefault="00517CA7" w:rsidP="007A16D2">
      <w:pPr>
        <w:pStyle w:val="BodyText"/>
        <w:rPr>
          <w:iCs/>
          <w:lang w:val="en-GB" w:eastAsia="en-GB"/>
        </w:rPr>
      </w:pPr>
      <w:r w:rsidRPr="00E72BE1">
        <w:rPr>
          <w:iCs/>
          <w:lang w:val="en-GB" w:eastAsia="en-GB"/>
        </w:rPr>
        <w:t xml:space="preserve">Blyth, P., Loke, S-K., </w:t>
      </w:r>
      <w:r w:rsidR="001B33CE">
        <w:rPr>
          <w:iCs/>
          <w:lang w:val="en-GB" w:eastAsia="en-GB"/>
        </w:rPr>
        <w:t>and</w:t>
      </w:r>
      <w:r w:rsidRPr="00E72BE1">
        <w:rPr>
          <w:iCs/>
          <w:lang w:val="en-GB" w:eastAsia="en-GB"/>
        </w:rPr>
        <w:t xml:space="preserve"> Swan, J. (2010, December)</w:t>
      </w:r>
      <w:r w:rsidR="007A16D2">
        <w:rPr>
          <w:iCs/>
          <w:lang w:val="en-GB" w:eastAsia="en-GB"/>
        </w:rPr>
        <w:t>,</w:t>
      </w:r>
      <w:r w:rsidRPr="00E72BE1">
        <w:rPr>
          <w:iCs/>
          <w:lang w:val="en-GB" w:eastAsia="en-GB"/>
        </w:rPr>
        <w:t xml:space="preserve"> </w:t>
      </w:r>
      <w:r w:rsidRPr="00E72BE1">
        <w:rPr>
          <w:i/>
          <w:iCs/>
          <w:lang w:val="en-GB" w:eastAsia="en-GB"/>
        </w:rPr>
        <w:t>Otago</w:t>
      </w:r>
      <w:r w:rsidRPr="00E72BE1">
        <w:rPr>
          <w:iCs/>
          <w:lang w:val="en-GB" w:eastAsia="en-GB"/>
        </w:rPr>
        <w:t xml:space="preserve"> </w:t>
      </w:r>
      <w:r w:rsidRPr="00E72BE1">
        <w:rPr>
          <w:i/>
          <w:iCs/>
          <w:lang w:val="en-GB" w:eastAsia="en-GB"/>
        </w:rPr>
        <w:t>Virtual Hospital: medical students learning to notice clinically salient features</w:t>
      </w:r>
      <w:r w:rsidR="00A70467">
        <w:rPr>
          <w:i/>
          <w:iCs/>
          <w:lang w:val="en-GB" w:eastAsia="en-GB"/>
        </w:rPr>
        <w:t>.</w:t>
      </w:r>
      <w:r w:rsidR="00AB1BD6" w:rsidRPr="00E72BE1">
        <w:rPr>
          <w:i/>
          <w:iCs/>
          <w:lang w:val="en-GB" w:eastAsia="en-GB"/>
        </w:rPr>
        <w:t xml:space="preserve"> </w:t>
      </w:r>
      <w:r w:rsidR="00A70467">
        <w:rPr>
          <w:iCs/>
          <w:lang w:val="en-GB" w:eastAsia="en-GB"/>
        </w:rPr>
        <w:t>P</w:t>
      </w:r>
      <w:r w:rsidRPr="00E72BE1">
        <w:rPr>
          <w:iCs/>
          <w:lang w:val="en-GB" w:eastAsia="en-GB"/>
        </w:rPr>
        <w:t xml:space="preserve">aper presented at </w:t>
      </w:r>
      <w:r w:rsidR="0077408F">
        <w:rPr>
          <w:iCs/>
          <w:lang w:val="en-GB" w:eastAsia="en-GB"/>
        </w:rPr>
        <w:t xml:space="preserve">the </w:t>
      </w:r>
      <w:r w:rsidRPr="00E72BE1">
        <w:rPr>
          <w:iCs/>
          <w:lang w:val="en-GB" w:eastAsia="en-GB"/>
        </w:rPr>
        <w:t>2010 Ascilite Conference, Sydney, Australia</w:t>
      </w:r>
      <w:r w:rsidR="007A16D2">
        <w:rPr>
          <w:iCs/>
          <w:lang w:val="en-GB" w:eastAsia="en-GB"/>
        </w:rPr>
        <w:t>, r</w:t>
      </w:r>
      <w:r w:rsidRPr="00E72BE1">
        <w:rPr>
          <w:iCs/>
          <w:lang w:val="en-GB" w:eastAsia="en-GB"/>
        </w:rPr>
        <w:t xml:space="preserve">etrieved from </w:t>
      </w:r>
      <w:hyperlink r:id="rId46" w:history="1">
        <w:r w:rsidRPr="00E72BE1">
          <w:rPr>
            <w:rStyle w:val="Hyperlink"/>
            <w:iCs/>
            <w:szCs w:val="22"/>
            <w:lang w:val="en-GB" w:eastAsia="en-GB"/>
          </w:rPr>
          <w:t>http://www.ascilite.org.au/conferences/sydney10/procs/Blyth-concise.pdf</w:t>
        </w:r>
      </w:hyperlink>
    </w:p>
    <w:p w:rsidR="00517CA7" w:rsidRDefault="00517CA7" w:rsidP="00517CA7">
      <w:pPr>
        <w:pStyle w:val="BodyText"/>
        <w:rPr>
          <w:iCs/>
          <w:lang w:val="en-GB" w:eastAsia="en-GB"/>
        </w:rPr>
      </w:pPr>
    </w:p>
    <w:p w:rsidR="00A35EFC" w:rsidRDefault="00517CA7" w:rsidP="00552143">
      <w:pPr>
        <w:pStyle w:val="BodyText"/>
      </w:pPr>
      <w:r>
        <w:rPr>
          <w:lang w:eastAsia="en-NZ"/>
        </w:rPr>
        <w:lastRenderedPageBreak/>
        <w:t>Bowen, W. G., Chingos, M. M.</w:t>
      </w:r>
      <w:r w:rsidR="00AE04B1">
        <w:rPr>
          <w:lang w:eastAsia="en-NZ"/>
        </w:rPr>
        <w:t>, Lack</w:t>
      </w:r>
      <w:r w:rsidR="00D9304C">
        <w:rPr>
          <w:lang w:eastAsia="en-NZ"/>
        </w:rPr>
        <w:t>,</w:t>
      </w:r>
      <w:r w:rsidR="00AE04B1">
        <w:rPr>
          <w:lang w:eastAsia="en-NZ"/>
        </w:rPr>
        <w:t xml:space="preserve"> K. A., </w:t>
      </w:r>
      <w:r w:rsidR="004A545E">
        <w:rPr>
          <w:lang w:eastAsia="en-NZ"/>
        </w:rPr>
        <w:t>and</w:t>
      </w:r>
      <w:r w:rsidR="00AE04B1">
        <w:rPr>
          <w:lang w:eastAsia="en-NZ"/>
        </w:rPr>
        <w:t xml:space="preserve"> Nygren, T. I.</w:t>
      </w:r>
      <w:r w:rsidR="00EC39D4">
        <w:rPr>
          <w:lang w:eastAsia="en-NZ"/>
        </w:rPr>
        <w:t xml:space="preserve"> (2013)</w:t>
      </w:r>
      <w:r w:rsidR="00552143">
        <w:rPr>
          <w:lang w:eastAsia="en-NZ"/>
        </w:rPr>
        <w:t>,</w:t>
      </w:r>
      <w:r>
        <w:rPr>
          <w:lang w:eastAsia="en-NZ"/>
        </w:rPr>
        <w:t xml:space="preserve"> </w:t>
      </w:r>
      <w:r w:rsidR="00AE04B1" w:rsidRPr="00552143">
        <w:rPr>
          <w:i/>
          <w:lang w:eastAsia="en-NZ"/>
        </w:rPr>
        <w:t>Online learning in higher e</w:t>
      </w:r>
      <w:r w:rsidRPr="00552143">
        <w:rPr>
          <w:i/>
          <w:lang w:eastAsia="en-NZ"/>
        </w:rPr>
        <w:t>ducation</w:t>
      </w:r>
      <w:r w:rsidR="00552143">
        <w:rPr>
          <w:lang w:eastAsia="en-NZ"/>
        </w:rPr>
        <w:t>,</w:t>
      </w:r>
      <w:r w:rsidRPr="00552143">
        <w:rPr>
          <w:lang w:eastAsia="en-NZ"/>
        </w:rPr>
        <w:t xml:space="preserve"> Education Next, 13</w:t>
      </w:r>
      <w:r w:rsidR="005A24C9" w:rsidRPr="00552143">
        <w:rPr>
          <w:lang w:eastAsia="en-NZ"/>
        </w:rPr>
        <w:t>(</w:t>
      </w:r>
      <w:r w:rsidRPr="00552143">
        <w:rPr>
          <w:lang w:eastAsia="en-NZ"/>
        </w:rPr>
        <w:t>2</w:t>
      </w:r>
      <w:r w:rsidR="00552143">
        <w:rPr>
          <w:lang w:eastAsia="en-NZ"/>
        </w:rPr>
        <w:t>), r</w:t>
      </w:r>
      <w:r>
        <w:rPr>
          <w:lang w:eastAsia="en-NZ"/>
        </w:rPr>
        <w:t xml:space="preserve">etrieved from </w:t>
      </w:r>
      <w:hyperlink r:id="rId47" w:history="1">
        <w:r w:rsidR="00A35EFC" w:rsidRPr="00AE6D3C">
          <w:rPr>
            <w:rStyle w:val="Hyperlink"/>
          </w:rPr>
          <w:t>http://educationnext.org/online-learning-in-higher-education/</w:t>
        </w:r>
      </w:hyperlink>
    </w:p>
    <w:p w:rsidR="00517CA7" w:rsidRDefault="00517CA7" w:rsidP="00552143">
      <w:pPr>
        <w:pStyle w:val="BodyText"/>
        <w:rPr>
          <w:iCs/>
          <w:lang w:val="en-GB" w:eastAsia="en-GB"/>
        </w:rPr>
      </w:pPr>
      <w:r w:rsidRPr="00F62601">
        <w:rPr>
          <w:iCs/>
          <w:lang w:val="en-GB" w:eastAsia="en-GB"/>
        </w:rPr>
        <w:t xml:space="preserve">Boyle, F., Kwon, J., Ross, C., </w:t>
      </w:r>
      <w:r w:rsidR="004A545E">
        <w:rPr>
          <w:iCs/>
          <w:lang w:val="en-GB" w:eastAsia="en-GB"/>
        </w:rPr>
        <w:t>and</w:t>
      </w:r>
      <w:r w:rsidRPr="00F62601">
        <w:rPr>
          <w:iCs/>
          <w:lang w:val="en-GB" w:eastAsia="en-GB"/>
        </w:rPr>
        <w:t xml:space="preserve"> Simpson, O. (2010)</w:t>
      </w:r>
      <w:r w:rsidR="00552143">
        <w:rPr>
          <w:iCs/>
          <w:lang w:val="en-GB" w:eastAsia="en-GB"/>
        </w:rPr>
        <w:t>,</w:t>
      </w:r>
      <w:r w:rsidRPr="00F62601">
        <w:rPr>
          <w:iCs/>
          <w:lang w:val="en-GB" w:eastAsia="en-GB"/>
        </w:rPr>
        <w:t xml:space="preserve"> </w:t>
      </w:r>
      <w:r w:rsidRPr="00552143">
        <w:rPr>
          <w:i/>
          <w:iCs/>
          <w:lang w:val="en-GB" w:eastAsia="en-GB"/>
        </w:rPr>
        <w:t>Student-student mentoring for retention and e</w:t>
      </w:r>
      <w:r w:rsidR="00EC39D4" w:rsidRPr="00552143">
        <w:rPr>
          <w:i/>
          <w:iCs/>
          <w:lang w:val="en-GB" w:eastAsia="en-GB"/>
        </w:rPr>
        <w:t>ngagement in distance education</w:t>
      </w:r>
      <w:r w:rsidR="00552143">
        <w:rPr>
          <w:i/>
          <w:iCs/>
          <w:lang w:val="en-GB" w:eastAsia="en-GB"/>
        </w:rPr>
        <w:t>,</w:t>
      </w:r>
      <w:r w:rsidRPr="00552143">
        <w:rPr>
          <w:iCs/>
          <w:lang w:val="en-GB" w:eastAsia="en-GB"/>
        </w:rPr>
        <w:t xml:space="preserve"> </w:t>
      </w:r>
      <w:r w:rsidR="009A4CAF" w:rsidRPr="00552143">
        <w:rPr>
          <w:iCs/>
          <w:lang w:val="en-GB" w:eastAsia="en-GB"/>
        </w:rPr>
        <w:t>Open Learning</w:t>
      </w:r>
      <w:r w:rsidR="009A4CAF">
        <w:rPr>
          <w:iCs/>
          <w:lang w:val="en-GB" w:eastAsia="en-GB"/>
        </w:rPr>
        <w:t xml:space="preserve">, </w:t>
      </w:r>
      <w:r w:rsidR="009A4CAF" w:rsidRPr="00C6757C">
        <w:rPr>
          <w:i/>
          <w:iCs/>
          <w:lang w:val="en-GB" w:eastAsia="en-GB"/>
        </w:rPr>
        <w:t>25</w:t>
      </w:r>
      <w:r w:rsidR="009A4CAF">
        <w:rPr>
          <w:iCs/>
          <w:lang w:val="en-GB" w:eastAsia="en-GB"/>
        </w:rPr>
        <w:t>(2)</w:t>
      </w:r>
    </w:p>
    <w:p w:rsidR="00517CA7" w:rsidRDefault="00517CA7" w:rsidP="0075701B">
      <w:pPr>
        <w:pStyle w:val="BodyText"/>
        <w:rPr>
          <w:iCs/>
          <w:lang w:val="en-GB" w:eastAsia="en-GB"/>
        </w:rPr>
      </w:pPr>
      <w:r w:rsidRPr="00114784">
        <w:rPr>
          <w:iCs/>
          <w:lang w:val="en-GB" w:eastAsia="en-GB"/>
        </w:rPr>
        <w:t xml:space="preserve">Brine, J., </w:t>
      </w:r>
      <w:r w:rsidR="004A545E">
        <w:rPr>
          <w:iCs/>
          <w:lang w:val="en-GB" w:eastAsia="en-GB"/>
        </w:rPr>
        <w:t>and</w:t>
      </w:r>
      <w:r w:rsidRPr="00114784">
        <w:rPr>
          <w:iCs/>
          <w:lang w:val="en-GB" w:eastAsia="en-GB"/>
        </w:rPr>
        <w:t xml:space="preserve"> Franken, M. (2006)</w:t>
      </w:r>
      <w:r w:rsidR="0075701B">
        <w:rPr>
          <w:iCs/>
          <w:lang w:val="en-GB" w:eastAsia="en-GB"/>
        </w:rPr>
        <w:t>,</w:t>
      </w:r>
      <w:r w:rsidRPr="00114784">
        <w:rPr>
          <w:iCs/>
          <w:lang w:val="en-GB" w:eastAsia="en-GB"/>
        </w:rPr>
        <w:t xml:space="preserve"> </w:t>
      </w:r>
      <w:r w:rsidR="00AE04B1" w:rsidRPr="0075701B">
        <w:rPr>
          <w:i/>
          <w:iCs/>
          <w:lang w:val="en-GB" w:eastAsia="en-GB"/>
        </w:rPr>
        <w:t>Students’</w:t>
      </w:r>
      <w:r w:rsidRPr="0075701B">
        <w:rPr>
          <w:i/>
          <w:iCs/>
          <w:lang w:val="en-GB" w:eastAsia="en-GB"/>
        </w:rPr>
        <w:t xml:space="preserve"> perceptions of a selected aspect of a computer medi</w:t>
      </w:r>
      <w:r w:rsidR="00AC5BCD" w:rsidRPr="0075701B">
        <w:rPr>
          <w:i/>
          <w:iCs/>
          <w:lang w:val="en-GB" w:eastAsia="en-GB"/>
        </w:rPr>
        <w:t>ated academic writing program: a</w:t>
      </w:r>
      <w:r w:rsidRPr="0075701B">
        <w:rPr>
          <w:i/>
          <w:iCs/>
          <w:lang w:val="en-GB" w:eastAsia="en-GB"/>
        </w:rPr>
        <w:t>n activity theory analysis</w:t>
      </w:r>
      <w:r w:rsidR="0075701B">
        <w:rPr>
          <w:iCs/>
          <w:lang w:val="en-GB" w:eastAsia="en-GB"/>
        </w:rPr>
        <w:t>,</w:t>
      </w:r>
      <w:r>
        <w:rPr>
          <w:iCs/>
          <w:lang w:val="en-GB" w:eastAsia="en-GB"/>
        </w:rPr>
        <w:t xml:space="preserve"> </w:t>
      </w:r>
      <w:r w:rsidRPr="0075701B">
        <w:rPr>
          <w:iCs/>
          <w:lang w:val="en-GB" w:eastAsia="en-GB"/>
        </w:rPr>
        <w:t>Australasian Journal of Educational Technology, 22(1</w:t>
      </w:r>
      <w:r w:rsidRPr="00114784">
        <w:rPr>
          <w:iCs/>
          <w:lang w:val="en-GB" w:eastAsia="en-GB"/>
        </w:rPr>
        <w:t xml:space="preserve">), </w:t>
      </w:r>
      <w:r w:rsidR="0075701B">
        <w:rPr>
          <w:iCs/>
          <w:lang w:val="en-GB" w:eastAsia="en-GB"/>
        </w:rPr>
        <w:t>r</w:t>
      </w:r>
      <w:r>
        <w:rPr>
          <w:iCs/>
          <w:lang w:val="en-GB" w:eastAsia="en-GB"/>
        </w:rPr>
        <w:t xml:space="preserve">etrieved from </w:t>
      </w:r>
      <w:hyperlink r:id="rId48" w:history="1">
        <w:r w:rsidRPr="002F5687">
          <w:rPr>
            <w:rStyle w:val="Hyperlink"/>
            <w:iCs/>
            <w:szCs w:val="22"/>
            <w:lang w:val="en-GB" w:eastAsia="en-GB"/>
          </w:rPr>
          <w:t>http://www.ascilite.org.au/ajet/ajet22/brine.html</w:t>
        </w:r>
      </w:hyperlink>
    </w:p>
    <w:p w:rsidR="00E96077" w:rsidRDefault="00517CA7" w:rsidP="0075701B">
      <w:pPr>
        <w:pStyle w:val="BodyText"/>
        <w:rPr>
          <w:iCs/>
          <w:lang w:val="en-GB" w:eastAsia="en-GB"/>
        </w:rPr>
      </w:pPr>
      <w:r w:rsidRPr="000A0AEC">
        <w:rPr>
          <w:iCs/>
          <w:lang w:val="en-GB" w:eastAsia="en-GB"/>
        </w:rPr>
        <w:t>Brooks, D. (2010)</w:t>
      </w:r>
      <w:r w:rsidR="0075701B">
        <w:rPr>
          <w:iCs/>
          <w:lang w:val="en-GB" w:eastAsia="en-GB"/>
        </w:rPr>
        <w:t>,</w:t>
      </w:r>
      <w:r w:rsidRPr="000A0AEC">
        <w:rPr>
          <w:iCs/>
          <w:lang w:val="en-GB" w:eastAsia="en-GB"/>
        </w:rPr>
        <w:t xml:space="preserve"> </w:t>
      </w:r>
      <w:r w:rsidR="008508D5">
        <w:rPr>
          <w:i/>
          <w:iCs/>
          <w:lang w:val="en-GB" w:eastAsia="en-GB"/>
        </w:rPr>
        <w:t>To go from murkiness to clarity: How do c</w:t>
      </w:r>
      <w:r w:rsidRPr="00494A65">
        <w:rPr>
          <w:i/>
          <w:iCs/>
          <w:lang w:val="en-GB" w:eastAsia="en-GB"/>
        </w:rPr>
        <w:t>our</w:t>
      </w:r>
      <w:r w:rsidR="008508D5">
        <w:rPr>
          <w:i/>
          <w:iCs/>
          <w:lang w:val="en-GB" w:eastAsia="en-GB"/>
        </w:rPr>
        <w:t>se members perceive the t</w:t>
      </w:r>
      <w:r w:rsidR="00AE04B1">
        <w:rPr>
          <w:i/>
          <w:iCs/>
          <w:lang w:val="en-GB" w:eastAsia="en-GB"/>
        </w:rPr>
        <w:t>eacher’</w:t>
      </w:r>
      <w:r w:rsidR="008508D5">
        <w:rPr>
          <w:i/>
          <w:iCs/>
          <w:lang w:val="en-GB" w:eastAsia="en-GB"/>
        </w:rPr>
        <w:t>s role in an online learning e</w:t>
      </w:r>
      <w:r w:rsidRPr="00494A65">
        <w:rPr>
          <w:i/>
          <w:iCs/>
          <w:lang w:val="en-GB" w:eastAsia="en-GB"/>
        </w:rPr>
        <w:t>nvironment?</w:t>
      </w:r>
      <w:r w:rsidR="0075701B">
        <w:rPr>
          <w:i/>
          <w:iCs/>
          <w:lang w:val="en-GB" w:eastAsia="en-GB"/>
        </w:rPr>
        <w:t xml:space="preserve"> </w:t>
      </w:r>
      <w:r w:rsidR="0075701B">
        <w:rPr>
          <w:iCs/>
          <w:lang w:val="en-GB" w:eastAsia="en-GB"/>
        </w:rPr>
        <w:t>Master’s thesis</w:t>
      </w:r>
      <w:r w:rsidR="00891052">
        <w:rPr>
          <w:iCs/>
          <w:lang w:val="en-GB" w:eastAsia="en-GB"/>
        </w:rPr>
        <w:t xml:space="preserve">, </w:t>
      </w:r>
      <w:r w:rsidRPr="000A0AEC">
        <w:rPr>
          <w:iCs/>
          <w:lang w:val="en-GB" w:eastAsia="en-GB"/>
        </w:rPr>
        <w:t xml:space="preserve">University </w:t>
      </w:r>
      <w:r w:rsidRPr="00464CC0">
        <w:rPr>
          <w:iCs/>
          <w:lang w:val="en-GB" w:eastAsia="en-GB"/>
        </w:rPr>
        <w:t>of Canterbury, Christchurch</w:t>
      </w:r>
      <w:r w:rsidRPr="000A0AEC">
        <w:rPr>
          <w:iCs/>
          <w:lang w:val="en-GB" w:eastAsia="en-GB"/>
        </w:rPr>
        <w:t>, New Zealand</w:t>
      </w:r>
      <w:r w:rsidR="0075701B">
        <w:rPr>
          <w:iCs/>
          <w:lang w:val="en-GB" w:eastAsia="en-GB"/>
        </w:rPr>
        <w:t>, r</w:t>
      </w:r>
      <w:r>
        <w:rPr>
          <w:iCs/>
          <w:lang w:val="en-GB" w:eastAsia="en-GB"/>
        </w:rPr>
        <w:t xml:space="preserve">etrieved </w:t>
      </w:r>
      <w:r w:rsidR="001372AA">
        <w:rPr>
          <w:iCs/>
          <w:lang w:val="en-GB" w:eastAsia="en-GB"/>
        </w:rPr>
        <w:t xml:space="preserve">from </w:t>
      </w:r>
      <w:hyperlink r:id="rId49" w:history="1">
        <w:r w:rsidRPr="002F5687">
          <w:rPr>
            <w:rStyle w:val="Hyperlink"/>
            <w:iCs/>
            <w:szCs w:val="22"/>
            <w:lang w:val="en-GB" w:eastAsia="en-GB"/>
          </w:rPr>
          <w:t>http://ir.canterbury.ac.nz/bitstream/10092/4203/2/thesis_fulltext.pdf</w:t>
        </w:r>
      </w:hyperlink>
      <w:r w:rsidR="00BB3A6C" w:rsidRPr="00BB3A6C">
        <w:rPr>
          <w:rStyle w:val="Hyperlink"/>
          <w:iCs/>
          <w:color w:val="000000" w:themeColor="text1"/>
          <w:szCs w:val="22"/>
          <w:lang w:val="en-GB" w:eastAsia="en-GB"/>
        </w:rPr>
        <w:t>.</w:t>
      </w:r>
      <w:r>
        <w:rPr>
          <w:iCs/>
          <w:lang w:val="en-GB" w:eastAsia="en-GB"/>
        </w:rPr>
        <w:t xml:space="preserve"> </w:t>
      </w:r>
    </w:p>
    <w:p w:rsidR="00517CA7" w:rsidRPr="00C160F2" w:rsidRDefault="00517CA7" w:rsidP="0075701B">
      <w:pPr>
        <w:pStyle w:val="BodyText"/>
      </w:pPr>
      <w:r w:rsidRPr="00464CC0">
        <w:t>Brown, M. (2008</w:t>
      </w:r>
      <w:r w:rsidR="00DB0F67" w:rsidRPr="00464CC0">
        <w:t>)</w:t>
      </w:r>
      <w:r w:rsidR="0075701B">
        <w:t>,</w:t>
      </w:r>
      <w:r w:rsidRPr="008508D5">
        <w:t xml:space="preserve"> </w:t>
      </w:r>
      <w:r w:rsidRPr="008508D5">
        <w:rPr>
          <w:i/>
        </w:rPr>
        <w:t>Beauty and blended learning: E-learning in vocational programs</w:t>
      </w:r>
      <w:r w:rsidR="00FF0E2A">
        <w:t>.</w:t>
      </w:r>
      <w:r w:rsidR="00AB1BD6" w:rsidRPr="008508D5">
        <w:t xml:space="preserve"> </w:t>
      </w:r>
      <w:r w:rsidR="00FF0E2A">
        <w:t>P</w:t>
      </w:r>
      <w:r w:rsidRPr="008508D5">
        <w:t>oster session presented at Ascilite</w:t>
      </w:r>
      <w:r w:rsidR="0021360F" w:rsidRPr="008508D5">
        <w:t xml:space="preserve"> 2008, Melbourne</w:t>
      </w:r>
      <w:r w:rsidR="0021360F">
        <w:t>, Australia</w:t>
      </w:r>
      <w:r w:rsidR="0075701B">
        <w:t>, r</w:t>
      </w:r>
      <w:r>
        <w:t xml:space="preserve">etrieved from </w:t>
      </w:r>
      <w:hyperlink r:id="rId50" w:history="1">
        <w:r w:rsidRPr="001E092E">
          <w:rPr>
            <w:rStyle w:val="Hyperlink"/>
            <w:szCs w:val="22"/>
          </w:rPr>
          <w:t>http://researcharchive.wintec.ac.nz/328/2/brown-poster.pdf</w:t>
        </w:r>
      </w:hyperlink>
    </w:p>
    <w:p w:rsidR="00517CA7" w:rsidRDefault="00517CA7" w:rsidP="00E96077">
      <w:pPr>
        <w:pStyle w:val="BodyText"/>
        <w:rPr>
          <w:lang w:eastAsia="en-NZ"/>
        </w:rPr>
      </w:pPr>
      <w:r>
        <w:rPr>
          <w:lang w:eastAsia="en-NZ"/>
        </w:rPr>
        <w:t>Brown</w:t>
      </w:r>
      <w:r w:rsidR="00724DDE">
        <w:rPr>
          <w:lang w:eastAsia="en-NZ"/>
        </w:rPr>
        <w:t>,</w:t>
      </w:r>
      <w:r>
        <w:rPr>
          <w:lang w:eastAsia="en-NZ"/>
        </w:rPr>
        <w:t xml:space="preserve"> M., Keppell, M., Hughes, H., Hard, N.</w:t>
      </w:r>
      <w:r w:rsidR="005C50B2">
        <w:rPr>
          <w:lang w:eastAsia="en-NZ"/>
        </w:rPr>
        <w:t xml:space="preserve">, Shillington, S., </w:t>
      </w:r>
      <w:r w:rsidR="004A545E">
        <w:rPr>
          <w:lang w:eastAsia="en-NZ"/>
        </w:rPr>
        <w:t>and</w:t>
      </w:r>
      <w:r w:rsidR="005C50B2">
        <w:rPr>
          <w:lang w:eastAsia="en-NZ"/>
        </w:rPr>
        <w:t xml:space="preserve"> Smith</w:t>
      </w:r>
      <w:r w:rsidR="00724DDE">
        <w:rPr>
          <w:lang w:eastAsia="en-NZ"/>
        </w:rPr>
        <w:t>,</w:t>
      </w:r>
      <w:r w:rsidR="005C50B2">
        <w:rPr>
          <w:lang w:eastAsia="en-NZ"/>
        </w:rPr>
        <w:t xml:space="preserve"> L.</w:t>
      </w:r>
      <w:r>
        <w:rPr>
          <w:lang w:eastAsia="en-NZ"/>
        </w:rPr>
        <w:t xml:space="preserve"> (2012</w:t>
      </w:r>
      <w:r w:rsidR="00DB0F67">
        <w:rPr>
          <w:lang w:eastAsia="en-NZ"/>
        </w:rPr>
        <w:t>)</w:t>
      </w:r>
      <w:r w:rsidR="0075701B">
        <w:rPr>
          <w:lang w:eastAsia="en-NZ"/>
        </w:rPr>
        <w:t>,</w:t>
      </w:r>
      <w:r>
        <w:rPr>
          <w:lang w:eastAsia="en-NZ"/>
        </w:rPr>
        <w:t xml:space="preserve"> </w:t>
      </w:r>
      <w:r w:rsidRPr="00B53E78">
        <w:rPr>
          <w:i/>
          <w:lang w:eastAsia="en-NZ"/>
        </w:rPr>
        <w:t xml:space="preserve">In their </w:t>
      </w:r>
      <w:r w:rsidR="008508D5">
        <w:rPr>
          <w:i/>
          <w:lang w:eastAsia="en-NZ"/>
        </w:rPr>
        <w:t>own w</w:t>
      </w:r>
      <w:r>
        <w:rPr>
          <w:i/>
          <w:lang w:eastAsia="en-NZ"/>
        </w:rPr>
        <w:t xml:space="preserve">ords: Experiences of </w:t>
      </w:r>
      <w:r w:rsidR="008508D5">
        <w:rPr>
          <w:i/>
          <w:lang w:eastAsia="en-NZ"/>
        </w:rPr>
        <w:t>first-time distance l</w:t>
      </w:r>
      <w:r w:rsidRPr="00FF1E48">
        <w:rPr>
          <w:i/>
          <w:lang w:eastAsia="en-NZ"/>
        </w:rPr>
        <w:t>earners</w:t>
      </w:r>
      <w:r w:rsidR="008508D5">
        <w:rPr>
          <w:i/>
          <w:lang w:eastAsia="en-NZ"/>
        </w:rPr>
        <w:t>.</w:t>
      </w:r>
      <w:r>
        <w:rPr>
          <w:i/>
          <w:lang w:eastAsia="en-NZ"/>
        </w:rPr>
        <w:t xml:space="preserve"> </w:t>
      </w:r>
      <w:r w:rsidRPr="003A1C7B">
        <w:t>Armidale</w:t>
      </w:r>
      <w:r w:rsidRPr="00CD43FF">
        <w:t>,</w:t>
      </w:r>
      <w:r w:rsidRPr="003A1C7B">
        <w:t xml:space="preserve"> Australia</w:t>
      </w:r>
      <w:r w:rsidR="00FF0E2A">
        <w:t>: DeHub</w:t>
      </w:r>
    </w:p>
    <w:p w:rsidR="00517CA7" w:rsidRPr="00C160F2" w:rsidRDefault="005C50B2" w:rsidP="00E96077">
      <w:pPr>
        <w:pStyle w:val="BodyText"/>
      </w:pPr>
      <w:r w:rsidRPr="006D04A5">
        <w:rPr>
          <w:lang w:val="en-GB" w:eastAsia="en-GB"/>
        </w:rPr>
        <w:t>Burgess, J.</w:t>
      </w:r>
      <w:r w:rsidR="00517CA7" w:rsidRPr="006D04A5">
        <w:rPr>
          <w:lang w:val="en-GB" w:eastAsia="en-GB"/>
        </w:rPr>
        <w:t xml:space="preserve"> (</w:t>
      </w:r>
      <w:r w:rsidR="00517CA7" w:rsidRPr="008819A2">
        <w:rPr>
          <w:lang w:val="en-GB" w:eastAsia="en-GB"/>
        </w:rPr>
        <w:t>2008</w:t>
      </w:r>
      <w:r w:rsidR="00517CA7">
        <w:rPr>
          <w:lang w:val="en-GB" w:eastAsia="en-GB"/>
        </w:rPr>
        <w:t>a</w:t>
      </w:r>
      <w:r w:rsidR="00DB0F67">
        <w:rPr>
          <w:lang w:val="en-GB" w:eastAsia="en-GB"/>
        </w:rPr>
        <w:t>)</w:t>
      </w:r>
      <w:r w:rsidR="0075701B">
        <w:rPr>
          <w:lang w:val="en-GB" w:eastAsia="en-GB"/>
        </w:rPr>
        <w:t>,</w:t>
      </w:r>
      <w:r w:rsidR="00517CA7" w:rsidRPr="008819A2">
        <w:rPr>
          <w:lang w:val="en-GB" w:eastAsia="en-GB"/>
        </w:rPr>
        <w:t xml:space="preserve"> </w:t>
      </w:r>
      <w:r w:rsidRPr="0075701B">
        <w:rPr>
          <w:i/>
          <w:lang w:val="en-GB" w:eastAsia="en-GB"/>
        </w:rPr>
        <w:t>Is a blended learning approach suitable for mature, part-time finance s</w:t>
      </w:r>
      <w:r w:rsidR="00517CA7" w:rsidRPr="0075701B">
        <w:rPr>
          <w:i/>
          <w:lang w:val="en-GB" w:eastAsia="en-GB"/>
        </w:rPr>
        <w:t xml:space="preserve">tudents? </w:t>
      </w:r>
      <w:r w:rsidR="00517CA7" w:rsidRPr="0075701B">
        <w:rPr>
          <w:lang w:val="en-GB" w:eastAsia="en-GB"/>
        </w:rPr>
        <w:t>Electronic Journal of e-Learning, 6</w:t>
      </w:r>
      <w:r w:rsidR="007F498A" w:rsidRPr="0075701B">
        <w:rPr>
          <w:lang w:val="en-GB" w:eastAsia="en-GB"/>
        </w:rPr>
        <w:t>(2)</w:t>
      </w:r>
    </w:p>
    <w:p w:rsidR="00517CA7" w:rsidRDefault="005C50B2" w:rsidP="00E96077">
      <w:pPr>
        <w:pStyle w:val="BodyText"/>
      </w:pPr>
      <w:r>
        <w:rPr>
          <w:lang w:val="en-GB" w:eastAsia="en-GB"/>
        </w:rPr>
        <w:t>Burgess, J.</w:t>
      </w:r>
      <w:r w:rsidR="00517CA7" w:rsidRPr="008819A2">
        <w:rPr>
          <w:lang w:val="en-GB" w:eastAsia="en-GB"/>
        </w:rPr>
        <w:t xml:space="preserve"> (2008</w:t>
      </w:r>
      <w:r w:rsidR="00517CA7">
        <w:rPr>
          <w:lang w:val="en-GB" w:eastAsia="en-GB"/>
        </w:rPr>
        <w:t>b</w:t>
      </w:r>
      <w:r w:rsidR="00DB0F67">
        <w:rPr>
          <w:lang w:val="en-GB" w:eastAsia="en-GB"/>
        </w:rPr>
        <w:t>)</w:t>
      </w:r>
      <w:r w:rsidR="0075701B">
        <w:rPr>
          <w:lang w:val="en-GB" w:eastAsia="en-GB"/>
        </w:rPr>
        <w:t>,</w:t>
      </w:r>
      <w:r w:rsidR="00517CA7" w:rsidRPr="008819A2">
        <w:rPr>
          <w:lang w:val="en-GB" w:eastAsia="en-GB"/>
        </w:rPr>
        <w:t xml:space="preserve"> </w:t>
      </w:r>
      <w:r w:rsidRPr="0075701B">
        <w:rPr>
          <w:i/>
          <w:iCs/>
          <w:lang w:val="en-GB" w:eastAsia="en-GB"/>
        </w:rPr>
        <w:t>A nurse prescribing programme i</w:t>
      </w:r>
      <w:r w:rsidR="007F498A" w:rsidRPr="0075701B">
        <w:rPr>
          <w:i/>
          <w:iCs/>
          <w:lang w:val="en-GB" w:eastAsia="en-GB"/>
        </w:rPr>
        <w:t>ncorporating e-l</w:t>
      </w:r>
      <w:r w:rsidR="00517CA7" w:rsidRPr="0075701B">
        <w:rPr>
          <w:i/>
          <w:iCs/>
          <w:lang w:val="en-GB" w:eastAsia="en-GB"/>
        </w:rPr>
        <w:t>earning</w:t>
      </w:r>
      <w:r w:rsidR="0075701B">
        <w:rPr>
          <w:i/>
          <w:iCs/>
          <w:lang w:val="en-GB" w:eastAsia="en-GB"/>
        </w:rPr>
        <w:t>,</w:t>
      </w:r>
      <w:r w:rsidR="00517CA7">
        <w:t xml:space="preserve"> </w:t>
      </w:r>
      <w:r w:rsidR="00517CA7" w:rsidRPr="0075701B">
        <w:t xml:space="preserve">Electronic Journal of </w:t>
      </w:r>
      <w:r w:rsidR="00C34393" w:rsidRPr="0075701B">
        <w:t>e</w:t>
      </w:r>
      <w:r w:rsidR="009A4CAF" w:rsidRPr="0075701B">
        <w:t>-Learning, 5</w:t>
      </w:r>
      <w:r w:rsidR="007F498A" w:rsidRPr="0075701B">
        <w:t>(4)</w:t>
      </w:r>
      <w:r w:rsidR="00C75391">
        <w:t>.</w:t>
      </w:r>
      <w:r w:rsidR="00517CA7" w:rsidRPr="008819A2">
        <w:t xml:space="preserve">  </w:t>
      </w:r>
    </w:p>
    <w:p w:rsidR="00517CA7" w:rsidRDefault="00517CA7" w:rsidP="0075701B">
      <w:pPr>
        <w:pStyle w:val="BodyText"/>
        <w:rPr>
          <w:iCs/>
          <w:lang w:val="en-GB" w:eastAsia="en-GB"/>
        </w:rPr>
      </w:pPr>
      <w:r w:rsidRPr="006F60FB">
        <w:rPr>
          <w:iCs/>
          <w:lang w:val="en-GB" w:eastAsia="en-GB"/>
        </w:rPr>
        <w:t>Cartner, H.</w:t>
      </w:r>
      <w:r w:rsidR="002D4C8D">
        <w:rPr>
          <w:iCs/>
          <w:lang w:val="en-GB" w:eastAsia="en-GB"/>
        </w:rPr>
        <w:t>,</w:t>
      </w:r>
      <w:r w:rsidRPr="006F60FB">
        <w:rPr>
          <w:iCs/>
          <w:lang w:val="en-GB" w:eastAsia="en-GB"/>
        </w:rPr>
        <w:t xml:space="preserve"> </w:t>
      </w:r>
      <w:r w:rsidR="004A545E">
        <w:rPr>
          <w:iCs/>
          <w:lang w:val="en-GB" w:eastAsia="en-GB"/>
        </w:rPr>
        <w:t>and</w:t>
      </w:r>
      <w:r w:rsidRPr="006F60FB">
        <w:rPr>
          <w:iCs/>
          <w:lang w:val="en-GB" w:eastAsia="en-GB"/>
        </w:rPr>
        <w:t xml:space="preserve"> Hallas, J. (2009)</w:t>
      </w:r>
      <w:r w:rsidR="0075701B">
        <w:rPr>
          <w:iCs/>
          <w:lang w:val="en-GB" w:eastAsia="en-GB"/>
        </w:rPr>
        <w:t>,</w:t>
      </w:r>
      <w:r w:rsidRPr="006F60FB">
        <w:rPr>
          <w:iCs/>
          <w:lang w:val="en-GB" w:eastAsia="en-GB"/>
        </w:rPr>
        <w:t xml:space="preserve"> </w:t>
      </w:r>
      <w:r w:rsidRPr="00263112">
        <w:rPr>
          <w:i/>
          <w:iCs/>
          <w:lang w:val="en-GB" w:eastAsia="en-GB"/>
        </w:rPr>
        <w:t xml:space="preserve">Exploring the R2D2 </w:t>
      </w:r>
      <w:r w:rsidRPr="008508D5">
        <w:rPr>
          <w:i/>
          <w:iCs/>
          <w:lang w:val="en-GB" w:eastAsia="en-GB"/>
        </w:rPr>
        <w:t>model for</w:t>
      </w:r>
      <w:r w:rsidRPr="00263112">
        <w:rPr>
          <w:i/>
          <w:iCs/>
          <w:lang w:val="en-GB" w:eastAsia="en-GB"/>
        </w:rPr>
        <w:t xml:space="preserve"> online learning activities to teach academic language skills</w:t>
      </w:r>
      <w:r w:rsidRPr="006F60FB">
        <w:rPr>
          <w:iCs/>
          <w:lang w:val="en-GB" w:eastAsia="en-GB"/>
        </w:rPr>
        <w:t xml:space="preserve">. Paper presented at the 2009 </w:t>
      </w:r>
      <w:r>
        <w:rPr>
          <w:iCs/>
          <w:lang w:val="en-GB" w:eastAsia="en-GB"/>
        </w:rPr>
        <w:t>A</w:t>
      </w:r>
      <w:r w:rsidRPr="006F60FB">
        <w:rPr>
          <w:iCs/>
          <w:lang w:val="en-GB" w:eastAsia="en-GB"/>
        </w:rPr>
        <w:t>scilite Conference, Auckland, New Zealand</w:t>
      </w:r>
      <w:r w:rsidR="0075701B">
        <w:rPr>
          <w:iCs/>
          <w:lang w:val="en-GB" w:eastAsia="en-GB"/>
        </w:rPr>
        <w:t>, r</w:t>
      </w:r>
      <w:r>
        <w:rPr>
          <w:iCs/>
          <w:lang w:val="en-GB" w:eastAsia="en-GB"/>
        </w:rPr>
        <w:t xml:space="preserve">etrieved from </w:t>
      </w:r>
      <w:hyperlink r:id="rId51" w:history="1">
        <w:r w:rsidRPr="001E092E">
          <w:rPr>
            <w:rStyle w:val="Hyperlink"/>
            <w:iCs/>
            <w:szCs w:val="22"/>
            <w:lang w:val="en-GB" w:eastAsia="en-GB"/>
          </w:rPr>
          <w:t>http://www.ascilite.org.au/conferences/auckland09/procs/cartner.pdf</w:t>
        </w:r>
      </w:hyperlink>
    </w:p>
    <w:p w:rsidR="002D4C8D" w:rsidRPr="0075701B" w:rsidRDefault="00517CA7" w:rsidP="0075701B">
      <w:pPr>
        <w:pStyle w:val="BodyText"/>
        <w:spacing w:after="0"/>
        <w:rPr>
          <w:iCs/>
          <w:lang w:val="en-GB" w:eastAsia="en-GB"/>
        </w:rPr>
      </w:pPr>
      <w:r w:rsidRPr="008819A2">
        <w:rPr>
          <w:lang w:val="en-GB" w:eastAsia="en-GB"/>
        </w:rPr>
        <w:t xml:space="preserve">Coldwell, J., </w:t>
      </w:r>
      <w:r>
        <w:rPr>
          <w:lang w:val="en-GB" w:eastAsia="en-GB"/>
        </w:rPr>
        <w:t>Craig</w:t>
      </w:r>
      <w:r w:rsidR="002B4437">
        <w:rPr>
          <w:lang w:val="en-GB" w:eastAsia="en-GB"/>
        </w:rPr>
        <w:t>,</w:t>
      </w:r>
      <w:r>
        <w:rPr>
          <w:lang w:val="en-GB" w:eastAsia="en-GB"/>
        </w:rPr>
        <w:t xml:space="preserve"> A., </w:t>
      </w:r>
      <w:r w:rsidR="0079028D">
        <w:rPr>
          <w:lang w:val="en-GB" w:eastAsia="en-GB"/>
        </w:rPr>
        <w:t>Paterson, T.</w:t>
      </w:r>
      <w:r w:rsidR="002B4437">
        <w:rPr>
          <w:lang w:val="en-GB" w:eastAsia="en-GB"/>
        </w:rPr>
        <w:t>,</w:t>
      </w:r>
      <w:r w:rsidR="0079028D">
        <w:rPr>
          <w:lang w:val="en-GB" w:eastAsia="en-GB"/>
        </w:rPr>
        <w:t xml:space="preserve"> </w:t>
      </w:r>
      <w:r w:rsidR="004A545E">
        <w:rPr>
          <w:lang w:val="en-GB" w:eastAsia="en-GB"/>
        </w:rPr>
        <w:t>and</w:t>
      </w:r>
      <w:r w:rsidR="0079028D">
        <w:rPr>
          <w:lang w:val="en-GB" w:eastAsia="en-GB"/>
        </w:rPr>
        <w:t xml:space="preserve"> Mustard, J.</w:t>
      </w:r>
      <w:r w:rsidR="00DB0F67">
        <w:rPr>
          <w:lang w:val="en-GB" w:eastAsia="en-GB"/>
        </w:rPr>
        <w:t xml:space="preserve"> (2008)</w:t>
      </w:r>
      <w:r w:rsidR="0075701B">
        <w:rPr>
          <w:lang w:val="en-GB" w:eastAsia="en-GB"/>
        </w:rPr>
        <w:t>,</w:t>
      </w:r>
      <w:r w:rsidRPr="008819A2">
        <w:rPr>
          <w:lang w:val="en-GB" w:eastAsia="en-GB"/>
        </w:rPr>
        <w:t xml:space="preserve"> </w:t>
      </w:r>
      <w:r w:rsidR="0079028D" w:rsidRPr="0075701B">
        <w:rPr>
          <w:i/>
          <w:iCs/>
          <w:lang w:val="en-GB" w:eastAsia="en-GB"/>
        </w:rPr>
        <w:t>Online students: relationships between participation, demographics and academic p</w:t>
      </w:r>
      <w:r w:rsidRPr="0075701B">
        <w:rPr>
          <w:i/>
          <w:iCs/>
          <w:lang w:val="en-GB" w:eastAsia="en-GB"/>
        </w:rPr>
        <w:t>erformance</w:t>
      </w:r>
      <w:r w:rsidR="0075701B">
        <w:rPr>
          <w:iCs/>
          <w:lang w:val="en-GB" w:eastAsia="en-GB"/>
        </w:rPr>
        <w:t>,</w:t>
      </w:r>
      <w:r w:rsidRPr="008819A2">
        <w:rPr>
          <w:i/>
          <w:iCs/>
          <w:lang w:val="en-GB" w:eastAsia="en-GB"/>
        </w:rPr>
        <w:t xml:space="preserve"> </w:t>
      </w:r>
      <w:r w:rsidR="002D4C8D" w:rsidRPr="0075701B">
        <w:rPr>
          <w:iCs/>
          <w:lang w:val="en-GB" w:eastAsia="en-GB"/>
        </w:rPr>
        <w:t xml:space="preserve">Electronic Journal of </w:t>
      </w:r>
    </w:p>
    <w:p w:rsidR="00517CA7" w:rsidRDefault="002D4C8D" w:rsidP="0075701B">
      <w:pPr>
        <w:pStyle w:val="BodyText"/>
      </w:pPr>
      <w:r w:rsidRPr="0075701B">
        <w:rPr>
          <w:iCs/>
          <w:lang w:val="en-GB" w:eastAsia="en-GB"/>
        </w:rPr>
        <w:t>e</w:t>
      </w:r>
      <w:r w:rsidR="00517CA7" w:rsidRPr="0075701B">
        <w:rPr>
          <w:iCs/>
          <w:lang w:val="en-GB" w:eastAsia="en-GB"/>
        </w:rPr>
        <w:t>-Learning, 6</w:t>
      </w:r>
      <w:r w:rsidR="002B4437" w:rsidRPr="0075701B">
        <w:rPr>
          <w:iCs/>
          <w:lang w:val="en-GB" w:eastAsia="en-GB"/>
        </w:rPr>
        <w:t>(1)</w:t>
      </w:r>
      <w:r w:rsidR="0075701B">
        <w:rPr>
          <w:iCs/>
          <w:lang w:val="en-GB" w:eastAsia="en-GB"/>
        </w:rPr>
        <w:t>, r</w:t>
      </w:r>
      <w:r w:rsidR="00517CA7" w:rsidRPr="008819A2">
        <w:rPr>
          <w:iCs/>
          <w:lang w:val="en-GB" w:eastAsia="en-GB"/>
        </w:rPr>
        <w:t xml:space="preserve">etrieved from </w:t>
      </w:r>
      <w:hyperlink r:id="rId52" w:history="1">
        <w:r w:rsidR="00517CA7" w:rsidRPr="008819A2">
          <w:rPr>
            <w:rStyle w:val="Hyperlink"/>
            <w:iCs/>
            <w:szCs w:val="22"/>
            <w:lang w:val="en-GB" w:eastAsia="en-GB"/>
          </w:rPr>
          <w:t>http://www.deakin.edu.au/dro/eserv/DU:30017242/coldwell-onlinestudents-2008.pdf</w:t>
        </w:r>
      </w:hyperlink>
    </w:p>
    <w:p w:rsidR="00517CA7" w:rsidRPr="008819A2" w:rsidRDefault="00753260" w:rsidP="0075701B">
      <w:pPr>
        <w:pStyle w:val="BodyText"/>
        <w:rPr>
          <w:iCs/>
          <w:lang w:val="en-GB" w:eastAsia="en-GB"/>
        </w:rPr>
      </w:pPr>
      <w:r>
        <w:rPr>
          <w:lang w:val="en-GB" w:eastAsia="en-GB"/>
        </w:rPr>
        <w:t>Conrad, D.</w:t>
      </w:r>
      <w:r w:rsidR="00DB0F67">
        <w:rPr>
          <w:lang w:val="en-GB" w:eastAsia="en-GB"/>
        </w:rPr>
        <w:t xml:space="preserve"> (2009)</w:t>
      </w:r>
      <w:r w:rsidR="0075701B">
        <w:rPr>
          <w:lang w:val="en-GB" w:eastAsia="en-GB"/>
        </w:rPr>
        <w:t>,</w:t>
      </w:r>
      <w:r w:rsidR="00517CA7" w:rsidRPr="008819A2">
        <w:rPr>
          <w:i/>
          <w:iCs/>
          <w:lang w:val="en-GB" w:eastAsia="en-GB"/>
        </w:rPr>
        <w:t xml:space="preserve"> </w:t>
      </w:r>
      <w:r w:rsidRPr="0075701B">
        <w:rPr>
          <w:i/>
          <w:iCs/>
          <w:lang w:val="en-GB" w:eastAsia="en-GB"/>
        </w:rPr>
        <w:t>Cognitive, instructional, and social presence as factors in learners’ negotiation of p</w:t>
      </w:r>
      <w:r w:rsidR="00517CA7" w:rsidRPr="0075701B">
        <w:rPr>
          <w:i/>
          <w:iCs/>
          <w:lang w:val="en-GB" w:eastAsia="en-GB"/>
        </w:rPr>
        <w:t>lan</w:t>
      </w:r>
      <w:r w:rsidRPr="0075701B">
        <w:rPr>
          <w:i/>
          <w:iCs/>
          <w:lang w:val="en-GB" w:eastAsia="en-GB"/>
        </w:rPr>
        <w:t>ned absences from online s</w:t>
      </w:r>
      <w:r w:rsidR="00517CA7" w:rsidRPr="0075701B">
        <w:rPr>
          <w:i/>
          <w:iCs/>
          <w:lang w:val="en-GB" w:eastAsia="en-GB"/>
        </w:rPr>
        <w:t>tudy</w:t>
      </w:r>
      <w:r w:rsidR="0075701B">
        <w:rPr>
          <w:i/>
          <w:iCs/>
          <w:lang w:val="en-GB" w:eastAsia="en-GB"/>
        </w:rPr>
        <w:t>,</w:t>
      </w:r>
      <w:r w:rsidR="00517CA7" w:rsidRPr="00753260">
        <w:rPr>
          <w:i/>
          <w:iCs/>
          <w:lang w:val="en-GB" w:eastAsia="en-GB"/>
        </w:rPr>
        <w:t xml:space="preserve"> </w:t>
      </w:r>
      <w:r w:rsidR="00517CA7" w:rsidRPr="0075701B">
        <w:rPr>
          <w:iCs/>
          <w:lang w:val="en-GB" w:eastAsia="en-GB"/>
        </w:rPr>
        <w:t>International Review of Research in Open and Distance Learning, 10</w:t>
      </w:r>
      <w:r w:rsidR="002B4437" w:rsidRPr="0075701B">
        <w:rPr>
          <w:iCs/>
          <w:lang w:val="en-GB" w:eastAsia="en-GB"/>
        </w:rPr>
        <w:t>(3)</w:t>
      </w:r>
      <w:r w:rsidR="0075701B">
        <w:rPr>
          <w:iCs/>
          <w:lang w:val="en-GB" w:eastAsia="en-GB"/>
        </w:rPr>
        <w:t>, r</w:t>
      </w:r>
      <w:r w:rsidR="00517CA7" w:rsidRPr="008819A2">
        <w:rPr>
          <w:iCs/>
          <w:lang w:val="en-GB" w:eastAsia="en-GB"/>
        </w:rPr>
        <w:t xml:space="preserve">etrieved from </w:t>
      </w:r>
      <w:hyperlink r:id="rId53" w:history="1">
        <w:r w:rsidR="00517CA7" w:rsidRPr="008819A2">
          <w:rPr>
            <w:rStyle w:val="Hyperlink"/>
            <w:iCs/>
            <w:szCs w:val="22"/>
            <w:lang w:val="en-GB" w:eastAsia="en-GB"/>
          </w:rPr>
          <w:t>http://www.irrodl.org/index.php/irrodl/article/view/630/1296</w:t>
        </w:r>
      </w:hyperlink>
    </w:p>
    <w:p w:rsidR="00517CA7" w:rsidRDefault="00517CA7" w:rsidP="0075701B">
      <w:pPr>
        <w:pStyle w:val="BodyText"/>
      </w:pPr>
      <w:r w:rsidRPr="00E771E8">
        <w:rPr>
          <w:lang w:val="en-GB" w:eastAsia="en-GB"/>
        </w:rPr>
        <w:t>Davies, J.</w:t>
      </w:r>
      <w:r w:rsidR="00753260">
        <w:rPr>
          <w:lang w:val="en-GB" w:eastAsia="en-GB"/>
        </w:rPr>
        <w:t xml:space="preserve">, </w:t>
      </w:r>
      <w:r w:rsidR="004A545E">
        <w:rPr>
          <w:lang w:val="en-GB" w:eastAsia="en-GB"/>
        </w:rPr>
        <w:t>and</w:t>
      </w:r>
      <w:r w:rsidR="00753260">
        <w:rPr>
          <w:lang w:val="en-GB" w:eastAsia="en-GB"/>
        </w:rPr>
        <w:t xml:space="preserve"> Graff, M.</w:t>
      </w:r>
      <w:r w:rsidR="00DB0F67">
        <w:rPr>
          <w:lang w:val="en-GB" w:eastAsia="en-GB"/>
        </w:rPr>
        <w:t xml:space="preserve"> (2005)</w:t>
      </w:r>
      <w:r w:rsidR="0075701B">
        <w:rPr>
          <w:lang w:val="en-GB" w:eastAsia="en-GB"/>
        </w:rPr>
        <w:t>,</w:t>
      </w:r>
      <w:r w:rsidRPr="00E771E8">
        <w:rPr>
          <w:i/>
          <w:iCs/>
          <w:lang w:val="en-GB" w:eastAsia="en-GB"/>
        </w:rPr>
        <w:t xml:space="preserve"> </w:t>
      </w:r>
      <w:r w:rsidRPr="00EF263D">
        <w:rPr>
          <w:iCs/>
          <w:lang w:val="en-GB" w:eastAsia="en-GB"/>
        </w:rPr>
        <w:t>P</w:t>
      </w:r>
      <w:r w:rsidRPr="0075701B">
        <w:rPr>
          <w:i/>
          <w:iCs/>
          <w:lang w:val="en-GB" w:eastAsia="en-GB"/>
        </w:rPr>
        <w:t>erformance in e-learning: online participation and student grade</w:t>
      </w:r>
      <w:r w:rsidR="0075701B">
        <w:rPr>
          <w:i/>
          <w:iCs/>
          <w:lang w:val="en-GB" w:eastAsia="en-GB"/>
        </w:rPr>
        <w:t>s</w:t>
      </w:r>
      <w:r w:rsidR="0075701B">
        <w:rPr>
          <w:iCs/>
          <w:lang w:val="en-GB" w:eastAsia="en-GB"/>
        </w:rPr>
        <w:t xml:space="preserve">, </w:t>
      </w:r>
      <w:r w:rsidR="0075701B" w:rsidRPr="002C7194">
        <w:rPr>
          <w:iCs/>
          <w:lang w:val="en-GB" w:eastAsia="en-GB"/>
        </w:rPr>
        <w:t>British</w:t>
      </w:r>
      <w:r w:rsidR="002C7194" w:rsidRPr="0075701B">
        <w:rPr>
          <w:iCs/>
          <w:lang w:val="en-GB" w:eastAsia="en-GB"/>
        </w:rPr>
        <w:t xml:space="preserve"> Journal of Educational Technology, </w:t>
      </w:r>
      <w:r w:rsidRPr="0075701B">
        <w:rPr>
          <w:lang w:val="en-GB" w:eastAsia="en-GB"/>
        </w:rPr>
        <w:t>36</w:t>
      </w:r>
      <w:r w:rsidR="006C7152" w:rsidRPr="0075701B">
        <w:rPr>
          <w:lang w:val="en-GB" w:eastAsia="en-GB"/>
        </w:rPr>
        <w:t>(4)</w:t>
      </w:r>
      <w:r w:rsidR="0075701B">
        <w:rPr>
          <w:lang w:val="en-GB" w:eastAsia="en-GB"/>
        </w:rPr>
        <w:t>, r</w:t>
      </w:r>
      <w:r w:rsidRPr="00E771E8">
        <w:rPr>
          <w:lang w:val="en-GB" w:eastAsia="en-GB"/>
        </w:rPr>
        <w:t>etrieved from</w:t>
      </w:r>
      <w:r>
        <w:rPr>
          <w:lang w:val="en-GB" w:eastAsia="en-GB"/>
        </w:rPr>
        <w:t xml:space="preserve"> </w:t>
      </w:r>
      <w:hyperlink r:id="rId54" w:history="1">
        <w:r w:rsidRPr="00E771E8">
          <w:rPr>
            <w:rStyle w:val="Hyperlink"/>
            <w:szCs w:val="22"/>
            <w:lang w:val="en-GB" w:eastAsia="en-GB"/>
          </w:rPr>
          <w:t>http://www.elsinnet.org.uk/research/mgg_files/BJET2005.pdf</w:t>
        </w:r>
      </w:hyperlink>
    </w:p>
    <w:p w:rsidR="00517CA7" w:rsidRDefault="0021360F" w:rsidP="0075701B">
      <w:pPr>
        <w:pStyle w:val="BodyText"/>
      </w:pPr>
      <w:r w:rsidRPr="00337DF8">
        <w:t>Davis, N.</w:t>
      </w:r>
      <w:r w:rsidR="00753260">
        <w:t>,</w:t>
      </w:r>
      <w:r w:rsidRPr="00337DF8">
        <w:t xml:space="preserve"> </w:t>
      </w:r>
      <w:r w:rsidR="004A545E">
        <w:t>and</w:t>
      </w:r>
      <w:r w:rsidRPr="00337DF8">
        <w:t xml:space="preserve"> Fletcher, J. (2010)</w:t>
      </w:r>
      <w:r w:rsidR="0075701B">
        <w:t>,</w:t>
      </w:r>
      <w:r w:rsidRPr="00337DF8">
        <w:t xml:space="preserve"> </w:t>
      </w:r>
      <w:r w:rsidR="008508D5">
        <w:rPr>
          <w:i/>
          <w:iCs/>
        </w:rPr>
        <w:t>E-learning for adult literacy, language and numeracy: Summary of f</w:t>
      </w:r>
      <w:r w:rsidRPr="00985C30">
        <w:rPr>
          <w:i/>
          <w:iCs/>
        </w:rPr>
        <w:t>indings</w:t>
      </w:r>
      <w:r w:rsidR="0075701B">
        <w:rPr>
          <w:iCs/>
        </w:rPr>
        <w:t>,</w:t>
      </w:r>
      <w:r w:rsidRPr="00D72B80">
        <w:rPr>
          <w:iCs/>
        </w:rPr>
        <w:t xml:space="preserve"> Wellington</w:t>
      </w:r>
      <w:r w:rsidR="00FF0E2A">
        <w:rPr>
          <w:iCs/>
        </w:rPr>
        <w:t>:</w:t>
      </w:r>
      <w:r w:rsidRPr="00D72B80">
        <w:rPr>
          <w:i/>
          <w:iCs/>
        </w:rPr>
        <w:t xml:space="preserve"> </w:t>
      </w:r>
      <w:r w:rsidRPr="00337DF8">
        <w:t>Ministry of Education</w:t>
      </w:r>
      <w:r w:rsidR="00FF0E2A">
        <w:t>.</w:t>
      </w:r>
      <w:r>
        <w:t xml:space="preserve"> </w:t>
      </w:r>
      <w:r w:rsidR="00FF0E2A">
        <w:t>R</w:t>
      </w:r>
      <w:r w:rsidRPr="00337DF8">
        <w:t xml:space="preserve">etrieved from </w:t>
      </w:r>
      <w:hyperlink r:id="rId55" w:history="1">
        <w:r w:rsidRPr="00517389">
          <w:rPr>
            <w:rStyle w:val="Hyperlink"/>
          </w:rPr>
          <w:t>http://www.educationcounts.govt.nz/__data/assets/word_doc/0009/77067/eLearningAdultLiteracy-summary.doc</w:t>
        </w:r>
      </w:hyperlink>
      <w:r>
        <w:t xml:space="preserve"> </w:t>
      </w:r>
    </w:p>
    <w:p w:rsidR="00517CA7" w:rsidRDefault="00517CA7" w:rsidP="00CB0219">
      <w:pPr>
        <w:pStyle w:val="BodyText"/>
      </w:pPr>
      <w:r w:rsidRPr="008819A2">
        <w:rPr>
          <w:lang w:val="en-GB" w:eastAsia="en-GB"/>
        </w:rPr>
        <w:lastRenderedPageBreak/>
        <w:t>Deka, T. S.</w:t>
      </w:r>
      <w:r w:rsidR="00753260">
        <w:rPr>
          <w:lang w:val="en-GB" w:eastAsia="en-GB"/>
        </w:rPr>
        <w:t xml:space="preserve">, </w:t>
      </w:r>
      <w:r w:rsidR="00955F0C">
        <w:rPr>
          <w:lang w:val="en-GB" w:eastAsia="en-GB"/>
        </w:rPr>
        <w:t>and</w:t>
      </w:r>
      <w:r w:rsidR="00753260">
        <w:rPr>
          <w:lang w:val="en-GB" w:eastAsia="en-GB"/>
        </w:rPr>
        <w:t xml:space="preserve"> McMurry, P.</w:t>
      </w:r>
      <w:r w:rsidRPr="008819A2">
        <w:rPr>
          <w:lang w:val="en-GB" w:eastAsia="en-GB"/>
        </w:rPr>
        <w:t xml:space="preserve"> (2006</w:t>
      </w:r>
      <w:r w:rsidR="00F543E8">
        <w:rPr>
          <w:lang w:val="en-GB" w:eastAsia="en-GB"/>
        </w:rPr>
        <w:t>)</w:t>
      </w:r>
      <w:r w:rsidR="00CB0219">
        <w:rPr>
          <w:lang w:val="en-GB" w:eastAsia="en-GB"/>
        </w:rPr>
        <w:t>,</w:t>
      </w:r>
      <w:r w:rsidRPr="008819A2">
        <w:rPr>
          <w:lang w:val="en-GB" w:eastAsia="en-GB"/>
        </w:rPr>
        <w:t xml:space="preserve"> </w:t>
      </w:r>
      <w:r w:rsidR="00753260" w:rsidRPr="00CB0219">
        <w:rPr>
          <w:i/>
          <w:lang w:val="en-GB" w:eastAsia="en-GB"/>
        </w:rPr>
        <w:t>Student success in face-to-face and d</w:t>
      </w:r>
      <w:r w:rsidRPr="00CB0219">
        <w:rPr>
          <w:i/>
          <w:lang w:val="en-GB" w:eastAsia="en-GB"/>
        </w:rPr>
        <w:t>is</w:t>
      </w:r>
      <w:r w:rsidR="00753260" w:rsidRPr="00CB0219">
        <w:rPr>
          <w:i/>
          <w:lang w:val="en-GB" w:eastAsia="en-GB"/>
        </w:rPr>
        <w:t>tance teleclass environments: a</w:t>
      </w:r>
      <w:r w:rsidRPr="00CB0219">
        <w:rPr>
          <w:i/>
          <w:lang w:val="en-GB" w:eastAsia="en-GB"/>
        </w:rPr>
        <w:t xml:space="preserve"> matter of contact?</w:t>
      </w:r>
      <w:r>
        <w:rPr>
          <w:i/>
          <w:lang w:val="en-GB" w:eastAsia="en-GB"/>
        </w:rPr>
        <w:t xml:space="preserve"> </w:t>
      </w:r>
      <w:r w:rsidRPr="00753260">
        <w:rPr>
          <w:i/>
          <w:lang w:val="en-GB" w:eastAsia="en-GB"/>
        </w:rPr>
        <w:t>I</w:t>
      </w:r>
      <w:r w:rsidRPr="00CB0219">
        <w:rPr>
          <w:lang w:val="en-GB" w:eastAsia="en-GB"/>
        </w:rPr>
        <w:t>nternational Review of Research in Open and Distance Learning, 7</w:t>
      </w:r>
      <w:r w:rsidR="006C7152" w:rsidRPr="00CB0219">
        <w:rPr>
          <w:lang w:val="en-GB" w:eastAsia="en-GB"/>
        </w:rPr>
        <w:t>(</w:t>
      </w:r>
      <w:r w:rsidRPr="00CB0219">
        <w:rPr>
          <w:lang w:val="en-GB" w:eastAsia="en-GB"/>
        </w:rPr>
        <w:t>1</w:t>
      </w:r>
      <w:r w:rsidR="006C7152" w:rsidRPr="00CB0219">
        <w:rPr>
          <w:lang w:val="en-GB" w:eastAsia="en-GB"/>
        </w:rPr>
        <w:t>)</w:t>
      </w:r>
      <w:r w:rsidR="00CB0219">
        <w:rPr>
          <w:lang w:val="en-GB" w:eastAsia="en-GB"/>
        </w:rPr>
        <w:t>, r</w:t>
      </w:r>
      <w:r w:rsidRPr="008819A2">
        <w:rPr>
          <w:lang w:val="en-GB" w:eastAsia="en-GB"/>
        </w:rPr>
        <w:t xml:space="preserve">etrieved from </w:t>
      </w:r>
      <w:hyperlink r:id="rId56" w:history="1">
        <w:r w:rsidRPr="008819A2">
          <w:rPr>
            <w:rStyle w:val="Hyperlink"/>
            <w:szCs w:val="22"/>
          </w:rPr>
          <w:t>http://www.irrodl.org/index.php/irrodl/article/view/251/498</w:t>
        </w:r>
      </w:hyperlink>
    </w:p>
    <w:p w:rsidR="00517CA7" w:rsidRDefault="00517CA7" w:rsidP="00E96077">
      <w:pPr>
        <w:pStyle w:val="BodyText"/>
      </w:pPr>
      <w:r w:rsidRPr="008819A2">
        <w:t xml:space="preserve">Ellis, </w:t>
      </w:r>
      <w:r>
        <w:t>R. A.</w:t>
      </w:r>
      <w:r w:rsidR="00753260">
        <w:t>,</w:t>
      </w:r>
      <w:r w:rsidRPr="008819A2">
        <w:t xml:space="preserve"> </w:t>
      </w:r>
      <w:r w:rsidR="00955F0C">
        <w:t>and</w:t>
      </w:r>
      <w:r w:rsidR="00F543E8">
        <w:t xml:space="preserve"> Goodyear, P. (2010)</w:t>
      </w:r>
      <w:r w:rsidR="00CB0219">
        <w:t>,</w:t>
      </w:r>
      <w:r w:rsidRPr="008819A2">
        <w:t xml:space="preserve"> </w:t>
      </w:r>
      <w:r w:rsidR="008508D5">
        <w:rPr>
          <w:i/>
        </w:rPr>
        <w:t>Students’ experiences of e-learning in higher education: The ecology of sustainable i</w:t>
      </w:r>
      <w:r w:rsidRPr="00AB1BD6">
        <w:rPr>
          <w:i/>
        </w:rPr>
        <w:t>nnovation</w:t>
      </w:r>
      <w:r w:rsidR="00CB0219" w:rsidRPr="00CB0219">
        <w:t>,</w:t>
      </w:r>
      <w:r w:rsidRPr="008819A2">
        <w:rPr>
          <w:i/>
        </w:rPr>
        <w:t xml:space="preserve"> </w:t>
      </w:r>
      <w:r w:rsidR="009A4CAF">
        <w:t>Ox</w:t>
      </w:r>
      <w:r w:rsidR="009A4CAF" w:rsidRPr="00FF0E2A">
        <w:t>fordshire</w:t>
      </w:r>
      <w:r w:rsidR="00FF0E2A">
        <w:t>:</w:t>
      </w:r>
      <w:r w:rsidR="009A4CAF">
        <w:t xml:space="preserve"> Routledge</w:t>
      </w:r>
    </w:p>
    <w:p w:rsidR="00517CA7" w:rsidRPr="00D645BB" w:rsidRDefault="00517CA7" w:rsidP="00CB0219">
      <w:pPr>
        <w:pStyle w:val="BodyText"/>
        <w:rPr>
          <w:iCs/>
          <w:lang w:val="en-GB" w:eastAsia="en-GB"/>
        </w:rPr>
      </w:pPr>
      <w:r w:rsidRPr="00CA45B0">
        <w:t>Ellis, R</w:t>
      </w:r>
      <w:r w:rsidR="005A32D0">
        <w:t>. A., Ginns, P.</w:t>
      </w:r>
      <w:r w:rsidR="00753260">
        <w:t>,</w:t>
      </w:r>
      <w:r w:rsidR="005A32D0">
        <w:t xml:space="preserve"> </w:t>
      </w:r>
      <w:r w:rsidR="00955F0C">
        <w:t>and</w:t>
      </w:r>
      <w:r w:rsidR="005A32D0">
        <w:t xml:space="preserve"> Piggott, L.</w:t>
      </w:r>
      <w:r w:rsidR="00F543E8">
        <w:t xml:space="preserve"> (2009)</w:t>
      </w:r>
      <w:r w:rsidR="00CB0219">
        <w:t>,</w:t>
      </w:r>
      <w:r w:rsidRPr="00CA45B0">
        <w:rPr>
          <w:i/>
        </w:rPr>
        <w:t xml:space="preserve"> </w:t>
      </w:r>
      <w:r w:rsidRPr="005A32D0">
        <w:t>E</w:t>
      </w:r>
      <w:r w:rsidRPr="00CB0219">
        <w:rPr>
          <w:i/>
        </w:rPr>
        <w:t>-learning in higher education: some key aspects and their relationship to approaches to study</w:t>
      </w:r>
      <w:r w:rsidR="00CB0219">
        <w:t>,</w:t>
      </w:r>
      <w:r w:rsidRPr="00CA45B0">
        <w:rPr>
          <w:i/>
        </w:rPr>
        <w:t xml:space="preserve"> </w:t>
      </w:r>
      <w:r w:rsidRPr="00CB0219">
        <w:t>Higher Education Research and Development, 28</w:t>
      </w:r>
      <w:r w:rsidR="006C7152" w:rsidRPr="00CB0219">
        <w:t>(</w:t>
      </w:r>
      <w:r w:rsidRPr="00CB0219">
        <w:t>3</w:t>
      </w:r>
      <w:r w:rsidR="00CB0219">
        <w:t>), r</w:t>
      </w:r>
      <w:r w:rsidRPr="00CA45B0">
        <w:t xml:space="preserve">etrieved from </w:t>
      </w:r>
      <w:hyperlink r:id="rId57" w:history="1">
        <w:r w:rsidR="00CB0219" w:rsidRPr="00AE6D3C">
          <w:rPr>
            <w:rStyle w:val="Hyperlink"/>
          </w:rPr>
          <w:t>http://learningleadersupport.com/wp-content/uploads/2012/01/Ellis-et-al-2009-R078.pdf</w:t>
        </w:r>
      </w:hyperlink>
      <w:r w:rsidR="00CB0219">
        <w:rPr>
          <w:rStyle w:val="CommentReference"/>
          <w:sz w:val="22"/>
        </w:rPr>
        <w:t xml:space="preserve"> </w:t>
      </w:r>
    </w:p>
    <w:p w:rsidR="00517CA7" w:rsidRDefault="005A32D0" w:rsidP="00CB0219">
      <w:pPr>
        <w:pStyle w:val="BodyText"/>
        <w:rPr>
          <w:lang w:eastAsia="en-NZ"/>
        </w:rPr>
      </w:pPr>
      <w:r>
        <w:rPr>
          <w:lang w:eastAsia="en-NZ"/>
        </w:rPr>
        <w:t>Engler, R.</w:t>
      </w:r>
      <w:r w:rsidR="00F543E8">
        <w:rPr>
          <w:lang w:eastAsia="en-NZ"/>
        </w:rPr>
        <w:t xml:space="preserve"> (2012)</w:t>
      </w:r>
      <w:r w:rsidR="00CB0219">
        <w:rPr>
          <w:lang w:eastAsia="en-NZ"/>
        </w:rPr>
        <w:t>,</w:t>
      </w:r>
      <w:r w:rsidR="00517CA7">
        <w:rPr>
          <w:lang w:eastAsia="en-NZ"/>
        </w:rPr>
        <w:t xml:space="preserve"> </w:t>
      </w:r>
      <w:r w:rsidR="00FF0E2A">
        <w:rPr>
          <w:i/>
          <w:lang w:eastAsia="en-NZ"/>
        </w:rPr>
        <w:t>Staying the c</w:t>
      </w:r>
      <w:r w:rsidR="00517CA7">
        <w:rPr>
          <w:i/>
          <w:lang w:eastAsia="en-NZ"/>
        </w:rPr>
        <w:t xml:space="preserve">ourse: School </w:t>
      </w:r>
      <w:r w:rsidR="00FF0E2A">
        <w:rPr>
          <w:i/>
          <w:lang w:eastAsia="en-NZ"/>
        </w:rPr>
        <w:t>leavers completing their f</w:t>
      </w:r>
      <w:r w:rsidR="00517CA7" w:rsidRPr="00D37003">
        <w:rPr>
          <w:i/>
          <w:lang w:eastAsia="en-NZ"/>
        </w:rPr>
        <w:t>irst</w:t>
      </w:r>
      <w:r w:rsidR="00FF0E2A">
        <w:rPr>
          <w:i/>
          <w:lang w:eastAsia="en-NZ"/>
        </w:rPr>
        <w:t xml:space="preserve"> o</w:t>
      </w:r>
      <w:r w:rsidR="009F26C7">
        <w:rPr>
          <w:i/>
          <w:lang w:eastAsia="en-NZ"/>
        </w:rPr>
        <w:t xml:space="preserve">ne-year </w:t>
      </w:r>
      <w:r w:rsidR="00FF0E2A">
        <w:rPr>
          <w:i/>
          <w:lang w:eastAsia="en-NZ"/>
        </w:rPr>
        <w:t>non-degree qualification</w:t>
      </w:r>
      <w:r w:rsidR="00CB0219">
        <w:rPr>
          <w:lang w:eastAsia="en-NZ"/>
        </w:rPr>
        <w:t>,</w:t>
      </w:r>
      <w:r w:rsidR="00517CA7">
        <w:rPr>
          <w:i/>
          <w:lang w:eastAsia="en-NZ"/>
        </w:rPr>
        <w:t xml:space="preserve"> </w:t>
      </w:r>
      <w:r w:rsidR="00517CA7">
        <w:rPr>
          <w:lang w:eastAsia="en-NZ"/>
        </w:rPr>
        <w:t>Wellin</w:t>
      </w:r>
      <w:r w:rsidR="00FF0E2A">
        <w:rPr>
          <w:lang w:eastAsia="en-NZ"/>
        </w:rPr>
        <w:t>gton:</w:t>
      </w:r>
      <w:r w:rsidR="00517CA7">
        <w:rPr>
          <w:lang w:eastAsia="en-NZ"/>
        </w:rPr>
        <w:t xml:space="preserve"> Ministry of Education</w:t>
      </w:r>
      <w:r w:rsidR="00CB0219">
        <w:rPr>
          <w:lang w:eastAsia="en-NZ"/>
        </w:rPr>
        <w:t>, r</w:t>
      </w:r>
      <w:r w:rsidR="00517CA7">
        <w:rPr>
          <w:lang w:eastAsia="en-NZ"/>
        </w:rPr>
        <w:t xml:space="preserve">etrieved from </w:t>
      </w:r>
      <w:hyperlink r:id="rId58" w:history="1">
        <w:r w:rsidR="00517CA7" w:rsidRPr="00AF3B82">
          <w:rPr>
            <w:rStyle w:val="Hyperlink"/>
            <w:lang w:eastAsia="en-NZ"/>
          </w:rPr>
          <w:t>http://www.educationcounts.govt.nz/__data/assets/pdf_file/0019/108703/Staying-the-course.pdf</w:t>
        </w:r>
      </w:hyperlink>
      <w:r w:rsidR="00517CA7">
        <w:rPr>
          <w:lang w:eastAsia="en-NZ"/>
        </w:rPr>
        <w:t xml:space="preserve"> </w:t>
      </w:r>
    </w:p>
    <w:p w:rsidR="00517CA7" w:rsidRDefault="00517CA7" w:rsidP="00CB0219">
      <w:pPr>
        <w:pStyle w:val="BodyText"/>
      </w:pPr>
      <w:r w:rsidRPr="008819A2">
        <w:t xml:space="preserve">Eom, </w:t>
      </w:r>
      <w:r>
        <w:t xml:space="preserve">S. </w:t>
      </w:r>
      <w:r w:rsidRPr="008819A2">
        <w:t xml:space="preserve">B., Wen, </w:t>
      </w:r>
      <w:r>
        <w:t xml:space="preserve">H. </w:t>
      </w:r>
      <w:r w:rsidRPr="008819A2">
        <w:t xml:space="preserve">J., </w:t>
      </w:r>
      <w:r w:rsidR="00955F0C">
        <w:t>and</w:t>
      </w:r>
      <w:r w:rsidRPr="008819A2">
        <w:rPr>
          <w:i/>
          <w:iCs/>
        </w:rPr>
        <w:t xml:space="preserve"> </w:t>
      </w:r>
      <w:r w:rsidRPr="008819A2">
        <w:rPr>
          <w:bCs/>
        </w:rPr>
        <w:t>Ashill, N.</w:t>
      </w:r>
      <w:r w:rsidRPr="008819A2">
        <w:rPr>
          <w:b/>
          <w:bCs/>
        </w:rPr>
        <w:t xml:space="preserve"> </w:t>
      </w:r>
      <w:r w:rsidR="00CB0219">
        <w:t>(2006),</w:t>
      </w:r>
      <w:r w:rsidRPr="008819A2">
        <w:t xml:space="preserve"> </w:t>
      </w:r>
      <w:r w:rsidR="00616206" w:rsidRPr="00CB0219">
        <w:rPr>
          <w:i/>
          <w:iCs/>
        </w:rPr>
        <w:t>The determinants of students’ perceived learning outcomes and satisfaction i</w:t>
      </w:r>
      <w:r w:rsidR="009B21EE" w:rsidRPr="00CB0219">
        <w:rPr>
          <w:i/>
          <w:iCs/>
        </w:rPr>
        <w:t>n university online education: a</w:t>
      </w:r>
      <w:r w:rsidR="00616206" w:rsidRPr="00CB0219">
        <w:rPr>
          <w:i/>
          <w:iCs/>
        </w:rPr>
        <w:t>n empirical i</w:t>
      </w:r>
      <w:r w:rsidR="009B21EE" w:rsidRPr="00CB0219">
        <w:rPr>
          <w:i/>
          <w:iCs/>
        </w:rPr>
        <w:t>nvestigation</w:t>
      </w:r>
      <w:r w:rsidR="00CB0219">
        <w:rPr>
          <w:i/>
          <w:iCs/>
        </w:rPr>
        <w:t>,</w:t>
      </w:r>
      <w:r w:rsidR="009B21EE">
        <w:rPr>
          <w:iCs/>
        </w:rPr>
        <w:t xml:space="preserve"> </w:t>
      </w:r>
      <w:r w:rsidR="009B21EE" w:rsidRPr="00CB0219">
        <w:rPr>
          <w:iCs/>
        </w:rPr>
        <w:t>Decision Sciences Journal of Innovative Education,</w:t>
      </w:r>
      <w:r w:rsidRPr="00CB0219">
        <w:rPr>
          <w:iCs/>
        </w:rPr>
        <w:t xml:space="preserve"> </w:t>
      </w:r>
      <w:r w:rsidR="009B21EE" w:rsidRPr="00CB0219">
        <w:rPr>
          <w:iCs/>
        </w:rPr>
        <w:t>4</w:t>
      </w:r>
      <w:r w:rsidR="009B21EE" w:rsidRPr="00CB0219">
        <w:t>(</w:t>
      </w:r>
      <w:r w:rsidRPr="00CB0219">
        <w:t>2</w:t>
      </w:r>
      <w:r w:rsidR="009B21EE" w:rsidRPr="00CB0219">
        <w:t>)</w:t>
      </w:r>
      <w:r w:rsidR="00CB0219">
        <w:t>, r</w:t>
      </w:r>
      <w:r w:rsidR="00BB513B" w:rsidRPr="008819A2">
        <w:t xml:space="preserve">etrieved from </w:t>
      </w:r>
      <w:hyperlink r:id="rId59" w:history="1">
        <w:r w:rsidR="00BB513B" w:rsidRPr="008819A2">
          <w:rPr>
            <w:rStyle w:val="Hyperlink"/>
            <w:szCs w:val="22"/>
          </w:rPr>
          <w:t>http://onlinelibrary.wiley.com/doi/10.1111/j.1540-4609.2006.00114.x/full</w:t>
        </w:r>
      </w:hyperlink>
    </w:p>
    <w:p w:rsidR="00517CA7" w:rsidRPr="001E492D" w:rsidRDefault="00517CA7" w:rsidP="00CB0219">
      <w:pPr>
        <w:pStyle w:val="BodyText"/>
        <w:rPr>
          <w:iCs/>
          <w:lang w:val="en-GB" w:eastAsia="en-GB"/>
        </w:rPr>
      </w:pPr>
      <w:r w:rsidRPr="001C1CC8">
        <w:rPr>
          <w:iCs/>
          <w:lang w:val="en-GB" w:eastAsia="en-GB"/>
        </w:rPr>
        <w:t>Fa</w:t>
      </w:r>
      <w:r w:rsidR="00D9304C">
        <w:rPr>
          <w:iCs/>
          <w:lang w:val="en-GB" w:eastAsia="en-GB"/>
        </w:rPr>
        <w:t>rley, P.</w:t>
      </w:r>
      <w:r>
        <w:rPr>
          <w:iCs/>
          <w:lang w:val="en-GB" w:eastAsia="en-GB"/>
        </w:rPr>
        <w:t xml:space="preserve"> C</w:t>
      </w:r>
      <w:r w:rsidR="00D9304C">
        <w:rPr>
          <w:iCs/>
          <w:lang w:val="en-GB" w:eastAsia="en-GB"/>
        </w:rPr>
        <w:t>.</w:t>
      </w:r>
      <w:r>
        <w:rPr>
          <w:iCs/>
          <w:lang w:val="en-GB" w:eastAsia="en-GB"/>
        </w:rPr>
        <w:t xml:space="preserve">, </w:t>
      </w:r>
      <w:r w:rsidRPr="001C1CC8">
        <w:rPr>
          <w:iCs/>
          <w:lang w:val="en-GB" w:eastAsia="en-GB"/>
        </w:rPr>
        <w:t>Magan, N., Charron, C.</w:t>
      </w:r>
      <w:r>
        <w:rPr>
          <w:iCs/>
          <w:lang w:val="en-GB" w:eastAsia="en-GB"/>
        </w:rPr>
        <w:t xml:space="preserve"> L.</w:t>
      </w:r>
      <w:r w:rsidRPr="001C1CC8">
        <w:rPr>
          <w:iCs/>
          <w:lang w:val="en-GB" w:eastAsia="en-GB"/>
        </w:rPr>
        <w:t>, Broomfield, N.</w:t>
      </w:r>
      <w:r w:rsidR="00D9304C">
        <w:rPr>
          <w:iCs/>
          <w:lang w:val="en-GB" w:eastAsia="en-GB"/>
        </w:rPr>
        <w:t xml:space="preserve"> </w:t>
      </w:r>
      <w:r>
        <w:rPr>
          <w:iCs/>
          <w:lang w:val="en-GB" w:eastAsia="en-GB"/>
        </w:rPr>
        <w:t>I.</w:t>
      </w:r>
      <w:r w:rsidRPr="001C1CC8">
        <w:rPr>
          <w:iCs/>
          <w:lang w:val="en-GB" w:eastAsia="en-GB"/>
        </w:rPr>
        <w:t xml:space="preserve">, </w:t>
      </w:r>
      <w:r w:rsidR="00955F0C">
        <w:rPr>
          <w:iCs/>
          <w:lang w:val="en-GB" w:eastAsia="en-GB"/>
        </w:rPr>
        <w:t>and</w:t>
      </w:r>
      <w:r w:rsidRPr="001C1CC8">
        <w:rPr>
          <w:iCs/>
          <w:lang w:val="en-GB" w:eastAsia="en-GB"/>
        </w:rPr>
        <w:t xml:space="preserve"> Farley, </w:t>
      </w:r>
      <w:r>
        <w:rPr>
          <w:iCs/>
          <w:lang w:val="en-GB" w:eastAsia="en-GB"/>
        </w:rPr>
        <w:t xml:space="preserve">A. </w:t>
      </w:r>
      <w:r w:rsidRPr="001C1CC8">
        <w:rPr>
          <w:iCs/>
          <w:lang w:val="en-GB" w:eastAsia="en-GB"/>
        </w:rPr>
        <w:t>F. (2007)</w:t>
      </w:r>
      <w:r w:rsidR="00CB0219">
        <w:rPr>
          <w:iCs/>
          <w:lang w:val="en-GB" w:eastAsia="en-GB"/>
        </w:rPr>
        <w:t>,</w:t>
      </w:r>
      <w:r w:rsidRPr="001C1CC8">
        <w:rPr>
          <w:iCs/>
          <w:lang w:val="en-GB" w:eastAsia="en-GB"/>
        </w:rPr>
        <w:t xml:space="preserve"> </w:t>
      </w:r>
      <w:r w:rsidRPr="00CB0219">
        <w:rPr>
          <w:i/>
          <w:iCs/>
          <w:lang w:val="en-GB" w:eastAsia="en-GB"/>
        </w:rPr>
        <w:t xml:space="preserve">You be the examiner! </w:t>
      </w:r>
      <w:r w:rsidRPr="00CB0219">
        <w:rPr>
          <w:iCs/>
          <w:lang w:val="en-GB" w:eastAsia="en-GB"/>
        </w:rPr>
        <w:t>Biochemistry and Molecular Biology Education, 35(6),</w:t>
      </w:r>
      <w:r w:rsidRPr="001C1CC8">
        <w:rPr>
          <w:iCs/>
          <w:lang w:val="en-GB" w:eastAsia="en-GB"/>
        </w:rPr>
        <w:t xml:space="preserve"> </w:t>
      </w:r>
      <w:r w:rsidR="00CB0219">
        <w:rPr>
          <w:iCs/>
          <w:lang w:val="en-GB" w:eastAsia="en-GB"/>
        </w:rPr>
        <w:t>r</w:t>
      </w:r>
      <w:r w:rsidR="00BB513B">
        <w:rPr>
          <w:iCs/>
          <w:lang w:val="en-GB" w:eastAsia="en-GB"/>
        </w:rPr>
        <w:t>etrieved from</w:t>
      </w:r>
      <w:r w:rsidR="00BB513B" w:rsidRPr="001C1CC8">
        <w:t xml:space="preserve"> </w:t>
      </w:r>
      <w:hyperlink r:id="rId60" w:history="1">
        <w:r w:rsidR="00BB513B" w:rsidRPr="001E092E">
          <w:rPr>
            <w:rStyle w:val="Hyperlink"/>
            <w:iCs/>
            <w:szCs w:val="22"/>
            <w:lang w:val="en-GB" w:eastAsia="en-GB"/>
          </w:rPr>
          <w:t>http://onlinelibrary.wiley.com/doi/10.1002/bmb.112/full</w:t>
        </w:r>
      </w:hyperlink>
    </w:p>
    <w:p w:rsidR="00517CA7" w:rsidRDefault="00517CA7" w:rsidP="00CB0219">
      <w:pPr>
        <w:pStyle w:val="BodyText"/>
      </w:pPr>
      <w:r w:rsidRPr="008819A2">
        <w:rPr>
          <w:lang w:val="en-GB" w:eastAsia="en-GB"/>
        </w:rPr>
        <w:t>F</w:t>
      </w:r>
      <w:r w:rsidR="005D5229">
        <w:rPr>
          <w:lang w:val="en-GB" w:eastAsia="en-GB"/>
        </w:rPr>
        <w:t>erguson, J. M.</w:t>
      </w:r>
      <w:r w:rsidR="00D9304C">
        <w:rPr>
          <w:lang w:val="en-GB" w:eastAsia="en-GB"/>
        </w:rPr>
        <w:t>,</w:t>
      </w:r>
      <w:r w:rsidR="005D5229">
        <w:rPr>
          <w:lang w:val="en-GB" w:eastAsia="en-GB"/>
        </w:rPr>
        <w:t xml:space="preserve"> </w:t>
      </w:r>
      <w:r w:rsidR="00955F0C">
        <w:rPr>
          <w:lang w:val="en-GB" w:eastAsia="en-GB"/>
        </w:rPr>
        <w:t>and</w:t>
      </w:r>
      <w:r w:rsidR="005D5229">
        <w:rPr>
          <w:lang w:val="en-GB" w:eastAsia="en-GB"/>
        </w:rPr>
        <w:t xml:space="preserve"> DeFelice, A.</w:t>
      </w:r>
      <w:r w:rsidR="00F543E8">
        <w:rPr>
          <w:lang w:val="en-GB" w:eastAsia="en-GB"/>
        </w:rPr>
        <w:t xml:space="preserve"> (2010)</w:t>
      </w:r>
      <w:r w:rsidR="00CB0219">
        <w:rPr>
          <w:lang w:val="en-GB" w:eastAsia="en-GB"/>
        </w:rPr>
        <w:t>,</w:t>
      </w:r>
      <w:r w:rsidRPr="008819A2">
        <w:rPr>
          <w:lang w:val="en-GB" w:eastAsia="en-GB"/>
        </w:rPr>
        <w:t xml:space="preserve"> </w:t>
      </w:r>
      <w:r w:rsidR="005D5229" w:rsidRPr="00CB0219">
        <w:rPr>
          <w:i/>
          <w:iCs/>
          <w:lang w:val="en-GB" w:eastAsia="en-GB"/>
        </w:rPr>
        <w:t>Length of online course and s</w:t>
      </w:r>
      <w:r w:rsidRPr="00CB0219">
        <w:rPr>
          <w:i/>
          <w:iCs/>
          <w:lang w:val="en-GB" w:eastAsia="en-GB"/>
        </w:rPr>
        <w:t>tuden</w:t>
      </w:r>
      <w:r w:rsidR="005D5229" w:rsidRPr="00CB0219">
        <w:rPr>
          <w:i/>
          <w:iCs/>
          <w:lang w:val="en-GB" w:eastAsia="en-GB"/>
        </w:rPr>
        <w:t>t satisfaction, perceived learning, and academic p</w:t>
      </w:r>
      <w:r w:rsidRPr="00CB0219">
        <w:rPr>
          <w:i/>
          <w:iCs/>
          <w:lang w:val="en-GB" w:eastAsia="en-GB"/>
        </w:rPr>
        <w:t>erformance</w:t>
      </w:r>
      <w:r w:rsidR="00CB0219">
        <w:rPr>
          <w:iCs/>
          <w:lang w:val="en-GB" w:eastAsia="en-GB"/>
        </w:rPr>
        <w:t>,</w:t>
      </w:r>
      <w:r w:rsidRPr="008819A2">
        <w:rPr>
          <w:i/>
          <w:iCs/>
          <w:lang w:val="en-GB" w:eastAsia="en-GB"/>
        </w:rPr>
        <w:t xml:space="preserve"> </w:t>
      </w:r>
      <w:r w:rsidRPr="00CB0219">
        <w:rPr>
          <w:iCs/>
          <w:lang w:val="en-GB" w:eastAsia="en-GB"/>
        </w:rPr>
        <w:t>International Review of Research in Open and Distance Learning, 11</w:t>
      </w:r>
      <w:r w:rsidR="006C7152" w:rsidRPr="00CB0219">
        <w:rPr>
          <w:iCs/>
          <w:lang w:val="en-GB" w:eastAsia="en-GB"/>
        </w:rPr>
        <w:t>(</w:t>
      </w:r>
      <w:r w:rsidRPr="00CB0219">
        <w:rPr>
          <w:iCs/>
          <w:lang w:val="en-GB" w:eastAsia="en-GB"/>
        </w:rPr>
        <w:t>2</w:t>
      </w:r>
      <w:r w:rsidR="006C7152" w:rsidRPr="00CB0219">
        <w:rPr>
          <w:iCs/>
          <w:lang w:val="en-GB" w:eastAsia="en-GB"/>
        </w:rPr>
        <w:t>)</w:t>
      </w:r>
      <w:r w:rsidR="00CB0219">
        <w:rPr>
          <w:iCs/>
          <w:lang w:val="en-GB" w:eastAsia="en-GB"/>
        </w:rPr>
        <w:t>, r</w:t>
      </w:r>
      <w:r w:rsidR="00BB513B" w:rsidRPr="008819A2">
        <w:rPr>
          <w:iCs/>
          <w:lang w:val="en-GB" w:eastAsia="en-GB"/>
        </w:rPr>
        <w:t xml:space="preserve">etrieved from </w:t>
      </w:r>
      <w:hyperlink r:id="rId61" w:history="1">
        <w:r w:rsidR="00BB513B" w:rsidRPr="008819A2">
          <w:rPr>
            <w:rStyle w:val="Hyperlink"/>
            <w:iCs/>
            <w:szCs w:val="22"/>
            <w:lang w:val="en-GB" w:eastAsia="en-GB"/>
          </w:rPr>
          <w:t>http://www.irrodl.org/index.php/irrodl/article/viewArticle/772/1547</w:t>
        </w:r>
      </w:hyperlink>
    </w:p>
    <w:p w:rsidR="00517CA7" w:rsidRPr="00D00951" w:rsidRDefault="00517CA7" w:rsidP="00E96077">
      <w:pPr>
        <w:pStyle w:val="BodyText"/>
        <w:rPr>
          <w:iCs/>
          <w:lang w:val="en-GB" w:eastAsia="en-GB"/>
        </w:rPr>
      </w:pPr>
      <w:r w:rsidRPr="008819A2">
        <w:rPr>
          <w:lang w:val="en-GB" w:eastAsia="en-GB"/>
        </w:rPr>
        <w:t>Fillion, G., Limayem, M.,</w:t>
      </w:r>
      <w:r w:rsidR="005D5229">
        <w:rPr>
          <w:lang w:val="en-GB" w:eastAsia="en-GB"/>
        </w:rPr>
        <w:t xml:space="preserve"> Laferriere, T., </w:t>
      </w:r>
      <w:r w:rsidR="00955F0C">
        <w:rPr>
          <w:lang w:val="en-GB" w:eastAsia="en-GB"/>
        </w:rPr>
        <w:t>and</w:t>
      </w:r>
      <w:r w:rsidR="005D5229">
        <w:rPr>
          <w:lang w:val="en-GB" w:eastAsia="en-GB"/>
        </w:rPr>
        <w:t xml:space="preserve"> Mantha, R.</w:t>
      </w:r>
      <w:r w:rsidR="009C6C53">
        <w:rPr>
          <w:lang w:val="en-GB" w:eastAsia="en-GB"/>
        </w:rPr>
        <w:t xml:space="preserve"> (2009)</w:t>
      </w:r>
      <w:r w:rsidR="00CB0219">
        <w:rPr>
          <w:lang w:val="en-GB" w:eastAsia="en-GB"/>
        </w:rPr>
        <w:t>,</w:t>
      </w:r>
      <w:r w:rsidRPr="008819A2">
        <w:rPr>
          <w:lang w:val="en-GB" w:eastAsia="en-GB"/>
        </w:rPr>
        <w:t xml:space="preserve"> </w:t>
      </w:r>
      <w:r w:rsidR="00616206" w:rsidRPr="00CB0219">
        <w:rPr>
          <w:i/>
          <w:lang w:val="en-GB" w:eastAsia="en-GB"/>
        </w:rPr>
        <w:t>Integrating ICT into higher education: Investigating onsite and online professors’ points of v</w:t>
      </w:r>
      <w:r w:rsidRPr="00CB0219">
        <w:rPr>
          <w:i/>
          <w:lang w:val="en-GB" w:eastAsia="en-GB"/>
        </w:rPr>
        <w:t>iew</w:t>
      </w:r>
      <w:r w:rsidR="00CB0219">
        <w:rPr>
          <w:lang w:val="en-GB" w:eastAsia="en-GB"/>
        </w:rPr>
        <w:t>,</w:t>
      </w:r>
      <w:r w:rsidRPr="008819A2">
        <w:rPr>
          <w:lang w:val="en-GB" w:eastAsia="en-GB"/>
        </w:rPr>
        <w:t xml:space="preserve"> </w:t>
      </w:r>
      <w:r w:rsidR="004C516B" w:rsidRPr="00CB0219">
        <w:rPr>
          <w:rStyle w:val="Strong"/>
          <w:b w:val="0"/>
          <w:color w:val="000000"/>
          <w:szCs w:val="22"/>
          <w:shd w:val="clear" w:color="auto" w:fill="FFFFFF"/>
        </w:rPr>
        <w:t>International Journal on E-Learning</w:t>
      </w:r>
      <w:r w:rsidR="001659D7" w:rsidRPr="00CB0219">
        <w:rPr>
          <w:rStyle w:val="Strong"/>
          <w:b w:val="0"/>
          <w:color w:val="000000"/>
          <w:szCs w:val="22"/>
          <w:shd w:val="clear" w:color="auto" w:fill="FFFFFF"/>
        </w:rPr>
        <w:t>, 8(</w:t>
      </w:r>
      <w:r w:rsidR="004C516B" w:rsidRPr="00CB0219">
        <w:rPr>
          <w:rStyle w:val="sourceissue"/>
          <w:rFonts w:eastAsiaTheme="minorEastAsia"/>
          <w:color w:val="000000"/>
          <w:szCs w:val="22"/>
          <w:shd w:val="clear" w:color="auto" w:fill="FFFFFF"/>
        </w:rPr>
        <w:t>1</w:t>
      </w:r>
      <w:r w:rsidR="001659D7" w:rsidRPr="00CB0219">
        <w:rPr>
          <w:rStyle w:val="sourceissue"/>
          <w:rFonts w:eastAsiaTheme="minorEastAsia"/>
          <w:color w:val="000000"/>
          <w:szCs w:val="22"/>
          <w:shd w:val="clear" w:color="auto" w:fill="FFFFFF"/>
        </w:rPr>
        <w:t>)</w:t>
      </w:r>
      <w:r w:rsidRPr="008819A2">
        <w:rPr>
          <w:lang w:val="en-GB" w:eastAsia="en-GB"/>
        </w:rPr>
        <w:t xml:space="preserve">  </w:t>
      </w:r>
    </w:p>
    <w:p w:rsidR="00517CA7" w:rsidRDefault="005D5229" w:rsidP="00E96077">
      <w:pPr>
        <w:pStyle w:val="BodyText"/>
        <w:rPr>
          <w:lang w:val="en-GB" w:eastAsia="en-GB"/>
        </w:rPr>
      </w:pPr>
      <w:r>
        <w:rPr>
          <w:lang w:val="en-GB" w:eastAsia="en-GB"/>
        </w:rPr>
        <w:t>Frydenberg, J.</w:t>
      </w:r>
      <w:r w:rsidR="009C6C53">
        <w:rPr>
          <w:lang w:val="en-GB" w:eastAsia="en-GB"/>
        </w:rPr>
        <w:t xml:space="preserve"> (2007)</w:t>
      </w:r>
      <w:r w:rsidR="00CB0219">
        <w:rPr>
          <w:lang w:val="en-GB" w:eastAsia="en-GB"/>
        </w:rPr>
        <w:t>,</w:t>
      </w:r>
      <w:r w:rsidR="00517CA7" w:rsidRPr="00991B5F">
        <w:rPr>
          <w:lang w:val="en-GB" w:eastAsia="en-GB"/>
        </w:rPr>
        <w:t xml:space="preserve"> </w:t>
      </w:r>
      <w:r w:rsidRPr="00CB0219">
        <w:rPr>
          <w:i/>
          <w:lang w:val="en-GB" w:eastAsia="en-GB"/>
        </w:rPr>
        <w:t>Persistence in university continuing education online c</w:t>
      </w:r>
      <w:r w:rsidR="00616206" w:rsidRPr="00CB0219">
        <w:rPr>
          <w:i/>
          <w:lang w:val="en-GB" w:eastAsia="en-GB"/>
        </w:rPr>
        <w:t>lasses</w:t>
      </w:r>
      <w:r w:rsidR="00CB0219">
        <w:rPr>
          <w:i/>
          <w:lang w:val="en-GB" w:eastAsia="en-GB"/>
        </w:rPr>
        <w:t>,</w:t>
      </w:r>
      <w:r w:rsidR="00517CA7" w:rsidRPr="00991B5F">
        <w:rPr>
          <w:lang w:val="en-GB" w:eastAsia="en-GB"/>
        </w:rPr>
        <w:t xml:space="preserve"> </w:t>
      </w:r>
      <w:r w:rsidR="00517CA7" w:rsidRPr="00CB0219">
        <w:rPr>
          <w:lang w:val="en-GB" w:eastAsia="en-GB"/>
        </w:rPr>
        <w:t>International Review of Research in Open and Distance Learning, 8</w:t>
      </w:r>
      <w:r w:rsidR="006C7152" w:rsidRPr="00CB0219">
        <w:rPr>
          <w:lang w:val="en-GB" w:eastAsia="en-GB"/>
        </w:rPr>
        <w:t>(</w:t>
      </w:r>
      <w:r w:rsidR="00517CA7" w:rsidRPr="00CB0219">
        <w:rPr>
          <w:lang w:val="en-GB" w:eastAsia="en-GB"/>
        </w:rPr>
        <w:t>3</w:t>
      </w:r>
      <w:r w:rsidR="006C7152" w:rsidRPr="00CB0219">
        <w:rPr>
          <w:lang w:val="en-GB" w:eastAsia="en-GB"/>
        </w:rPr>
        <w:t>)</w:t>
      </w:r>
      <w:r w:rsidR="00CB0219">
        <w:rPr>
          <w:lang w:val="en-GB" w:eastAsia="en-GB"/>
        </w:rPr>
        <w:t>, r</w:t>
      </w:r>
      <w:r w:rsidR="00BB513B">
        <w:rPr>
          <w:lang w:val="en-GB" w:eastAsia="en-GB"/>
        </w:rPr>
        <w:t>etrieved from</w:t>
      </w:r>
      <w:r w:rsidR="00BB513B" w:rsidRPr="00991B5F">
        <w:rPr>
          <w:lang w:val="en-GB" w:eastAsia="en-GB"/>
        </w:rPr>
        <w:t xml:space="preserve"> </w:t>
      </w:r>
      <w:hyperlink r:id="rId62" w:history="1">
        <w:r w:rsidR="00BB513B" w:rsidRPr="00991B5F">
          <w:rPr>
            <w:rStyle w:val="Hyperlink"/>
            <w:iCs/>
            <w:szCs w:val="22"/>
            <w:lang w:val="en-GB" w:eastAsia="en-GB"/>
          </w:rPr>
          <w:t>http://www.irrodl.org/index.php/irrodl/article/view/375/957</w:t>
        </w:r>
      </w:hyperlink>
    </w:p>
    <w:p w:rsidR="00517CA7" w:rsidRPr="00C160F2" w:rsidRDefault="00517CA7" w:rsidP="00E96077">
      <w:pPr>
        <w:pStyle w:val="BodyText"/>
      </w:pPr>
      <w:r w:rsidRPr="00145E05">
        <w:t>Gardener, D</w:t>
      </w:r>
      <w:r w:rsidR="003B7C3D">
        <w:t>.</w:t>
      </w:r>
      <w:r w:rsidRPr="00145E05">
        <w:t xml:space="preserve"> (2008)</w:t>
      </w:r>
      <w:r w:rsidR="00CB0219">
        <w:t>,</w:t>
      </w:r>
      <w:r w:rsidRPr="00145E05">
        <w:t xml:space="preserve"> </w:t>
      </w:r>
      <w:r w:rsidR="00616206">
        <w:rPr>
          <w:i/>
        </w:rPr>
        <w:t>Sharing resources and experiences across the cultural h</w:t>
      </w:r>
      <w:r w:rsidRPr="00AB1BD6">
        <w:rPr>
          <w:i/>
        </w:rPr>
        <w:t>emisphere</w:t>
      </w:r>
      <w:r w:rsidR="00CC170B">
        <w:t>.</w:t>
      </w:r>
      <w:r w:rsidRPr="00145E05">
        <w:t xml:space="preserve"> </w:t>
      </w:r>
      <w:r w:rsidR="00CC170B">
        <w:t>P</w:t>
      </w:r>
      <w:r w:rsidRPr="00145E05">
        <w:t>aper presented at the 5th Biennial Conference of the Institutes of Technology and Polytechnics of New Zealand Research Forum, Tauranga,</w:t>
      </w:r>
      <w:r>
        <w:t xml:space="preserve"> </w:t>
      </w:r>
      <w:r w:rsidR="009A4CAF">
        <w:t>New Zealand</w:t>
      </w:r>
    </w:p>
    <w:p w:rsidR="00517CA7" w:rsidRPr="002A50CC" w:rsidRDefault="00E374A1" w:rsidP="00CF3E82">
      <w:pPr>
        <w:pStyle w:val="BodyText"/>
        <w:rPr>
          <w:lang w:eastAsia="en-NZ"/>
        </w:rPr>
      </w:pPr>
      <w:r>
        <w:rPr>
          <w:lang w:eastAsia="en-NZ"/>
        </w:rPr>
        <w:t>Garrison, R.</w:t>
      </w:r>
      <w:r w:rsidR="00616206">
        <w:rPr>
          <w:lang w:eastAsia="en-NZ"/>
        </w:rPr>
        <w:t xml:space="preserve"> (2000)</w:t>
      </w:r>
      <w:r w:rsidR="00CB0219">
        <w:rPr>
          <w:lang w:eastAsia="en-NZ"/>
        </w:rPr>
        <w:t>,</w:t>
      </w:r>
      <w:r w:rsidR="00517CA7">
        <w:rPr>
          <w:lang w:eastAsia="en-NZ"/>
        </w:rPr>
        <w:t xml:space="preserve"> </w:t>
      </w:r>
      <w:r w:rsidRPr="00CB0219">
        <w:rPr>
          <w:i/>
          <w:lang w:eastAsia="en-NZ"/>
        </w:rPr>
        <w:t>Theoretical challenges for distance education in the 21st c</w:t>
      </w:r>
      <w:r w:rsidR="00616206" w:rsidRPr="00CB0219">
        <w:rPr>
          <w:i/>
          <w:lang w:eastAsia="en-NZ"/>
        </w:rPr>
        <w:t>entury</w:t>
      </w:r>
      <w:r w:rsidR="00CF3E82" w:rsidRPr="00CB0219">
        <w:rPr>
          <w:i/>
          <w:lang w:eastAsia="en-NZ"/>
        </w:rPr>
        <w:t>: a shift from structural to transactional issues</w:t>
      </w:r>
      <w:r w:rsidR="00CB0219">
        <w:rPr>
          <w:lang w:eastAsia="en-NZ"/>
        </w:rPr>
        <w:t>,</w:t>
      </w:r>
      <w:r w:rsidR="00517CA7">
        <w:rPr>
          <w:i/>
          <w:lang w:eastAsia="en-NZ"/>
        </w:rPr>
        <w:t xml:space="preserve"> </w:t>
      </w:r>
      <w:r w:rsidR="00517CA7" w:rsidRPr="00CB0219">
        <w:rPr>
          <w:lang w:eastAsia="en-NZ"/>
        </w:rPr>
        <w:t>International Review of Research in Open and Distance</w:t>
      </w:r>
      <w:r w:rsidR="00517CA7" w:rsidRPr="00E374A1">
        <w:rPr>
          <w:i/>
          <w:lang w:eastAsia="en-NZ"/>
        </w:rPr>
        <w:t xml:space="preserve"> </w:t>
      </w:r>
      <w:r w:rsidR="00517CA7" w:rsidRPr="00CB0219">
        <w:rPr>
          <w:lang w:eastAsia="en-NZ"/>
        </w:rPr>
        <w:t>Learning, 1</w:t>
      </w:r>
      <w:r w:rsidR="006C7152" w:rsidRPr="00CB0219">
        <w:rPr>
          <w:lang w:eastAsia="en-NZ"/>
        </w:rPr>
        <w:t>(</w:t>
      </w:r>
      <w:r w:rsidR="00517CA7" w:rsidRPr="00CB0219">
        <w:rPr>
          <w:lang w:eastAsia="en-NZ"/>
        </w:rPr>
        <w:t>1</w:t>
      </w:r>
      <w:r w:rsidR="006C7152" w:rsidRPr="00CB0219">
        <w:rPr>
          <w:lang w:eastAsia="en-NZ"/>
        </w:rPr>
        <w:t>)</w:t>
      </w:r>
      <w:r w:rsidR="00CB0219">
        <w:rPr>
          <w:lang w:eastAsia="en-NZ"/>
        </w:rPr>
        <w:t>, r</w:t>
      </w:r>
      <w:r w:rsidR="00517CA7">
        <w:rPr>
          <w:lang w:eastAsia="en-NZ"/>
        </w:rPr>
        <w:t xml:space="preserve">etrieved from </w:t>
      </w:r>
      <w:hyperlink r:id="rId63" w:history="1">
        <w:r w:rsidR="00517CA7" w:rsidRPr="00ED1905">
          <w:rPr>
            <w:rStyle w:val="Hyperlink"/>
            <w:lang w:eastAsia="en-NZ"/>
          </w:rPr>
          <w:t>http://www.irrodl.org/index.php/irrodl/article/view/2/22</w:t>
        </w:r>
      </w:hyperlink>
      <w:r w:rsidR="00517CA7">
        <w:rPr>
          <w:lang w:eastAsia="en-NZ"/>
        </w:rPr>
        <w:t xml:space="preserve"> </w:t>
      </w:r>
    </w:p>
    <w:p w:rsidR="00517CA7" w:rsidRDefault="00E374A1" w:rsidP="00E96077">
      <w:pPr>
        <w:pStyle w:val="BodyText"/>
        <w:rPr>
          <w:lang w:eastAsia="en-NZ"/>
        </w:rPr>
      </w:pPr>
      <w:r>
        <w:rPr>
          <w:lang w:eastAsia="en-NZ"/>
        </w:rPr>
        <w:t>Gee, D. B.</w:t>
      </w:r>
      <w:r w:rsidR="00651C79">
        <w:rPr>
          <w:lang w:eastAsia="en-NZ"/>
        </w:rPr>
        <w:t xml:space="preserve"> (1990)</w:t>
      </w:r>
      <w:r w:rsidR="00CB0219">
        <w:rPr>
          <w:lang w:eastAsia="en-NZ"/>
        </w:rPr>
        <w:t>,</w:t>
      </w:r>
      <w:r w:rsidR="00517CA7">
        <w:rPr>
          <w:lang w:eastAsia="en-NZ"/>
        </w:rPr>
        <w:t xml:space="preserve"> </w:t>
      </w:r>
      <w:r w:rsidR="00616206">
        <w:rPr>
          <w:i/>
          <w:lang w:eastAsia="en-NZ"/>
        </w:rPr>
        <w:t>The impact of students’ preferred learning style v</w:t>
      </w:r>
      <w:r w:rsidR="00517CA7">
        <w:rPr>
          <w:i/>
          <w:lang w:eastAsia="en-NZ"/>
        </w:rPr>
        <w:t xml:space="preserve">ariables </w:t>
      </w:r>
      <w:r w:rsidR="00616206">
        <w:rPr>
          <w:i/>
          <w:lang w:eastAsia="en-NZ"/>
        </w:rPr>
        <w:t>in a distance e</w:t>
      </w:r>
      <w:r w:rsidR="00517CA7">
        <w:rPr>
          <w:i/>
          <w:lang w:eastAsia="en-NZ"/>
        </w:rPr>
        <w:t>ducati</w:t>
      </w:r>
      <w:r w:rsidR="00616206">
        <w:rPr>
          <w:i/>
          <w:lang w:eastAsia="en-NZ"/>
        </w:rPr>
        <w:t>on c</w:t>
      </w:r>
      <w:r>
        <w:rPr>
          <w:i/>
          <w:lang w:eastAsia="en-NZ"/>
        </w:rPr>
        <w:t>ourse: A</w:t>
      </w:r>
      <w:r w:rsidR="00616206">
        <w:rPr>
          <w:i/>
          <w:lang w:eastAsia="en-NZ"/>
        </w:rPr>
        <w:t xml:space="preserve"> case study.</w:t>
      </w:r>
      <w:r w:rsidR="00517CA7">
        <w:rPr>
          <w:i/>
          <w:lang w:eastAsia="en-NZ"/>
        </w:rPr>
        <w:t xml:space="preserve"> </w:t>
      </w:r>
      <w:r w:rsidR="00CC170B">
        <w:rPr>
          <w:lang w:eastAsia="en-NZ"/>
        </w:rPr>
        <w:t>Texas:</w:t>
      </w:r>
      <w:r w:rsidR="009A4CAF">
        <w:rPr>
          <w:lang w:eastAsia="en-NZ"/>
        </w:rPr>
        <w:t xml:space="preserve"> Texas Tech University</w:t>
      </w:r>
      <w:r w:rsidR="00517CA7">
        <w:rPr>
          <w:lang w:eastAsia="en-NZ"/>
        </w:rPr>
        <w:t xml:space="preserve"> </w:t>
      </w:r>
    </w:p>
    <w:p w:rsidR="00AD765F" w:rsidRDefault="00AD765F" w:rsidP="00E96077">
      <w:pPr>
        <w:pStyle w:val="BodyText"/>
        <w:rPr>
          <w:rStyle w:val="Hyperlink"/>
          <w:iCs/>
          <w:szCs w:val="22"/>
          <w:lang w:val="en-GB" w:eastAsia="en-GB"/>
        </w:rPr>
      </w:pPr>
      <w:r w:rsidRPr="00C160F2">
        <w:rPr>
          <w:lang w:val="en-GB" w:eastAsia="en-GB"/>
        </w:rPr>
        <w:t>George-Palilonis, J.</w:t>
      </w:r>
      <w:r>
        <w:rPr>
          <w:lang w:val="en-GB" w:eastAsia="en-GB"/>
        </w:rPr>
        <w:t>,</w:t>
      </w:r>
      <w:r w:rsidRPr="00C160F2">
        <w:rPr>
          <w:lang w:val="en-GB" w:eastAsia="en-GB"/>
        </w:rPr>
        <w:t xml:space="preserve"> </w:t>
      </w:r>
      <w:r w:rsidR="00955F0C">
        <w:rPr>
          <w:lang w:val="en-GB" w:eastAsia="en-GB"/>
        </w:rPr>
        <w:t>and</w:t>
      </w:r>
      <w:r>
        <w:rPr>
          <w:lang w:val="en-GB" w:eastAsia="en-GB"/>
        </w:rPr>
        <w:t xml:space="preserve"> Filak, V. (2009)</w:t>
      </w:r>
      <w:r w:rsidR="00CB0219">
        <w:rPr>
          <w:lang w:val="en-GB" w:eastAsia="en-GB"/>
        </w:rPr>
        <w:t>,</w:t>
      </w:r>
      <w:r w:rsidRPr="00C160F2">
        <w:rPr>
          <w:lang w:val="en-GB" w:eastAsia="en-GB"/>
        </w:rPr>
        <w:t xml:space="preserve"> </w:t>
      </w:r>
      <w:r w:rsidRPr="00CB0219">
        <w:rPr>
          <w:i/>
          <w:iCs/>
          <w:lang w:val="en-GB" w:eastAsia="en-GB"/>
        </w:rPr>
        <w:t>Blended learning in the visual communications classroom: student reflections on a multimedia course</w:t>
      </w:r>
      <w:r w:rsidR="00CB0219">
        <w:rPr>
          <w:i/>
          <w:iCs/>
          <w:lang w:val="en-GB" w:eastAsia="en-GB"/>
        </w:rPr>
        <w:t xml:space="preserve">, </w:t>
      </w:r>
      <w:r w:rsidRPr="00CB0219">
        <w:rPr>
          <w:iCs/>
          <w:lang w:val="en-GB" w:eastAsia="en-GB"/>
        </w:rPr>
        <w:t>Electronic Journal of e-Learning, 7(3),</w:t>
      </w:r>
      <w:r>
        <w:rPr>
          <w:iCs/>
          <w:lang w:val="en-GB" w:eastAsia="en-GB"/>
        </w:rPr>
        <w:t xml:space="preserve"> </w:t>
      </w:r>
      <w:r w:rsidR="00CB0219">
        <w:rPr>
          <w:iCs/>
          <w:lang w:val="en-GB" w:eastAsia="en-GB"/>
        </w:rPr>
        <w:t>r</w:t>
      </w:r>
      <w:r w:rsidRPr="00C160F2">
        <w:rPr>
          <w:iCs/>
          <w:lang w:val="en-GB" w:eastAsia="en-GB"/>
        </w:rPr>
        <w:t xml:space="preserve">etrieved from </w:t>
      </w:r>
      <w:hyperlink r:id="rId64" w:history="1">
        <w:r w:rsidRPr="00C160F2">
          <w:rPr>
            <w:rStyle w:val="Hyperlink"/>
            <w:iCs/>
            <w:szCs w:val="22"/>
            <w:lang w:val="en-GB" w:eastAsia="en-GB"/>
          </w:rPr>
          <w:t>http://www.eric.ed.gov/PDFS/EJ872409.pdf</w:t>
        </w:r>
      </w:hyperlink>
    </w:p>
    <w:p w:rsidR="00517CA7" w:rsidRDefault="00517CA7" w:rsidP="00E96077">
      <w:pPr>
        <w:pStyle w:val="BodyText"/>
        <w:rPr>
          <w:iCs/>
          <w:lang w:val="en-GB" w:eastAsia="en-GB"/>
        </w:rPr>
      </w:pPr>
      <w:r w:rsidRPr="00396DDE">
        <w:rPr>
          <w:iCs/>
          <w:lang w:val="en-GB" w:eastAsia="en-GB"/>
        </w:rPr>
        <w:lastRenderedPageBreak/>
        <w:t xml:space="preserve">Giddings, L. S., Campbell, S., </w:t>
      </w:r>
      <w:r w:rsidR="00801707">
        <w:rPr>
          <w:iCs/>
          <w:lang w:val="en-GB" w:eastAsia="en-GB"/>
        </w:rPr>
        <w:t>and</w:t>
      </w:r>
      <w:r w:rsidRPr="00396DDE">
        <w:rPr>
          <w:iCs/>
          <w:lang w:val="en-GB" w:eastAsia="en-GB"/>
        </w:rPr>
        <w:t xml:space="preserve"> Maclaren, P. (2006)</w:t>
      </w:r>
      <w:r w:rsidR="00D0554D">
        <w:rPr>
          <w:iCs/>
          <w:lang w:val="en-GB" w:eastAsia="en-GB"/>
        </w:rPr>
        <w:t>,</w:t>
      </w:r>
      <w:r w:rsidRPr="00396DDE">
        <w:rPr>
          <w:iCs/>
          <w:lang w:val="en-GB" w:eastAsia="en-GB"/>
        </w:rPr>
        <w:t xml:space="preserve"> </w:t>
      </w:r>
      <w:r w:rsidRPr="00D0554D">
        <w:rPr>
          <w:i/>
          <w:iCs/>
          <w:lang w:val="en-GB" w:eastAsia="en-GB"/>
        </w:rPr>
        <w:t xml:space="preserve">Going online to learn health sciences research </w:t>
      </w:r>
      <w:r w:rsidR="00AC5BCD" w:rsidRPr="00D0554D">
        <w:rPr>
          <w:i/>
          <w:iCs/>
          <w:lang w:val="en-GB" w:eastAsia="en-GB"/>
        </w:rPr>
        <w:t>methods: t</w:t>
      </w:r>
      <w:r w:rsidRPr="00D0554D">
        <w:rPr>
          <w:i/>
          <w:iCs/>
          <w:lang w:val="en-GB" w:eastAsia="en-GB"/>
        </w:rPr>
        <w:t>he student experience</w:t>
      </w:r>
      <w:r w:rsidR="00D0554D">
        <w:rPr>
          <w:i/>
          <w:iCs/>
          <w:lang w:val="en-GB" w:eastAsia="en-GB"/>
        </w:rPr>
        <w:t>,</w:t>
      </w:r>
      <w:r>
        <w:rPr>
          <w:iCs/>
          <w:lang w:val="en-GB" w:eastAsia="en-GB"/>
        </w:rPr>
        <w:t xml:space="preserve"> </w:t>
      </w:r>
      <w:r w:rsidRPr="00D0554D">
        <w:rPr>
          <w:iCs/>
          <w:lang w:val="en-GB" w:eastAsia="en-GB"/>
        </w:rPr>
        <w:t xml:space="preserve">Australasian Journal of Educational Technology, 22(2), </w:t>
      </w:r>
      <w:r w:rsidR="00D0554D">
        <w:rPr>
          <w:iCs/>
          <w:lang w:val="en-GB" w:eastAsia="en-GB"/>
        </w:rPr>
        <w:t>r</w:t>
      </w:r>
      <w:r w:rsidR="00BB513B">
        <w:rPr>
          <w:iCs/>
          <w:lang w:val="en-GB" w:eastAsia="en-GB"/>
        </w:rPr>
        <w:t xml:space="preserve">etrieved from </w:t>
      </w:r>
      <w:hyperlink r:id="rId65" w:history="1">
        <w:r w:rsidR="00BB513B" w:rsidRPr="001E092E">
          <w:rPr>
            <w:rStyle w:val="Hyperlink"/>
            <w:iCs/>
            <w:szCs w:val="22"/>
            <w:lang w:val="en-GB" w:eastAsia="en-GB"/>
          </w:rPr>
          <w:t>http://www.ascilite.org.au/ajet/ajet22/giddings.html</w:t>
        </w:r>
      </w:hyperlink>
    </w:p>
    <w:p w:rsidR="00517CA7" w:rsidRDefault="00051FA3" w:rsidP="00D0554D">
      <w:pPr>
        <w:pStyle w:val="BodyText"/>
        <w:rPr>
          <w:lang w:eastAsia="en-NZ"/>
        </w:rPr>
      </w:pPr>
      <w:r>
        <w:rPr>
          <w:lang w:eastAsia="en-NZ"/>
        </w:rPr>
        <w:t>Guiney, P.</w:t>
      </w:r>
      <w:r w:rsidR="00651C79">
        <w:rPr>
          <w:lang w:eastAsia="en-NZ"/>
        </w:rPr>
        <w:t xml:space="preserve"> (2011)</w:t>
      </w:r>
      <w:r w:rsidR="00D0554D">
        <w:rPr>
          <w:lang w:eastAsia="en-NZ"/>
        </w:rPr>
        <w:t>,</w:t>
      </w:r>
      <w:r w:rsidR="00517CA7">
        <w:rPr>
          <w:lang w:eastAsia="en-NZ"/>
        </w:rPr>
        <w:t xml:space="preserve"> </w:t>
      </w:r>
      <w:r w:rsidR="00517CA7" w:rsidRPr="002A50CC">
        <w:rPr>
          <w:i/>
          <w:lang w:eastAsia="en-NZ"/>
        </w:rPr>
        <w:t>E</w:t>
      </w:r>
      <w:r w:rsidR="00616206">
        <w:rPr>
          <w:i/>
          <w:lang w:eastAsia="en-NZ"/>
        </w:rPr>
        <w:t>-l</w:t>
      </w:r>
      <w:r w:rsidR="00517CA7" w:rsidRPr="00616206">
        <w:rPr>
          <w:i/>
          <w:lang w:eastAsia="en-NZ"/>
        </w:rPr>
        <w:t>earning</w:t>
      </w:r>
      <w:r w:rsidR="00616206">
        <w:rPr>
          <w:i/>
          <w:lang w:eastAsia="en-NZ"/>
        </w:rPr>
        <w:t xml:space="preserve"> p</w:t>
      </w:r>
      <w:r w:rsidR="00517CA7" w:rsidRPr="002A50CC">
        <w:rPr>
          <w:i/>
          <w:lang w:eastAsia="en-NZ"/>
        </w:rPr>
        <w:t xml:space="preserve">rovision and </w:t>
      </w:r>
      <w:r w:rsidR="00616206">
        <w:rPr>
          <w:i/>
          <w:lang w:eastAsia="en-NZ"/>
        </w:rPr>
        <w:t>p</w:t>
      </w:r>
      <w:r w:rsidR="00517CA7" w:rsidRPr="002A50CC">
        <w:rPr>
          <w:i/>
          <w:lang w:eastAsia="en-NZ"/>
        </w:rPr>
        <w:t>articipation: Trends</w:t>
      </w:r>
      <w:r>
        <w:rPr>
          <w:i/>
          <w:lang w:eastAsia="en-NZ"/>
        </w:rPr>
        <w:t>,</w:t>
      </w:r>
      <w:r w:rsidR="00517CA7" w:rsidRPr="002A50CC">
        <w:rPr>
          <w:i/>
          <w:lang w:eastAsia="en-NZ"/>
        </w:rPr>
        <w:t xml:space="preserve"> </w:t>
      </w:r>
      <w:r w:rsidR="00616206">
        <w:rPr>
          <w:i/>
          <w:lang w:eastAsia="en-NZ"/>
        </w:rPr>
        <w:t>patterns and h</w:t>
      </w:r>
      <w:r w:rsidR="00517CA7" w:rsidRPr="00616206">
        <w:rPr>
          <w:i/>
          <w:lang w:eastAsia="en-NZ"/>
        </w:rPr>
        <w:t>ighlights</w:t>
      </w:r>
      <w:r w:rsidR="00616206">
        <w:rPr>
          <w:lang w:eastAsia="en-NZ"/>
        </w:rPr>
        <w:t>.</w:t>
      </w:r>
      <w:r w:rsidR="00CC170B">
        <w:rPr>
          <w:lang w:eastAsia="en-NZ"/>
        </w:rPr>
        <w:t xml:space="preserve"> Wellington:</w:t>
      </w:r>
      <w:r w:rsidR="00517CA7">
        <w:rPr>
          <w:lang w:eastAsia="en-NZ"/>
        </w:rPr>
        <w:t xml:space="preserve"> Ministry of Education</w:t>
      </w:r>
      <w:r w:rsidR="00D0554D">
        <w:rPr>
          <w:lang w:eastAsia="en-NZ"/>
        </w:rPr>
        <w:t>, r</w:t>
      </w:r>
      <w:r w:rsidR="00517CA7">
        <w:rPr>
          <w:lang w:eastAsia="en-NZ"/>
        </w:rPr>
        <w:t xml:space="preserve">etrieved from </w:t>
      </w:r>
      <w:hyperlink r:id="rId66" w:history="1">
        <w:r w:rsidR="00517CA7" w:rsidRPr="009F1FEB">
          <w:rPr>
            <w:rStyle w:val="Hyperlink"/>
            <w:lang w:eastAsia="en-NZ"/>
          </w:rPr>
          <w:t>http://www.educationcounts.govt.nz/__data/assets/pdf_file/0016/91222/E-LearningProvisionParticipation-25052011.pdf</w:t>
        </w:r>
      </w:hyperlink>
    </w:p>
    <w:p w:rsidR="00517CA7" w:rsidRDefault="00051FA3" w:rsidP="00D0554D">
      <w:pPr>
        <w:pStyle w:val="BodyText"/>
        <w:rPr>
          <w:lang w:eastAsia="en-NZ"/>
        </w:rPr>
      </w:pPr>
      <w:r>
        <w:rPr>
          <w:lang w:eastAsia="en-NZ"/>
        </w:rPr>
        <w:t>Guiney, P.</w:t>
      </w:r>
      <w:r w:rsidR="00651C79">
        <w:rPr>
          <w:lang w:eastAsia="en-NZ"/>
        </w:rPr>
        <w:t xml:space="preserve"> (2013</w:t>
      </w:r>
      <w:r w:rsidR="00AD765F">
        <w:rPr>
          <w:lang w:eastAsia="en-NZ"/>
        </w:rPr>
        <w:t>a</w:t>
      </w:r>
      <w:r w:rsidR="00651C79">
        <w:rPr>
          <w:lang w:eastAsia="en-NZ"/>
        </w:rPr>
        <w:t>)</w:t>
      </w:r>
      <w:r w:rsidR="00D0554D">
        <w:rPr>
          <w:lang w:eastAsia="en-NZ"/>
        </w:rPr>
        <w:t>,</w:t>
      </w:r>
      <w:r w:rsidR="00517CA7">
        <w:rPr>
          <w:lang w:eastAsia="en-NZ"/>
        </w:rPr>
        <w:t xml:space="preserve"> </w:t>
      </w:r>
      <w:r>
        <w:rPr>
          <w:i/>
          <w:lang w:eastAsia="en-NZ"/>
        </w:rPr>
        <w:t>E-</w:t>
      </w:r>
      <w:r w:rsidR="00616206">
        <w:rPr>
          <w:i/>
          <w:lang w:eastAsia="en-NZ"/>
        </w:rPr>
        <w:t>learning a</w:t>
      </w:r>
      <w:r w:rsidR="00517CA7" w:rsidRPr="00616206">
        <w:rPr>
          <w:i/>
          <w:lang w:eastAsia="en-NZ"/>
        </w:rPr>
        <w:t>chievement: Trends, patterns</w:t>
      </w:r>
      <w:r w:rsidR="00517CA7" w:rsidRPr="002A50CC">
        <w:rPr>
          <w:i/>
          <w:lang w:eastAsia="en-NZ"/>
        </w:rPr>
        <w:t xml:space="preserve"> and highlights</w:t>
      </w:r>
      <w:r w:rsidR="00D0554D">
        <w:rPr>
          <w:lang w:eastAsia="en-NZ"/>
        </w:rPr>
        <w:t>,</w:t>
      </w:r>
      <w:r w:rsidR="00CC170B">
        <w:rPr>
          <w:lang w:eastAsia="en-NZ"/>
        </w:rPr>
        <w:t xml:space="preserve"> Wellington:</w:t>
      </w:r>
      <w:r w:rsidR="00517CA7">
        <w:rPr>
          <w:lang w:eastAsia="en-NZ"/>
        </w:rPr>
        <w:t xml:space="preserve"> Ministry of Education</w:t>
      </w:r>
      <w:r w:rsidR="00D0554D">
        <w:rPr>
          <w:lang w:eastAsia="en-NZ"/>
        </w:rPr>
        <w:t>, r</w:t>
      </w:r>
      <w:r w:rsidR="00517CA7">
        <w:rPr>
          <w:lang w:eastAsia="en-NZ"/>
        </w:rPr>
        <w:t xml:space="preserve">etrieved from </w:t>
      </w:r>
      <w:hyperlink r:id="rId67" w:history="1">
        <w:r w:rsidR="00517CA7" w:rsidRPr="00AF3B82">
          <w:rPr>
            <w:rStyle w:val="Hyperlink"/>
            <w:lang w:eastAsia="en-NZ"/>
          </w:rPr>
          <w:t>http://www.educationcounts.govt.nz/__data/assets/pdf_file/0003/108462/E-Learning-Achievement-Report-2013.pdf</w:t>
        </w:r>
      </w:hyperlink>
      <w:r w:rsidR="00517CA7">
        <w:rPr>
          <w:lang w:eastAsia="en-NZ"/>
        </w:rPr>
        <w:t xml:space="preserve"> </w:t>
      </w:r>
    </w:p>
    <w:p w:rsidR="00517CA7" w:rsidRDefault="00AA4413" w:rsidP="00D0554D">
      <w:pPr>
        <w:pStyle w:val="BodyText"/>
        <w:rPr>
          <w:lang w:eastAsia="en-NZ"/>
        </w:rPr>
      </w:pPr>
      <w:r>
        <w:rPr>
          <w:lang w:eastAsia="en-NZ"/>
        </w:rPr>
        <w:t>Guiney, P.</w:t>
      </w:r>
      <w:r w:rsidR="00651C79">
        <w:rPr>
          <w:lang w:eastAsia="en-NZ"/>
        </w:rPr>
        <w:t xml:space="preserve"> (2013</w:t>
      </w:r>
      <w:r w:rsidR="00AD765F">
        <w:rPr>
          <w:lang w:eastAsia="en-NZ"/>
        </w:rPr>
        <w:t>b</w:t>
      </w:r>
      <w:r w:rsidR="00651C79">
        <w:rPr>
          <w:lang w:eastAsia="en-NZ"/>
        </w:rPr>
        <w:t>)</w:t>
      </w:r>
      <w:r w:rsidR="00D0554D">
        <w:rPr>
          <w:lang w:eastAsia="en-NZ"/>
        </w:rPr>
        <w:t>,</w:t>
      </w:r>
      <w:r w:rsidR="00517CA7">
        <w:rPr>
          <w:lang w:eastAsia="en-NZ"/>
        </w:rPr>
        <w:t xml:space="preserve"> </w:t>
      </w:r>
      <w:r w:rsidR="00517CA7" w:rsidRPr="0076125F">
        <w:rPr>
          <w:i/>
          <w:lang w:eastAsia="en-NZ"/>
        </w:rPr>
        <w:t>Or</w:t>
      </w:r>
      <w:r w:rsidR="00517CA7">
        <w:rPr>
          <w:i/>
          <w:lang w:eastAsia="en-NZ"/>
        </w:rPr>
        <w:t xml:space="preserve">ganisational </w:t>
      </w:r>
      <w:r w:rsidR="00E47C02">
        <w:rPr>
          <w:i/>
          <w:lang w:eastAsia="en-NZ"/>
        </w:rPr>
        <w:t>a</w:t>
      </w:r>
      <w:r>
        <w:rPr>
          <w:i/>
          <w:lang w:eastAsia="en-NZ"/>
        </w:rPr>
        <w:t xml:space="preserve">pproaches to </w:t>
      </w:r>
      <w:r w:rsidRPr="00E47C02">
        <w:rPr>
          <w:i/>
          <w:lang w:eastAsia="en-NZ"/>
        </w:rPr>
        <w:t>e-learning</w:t>
      </w:r>
      <w:r>
        <w:rPr>
          <w:i/>
          <w:lang w:eastAsia="en-NZ"/>
        </w:rPr>
        <w:t xml:space="preserve"> in t</w:t>
      </w:r>
      <w:r w:rsidR="00E47C02">
        <w:rPr>
          <w:i/>
          <w:lang w:eastAsia="en-NZ"/>
        </w:rPr>
        <w:t>he tertiary s</w:t>
      </w:r>
      <w:r w:rsidR="00517CA7">
        <w:rPr>
          <w:i/>
          <w:lang w:eastAsia="en-NZ"/>
        </w:rPr>
        <w:t xml:space="preserve">ector: An </w:t>
      </w:r>
      <w:r w:rsidR="00517CA7" w:rsidRPr="00E47C02">
        <w:rPr>
          <w:i/>
          <w:lang w:eastAsia="en-NZ"/>
        </w:rPr>
        <w:t>annotated bibliography</w:t>
      </w:r>
      <w:r w:rsidR="00D0554D">
        <w:rPr>
          <w:lang w:eastAsia="en-NZ"/>
        </w:rPr>
        <w:t xml:space="preserve">, </w:t>
      </w:r>
      <w:r w:rsidR="00CC170B">
        <w:rPr>
          <w:lang w:eastAsia="en-NZ"/>
        </w:rPr>
        <w:t>Wellington:</w:t>
      </w:r>
      <w:r w:rsidR="00517CA7">
        <w:rPr>
          <w:lang w:eastAsia="en-NZ"/>
        </w:rPr>
        <w:t xml:space="preserve"> Ministry of Education</w:t>
      </w:r>
      <w:r w:rsidR="00D0554D">
        <w:rPr>
          <w:lang w:eastAsia="en-NZ"/>
        </w:rPr>
        <w:t>, r</w:t>
      </w:r>
      <w:r w:rsidR="00041AFF">
        <w:rPr>
          <w:lang w:eastAsia="en-NZ"/>
        </w:rPr>
        <w:t xml:space="preserve">etrieved from </w:t>
      </w:r>
      <w:hyperlink r:id="rId68" w:history="1">
        <w:r w:rsidR="00041AFF" w:rsidRPr="006F05D4">
          <w:rPr>
            <w:rStyle w:val="Hyperlink"/>
            <w:lang w:eastAsia="en-NZ"/>
          </w:rPr>
          <w:t>http://www.educationcounts.govt.nz/publications/ict/organisational-approaches-to-e-learning-in-the-tertiary-sector</w:t>
        </w:r>
      </w:hyperlink>
      <w:r w:rsidR="00041AFF" w:rsidRPr="00C75391">
        <w:rPr>
          <w:color w:val="000000" w:themeColor="text1"/>
          <w:lang w:eastAsia="en-NZ"/>
        </w:rPr>
        <w:t xml:space="preserve"> </w:t>
      </w:r>
    </w:p>
    <w:p w:rsidR="00517CA7" w:rsidRDefault="00517CA7" w:rsidP="00E96077">
      <w:pPr>
        <w:pStyle w:val="BodyText"/>
      </w:pPr>
      <w:r w:rsidRPr="0078146A">
        <w:rPr>
          <w:lang w:val="en-AU"/>
        </w:rPr>
        <w:t>Hartnett, M.</w:t>
      </w:r>
      <w:r w:rsidR="00AA4413">
        <w:rPr>
          <w:lang w:val="en-AU"/>
        </w:rPr>
        <w:t xml:space="preserve"> K.</w:t>
      </w:r>
      <w:r w:rsidRPr="0078146A">
        <w:rPr>
          <w:lang w:val="en-AU"/>
        </w:rPr>
        <w:t xml:space="preserve"> (2010)</w:t>
      </w:r>
      <w:r w:rsidR="00D0554D">
        <w:rPr>
          <w:lang w:val="en-AU"/>
        </w:rPr>
        <w:t>,</w:t>
      </w:r>
      <w:r w:rsidRPr="0078146A">
        <w:rPr>
          <w:lang w:val="en-AU"/>
        </w:rPr>
        <w:t xml:space="preserve"> </w:t>
      </w:r>
      <w:r w:rsidR="00E47C02">
        <w:rPr>
          <w:i/>
          <w:lang w:val="en-AU"/>
        </w:rPr>
        <w:t>Motivation to learn in online environments: An exploration of two tertiary education c</w:t>
      </w:r>
      <w:r w:rsidRPr="00D375D4">
        <w:rPr>
          <w:i/>
          <w:lang w:val="en-AU"/>
        </w:rPr>
        <w:t>ontexts</w:t>
      </w:r>
      <w:r w:rsidR="00D0554D">
        <w:rPr>
          <w:lang w:val="en-AU"/>
        </w:rPr>
        <w:t xml:space="preserve">, </w:t>
      </w:r>
      <w:r w:rsidR="008762A8">
        <w:rPr>
          <w:lang w:val="en-AU"/>
        </w:rPr>
        <w:t>D</w:t>
      </w:r>
      <w:r w:rsidR="00D0554D">
        <w:rPr>
          <w:lang w:val="en-AU"/>
        </w:rPr>
        <w:t>octoral thesis</w:t>
      </w:r>
      <w:r w:rsidR="00891052">
        <w:rPr>
          <w:lang w:val="en-AU"/>
        </w:rPr>
        <w:t>, Massey</w:t>
      </w:r>
      <w:r w:rsidRPr="0078146A">
        <w:rPr>
          <w:lang w:val="en-AU"/>
        </w:rPr>
        <w:t xml:space="preserve"> University, Palmerston North, New Zealand</w:t>
      </w:r>
      <w:r w:rsidR="00D0554D">
        <w:rPr>
          <w:lang w:val="en-AU"/>
        </w:rPr>
        <w:t>, r</w:t>
      </w:r>
      <w:r w:rsidR="00BB513B">
        <w:rPr>
          <w:lang w:val="en-AU"/>
        </w:rPr>
        <w:t xml:space="preserve">etrieved from </w:t>
      </w:r>
      <w:hyperlink r:id="rId69" w:history="1">
        <w:r w:rsidR="00BB513B" w:rsidRPr="00124552">
          <w:rPr>
            <w:rStyle w:val="Hyperlink"/>
            <w:szCs w:val="22"/>
            <w:lang w:val="en-AU"/>
          </w:rPr>
          <w:t>http://muir.massey.ac.nz/bitstream/handle/10179/2043/02_whole.pdf?sequence=1</w:t>
        </w:r>
      </w:hyperlink>
    </w:p>
    <w:p w:rsidR="00517CA7" w:rsidRDefault="00517CA7" w:rsidP="00D0554D">
      <w:pPr>
        <w:pStyle w:val="BodyText"/>
        <w:rPr>
          <w:lang w:val="en-AU"/>
        </w:rPr>
      </w:pPr>
      <w:r w:rsidRPr="00D87125">
        <w:rPr>
          <w:lang w:val="en-AU"/>
        </w:rPr>
        <w:t xml:space="preserve">Hegarty, B., Penman, M., Kelly, O., Jeffrey, L., Coburn, D, </w:t>
      </w:r>
      <w:r w:rsidR="00801707">
        <w:rPr>
          <w:lang w:val="en-AU"/>
        </w:rPr>
        <w:t>and</w:t>
      </w:r>
      <w:r w:rsidRPr="00D87125">
        <w:rPr>
          <w:lang w:val="en-AU"/>
        </w:rPr>
        <w:t xml:space="preserve"> McDonald, J. (2010)</w:t>
      </w:r>
      <w:r w:rsidR="00D0554D">
        <w:rPr>
          <w:lang w:val="en-AU"/>
        </w:rPr>
        <w:t>,</w:t>
      </w:r>
      <w:r w:rsidRPr="00D87125">
        <w:rPr>
          <w:lang w:val="en-AU"/>
        </w:rPr>
        <w:t xml:space="preserve"> </w:t>
      </w:r>
      <w:r w:rsidR="00E47C02">
        <w:rPr>
          <w:i/>
          <w:lang w:val="en-AU"/>
        </w:rPr>
        <w:t>Digital information literacy: Supported development of capability in tertiary e</w:t>
      </w:r>
      <w:r w:rsidRPr="0045215D">
        <w:rPr>
          <w:i/>
          <w:lang w:val="en-AU"/>
        </w:rPr>
        <w:t>nvironments</w:t>
      </w:r>
      <w:r w:rsidR="00D0554D">
        <w:rPr>
          <w:lang w:val="en-AU"/>
        </w:rPr>
        <w:t>,</w:t>
      </w:r>
      <w:r w:rsidR="003D3A66">
        <w:rPr>
          <w:lang w:val="en-AU"/>
        </w:rPr>
        <w:t xml:space="preserve"> </w:t>
      </w:r>
      <w:r w:rsidR="003D3A66" w:rsidRPr="002C0D74">
        <w:rPr>
          <w:lang w:val="en-AU"/>
        </w:rPr>
        <w:t>Wellington</w:t>
      </w:r>
      <w:r w:rsidRPr="00D87125">
        <w:rPr>
          <w:lang w:val="en-AU"/>
        </w:rPr>
        <w:t>: Ministry of Education</w:t>
      </w:r>
      <w:r w:rsidR="00D0554D">
        <w:rPr>
          <w:lang w:val="en-AU"/>
        </w:rPr>
        <w:t>, r</w:t>
      </w:r>
      <w:r w:rsidR="00BB513B" w:rsidRPr="00D87125">
        <w:rPr>
          <w:lang w:val="en-AU"/>
        </w:rPr>
        <w:t xml:space="preserve">etrieved from </w:t>
      </w:r>
      <w:hyperlink r:id="rId70" w:history="1">
        <w:r w:rsidR="00BB513B" w:rsidRPr="00F93D7A">
          <w:rPr>
            <w:rStyle w:val="Hyperlink"/>
            <w:szCs w:val="22"/>
            <w:lang w:val="en-AU"/>
          </w:rPr>
          <w:t>http://www.educationcounts.govt.nz/__data/assets/pdf_file/0006/80628/Digital-Information-Literacy-Research-Report-FINAL-pdf.pdf</w:t>
        </w:r>
      </w:hyperlink>
    </w:p>
    <w:p w:rsidR="005B22E0" w:rsidRDefault="005B22E0" w:rsidP="00E96077">
      <w:pPr>
        <w:pStyle w:val="BodyText"/>
        <w:rPr>
          <w:rStyle w:val="Hyperlink"/>
          <w:color w:val="000000" w:themeColor="text1"/>
          <w:lang w:val="en-GB" w:eastAsia="en-GB"/>
        </w:rPr>
      </w:pPr>
      <w:r>
        <w:rPr>
          <w:lang w:val="en-GB" w:eastAsia="en-GB"/>
        </w:rPr>
        <w:t xml:space="preserve">Horn, L. J., </w:t>
      </w:r>
      <w:r w:rsidR="00801707">
        <w:rPr>
          <w:lang w:val="en-GB" w:eastAsia="en-GB"/>
        </w:rPr>
        <w:t>and</w:t>
      </w:r>
      <w:r>
        <w:rPr>
          <w:lang w:val="en-GB" w:eastAsia="en-GB"/>
        </w:rPr>
        <w:t xml:space="preserve"> Carroll, C. D. (1996)</w:t>
      </w:r>
      <w:r w:rsidR="00D0554D">
        <w:rPr>
          <w:lang w:val="en-GB" w:eastAsia="en-GB"/>
        </w:rPr>
        <w:t>,</w:t>
      </w:r>
      <w:r>
        <w:rPr>
          <w:lang w:val="en-GB" w:eastAsia="en-GB"/>
        </w:rPr>
        <w:t xml:space="preserve"> </w:t>
      </w:r>
      <w:r w:rsidR="00D0554D">
        <w:rPr>
          <w:i/>
          <w:lang w:val="en-GB" w:eastAsia="en-GB"/>
        </w:rPr>
        <w:t>Non-traditional</w:t>
      </w:r>
      <w:r>
        <w:rPr>
          <w:i/>
          <w:lang w:val="en-GB" w:eastAsia="en-GB"/>
        </w:rPr>
        <w:t xml:space="preserve"> undergraduates: Trends in enrolment from 1986 to 1992 and persistence and attainment among 1989-90 beginning postsecondary students</w:t>
      </w:r>
      <w:r w:rsidR="00D0554D">
        <w:rPr>
          <w:i/>
          <w:lang w:val="en-GB" w:eastAsia="en-GB"/>
        </w:rPr>
        <w:t>,</w:t>
      </w:r>
      <w:r>
        <w:rPr>
          <w:lang w:val="en-GB" w:eastAsia="en-GB"/>
        </w:rPr>
        <w:t xml:space="preserve"> Washington, DC: National Center for Education Statistics</w:t>
      </w:r>
      <w:r w:rsidR="00D0554D">
        <w:rPr>
          <w:lang w:val="en-GB" w:eastAsia="en-GB"/>
        </w:rPr>
        <w:t>, r</w:t>
      </w:r>
      <w:r>
        <w:rPr>
          <w:lang w:val="en-GB" w:eastAsia="en-GB"/>
        </w:rPr>
        <w:t xml:space="preserve">etrieved from </w:t>
      </w:r>
      <w:hyperlink r:id="rId71" w:history="1">
        <w:r w:rsidRPr="00366F1C">
          <w:rPr>
            <w:rStyle w:val="Hyperlink"/>
            <w:lang w:val="en-GB" w:eastAsia="en-GB"/>
          </w:rPr>
          <w:t>http://www.eric.ed.gov/PDFS/ED402857.pdf</w:t>
        </w:r>
      </w:hyperlink>
    </w:p>
    <w:p w:rsidR="00517CA7" w:rsidRPr="003B340B" w:rsidRDefault="00DA406E" w:rsidP="00E96077">
      <w:pPr>
        <w:pStyle w:val="BodyText"/>
        <w:rPr>
          <w:i/>
          <w:lang w:val="en-GB" w:eastAsia="en-GB"/>
        </w:rPr>
      </w:pPr>
      <w:r>
        <w:rPr>
          <w:lang w:val="en-GB" w:eastAsia="en-GB"/>
        </w:rPr>
        <w:t>Hramiak, A.</w:t>
      </w:r>
      <w:r w:rsidR="00D0554D">
        <w:rPr>
          <w:lang w:val="en-GB" w:eastAsia="en-GB"/>
        </w:rPr>
        <w:t xml:space="preserve"> (2007), </w:t>
      </w:r>
      <w:r w:rsidR="00D0554D" w:rsidRPr="00C160F2">
        <w:rPr>
          <w:lang w:val="en-GB" w:eastAsia="en-GB"/>
        </w:rPr>
        <w:t>Initial</w:t>
      </w:r>
      <w:r w:rsidRPr="00D0554D">
        <w:rPr>
          <w:i/>
          <w:lang w:val="en-GB" w:eastAsia="en-GB"/>
        </w:rPr>
        <w:t xml:space="preserve"> evaluation and analysis of post</w:t>
      </w:r>
      <w:r w:rsidR="004C07B5" w:rsidRPr="00D0554D">
        <w:rPr>
          <w:i/>
          <w:lang w:val="en-GB" w:eastAsia="en-GB"/>
        </w:rPr>
        <w:t xml:space="preserve"> </w:t>
      </w:r>
      <w:r w:rsidRPr="00D0554D">
        <w:rPr>
          <w:i/>
          <w:lang w:val="en-GB" w:eastAsia="en-GB"/>
        </w:rPr>
        <w:t>graduate trainees’ u</w:t>
      </w:r>
      <w:r w:rsidR="00517CA7" w:rsidRPr="00D0554D">
        <w:rPr>
          <w:i/>
          <w:lang w:val="en-GB" w:eastAsia="en-GB"/>
        </w:rPr>
        <w:t>se o</w:t>
      </w:r>
      <w:r w:rsidRPr="00D0554D">
        <w:rPr>
          <w:i/>
          <w:lang w:val="en-GB" w:eastAsia="en-GB"/>
        </w:rPr>
        <w:t>f a virtual learning environment in initial teacher t</w:t>
      </w:r>
      <w:r w:rsidR="00517CA7" w:rsidRPr="00D0554D">
        <w:rPr>
          <w:i/>
          <w:lang w:val="en-GB" w:eastAsia="en-GB"/>
        </w:rPr>
        <w:t>raining</w:t>
      </w:r>
      <w:r w:rsidR="00D0554D">
        <w:rPr>
          <w:lang w:val="en-GB" w:eastAsia="en-GB"/>
        </w:rPr>
        <w:t>,</w:t>
      </w:r>
      <w:r w:rsidR="00517CA7" w:rsidRPr="00C160F2">
        <w:rPr>
          <w:lang w:val="en-GB" w:eastAsia="en-GB"/>
        </w:rPr>
        <w:t xml:space="preserve"> </w:t>
      </w:r>
      <w:r w:rsidR="00517CA7" w:rsidRPr="00D0554D">
        <w:rPr>
          <w:lang w:val="en-GB" w:eastAsia="en-GB"/>
        </w:rPr>
        <w:t>Electronic Journal of</w:t>
      </w:r>
      <w:r w:rsidR="0021360F" w:rsidRPr="00D0554D">
        <w:rPr>
          <w:lang w:val="en-GB" w:eastAsia="en-GB"/>
        </w:rPr>
        <w:t xml:space="preserve"> </w:t>
      </w:r>
      <w:r w:rsidR="00E17398" w:rsidRPr="00D0554D">
        <w:rPr>
          <w:lang w:val="en-GB" w:eastAsia="en-GB"/>
        </w:rPr>
        <w:t>e</w:t>
      </w:r>
      <w:r w:rsidR="00517CA7" w:rsidRPr="00D0554D">
        <w:rPr>
          <w:lang w:val="en-GB" w:eastAsia="en-GB"/>
        </w:rPr>
        <w:t>-Learning</w:t>
      </w:r>
      <w:r w:rsidR="00517CA7" w:rsidRPr="00C160F2">
        <w:rPr>
          <w:lang w:val="en-GB" w:eastAsia="en-GB"/>
        </w:rPr>
        <w:t xml:space="preserve">, </w:t>
      </w:r>
      <w:r w:rsidR="00517CA7" w:rsidRPr="00690A8B">
        <w:rPr>
          <w:i/>
          <w:lang w:val="en-GB" w:eastAsia="en-GB"/>
        </w:rPr>
        <w:t>5</w:t>
      </w:r>
      <w:r w:rsidR="00690A8B">
        <w:rPr>
          <w:lang w:val="en-GB" w:eastAsia="en-GB"/>
        </w:rPr>
        <w:t>(</w:t>
      </w:r>
      <w:r w:rsidR="00517CA7" w:rsidRPr="00C160F2">
        <w:rPr>
          <w:lang w:val="en-GB" w:eastAsia="en-GB"/>
        </w:rPr>
        <w:t>2</w:t>
      </w:r>
      <w:r w:rsidR="00690A8B">
        <w:rPr>
          <w:lang w:val="en-GB" w:eastAsia="en-GB"/>
        </w:rPr>
        <w:t>)</w:t>
      </w:r>
      <w:r w:rsidR="00517CA7" w:rsidRPr="00C160F2">
        <w:rPr>
          <w:lang w:val="en-GB" w:eastAsia="en-GB"/>
        </w:rPr>
        <w:t xml:space="preserve">  </w:t>
      </w:r>
      <w:r w:rsidR="00BB513B">
        <w:rPr>
          <w:lang w:val="en-GB" w:eastAsia="en-GB"/>
        </w:rPr>
        <w:t xml:space="preserve"> </w:t>
      </w:r>
      <w:r w:rsidR="00BB513B">
        <w:rPr>
          <w:i/>
          <w:lang w:val="en-GB" w:eastAsia="en-GB"/>
        </w:rPr>
        <w:t xml:space="preserve"> </w:t>
      </w:r>
    </w:p>
    <w:p w:rsidR="00517CA7" w:rsidRDefault="00517CA7" w:rsidP="00D0554D">
      <w:pPr>
        <w:pStyle w:val="BodyText"/>
      </w:pPr>
      <w:r w:rsidRPr="00C160F2">
        <w:rPr>
          <w:lang w:val="en-AU"/>
        </w:rPr>
        <w:t xml:space="preserve">Jeffrey, L. </w:t>
      </w:r>
      <w:r>
        <w:rPr>
          <w:lang w:val="en-AU"/>
        </w:rPr>
        <w:t>M</w:t>
      </w:r>
      <w:r w:rsidRPr="00C160F2">
        <w:rPr>
          <w:lang w:val="en-AU"/>
        </w:rPr>
        <w:t>., Atkins, C., Laurs, A.</w:t>
      </w:r>
      <w:r w:rsidR="00586BC4">
        <w:rPr>
          <w:lang w:val="en-AU"/>
        </w:rPr>
        <w:t>,</w:t>
      </w:r>
      <w:r w:rsidRPr="00C160F2">
        <w:rPr>
          <w:lang w:val="en-AU"/>
        </w:rPr>
        <w:t xml:space="preserve"> </w:t>
      </w:r>
      <w:r w:rsidR="00801707">
        <w:rPr>
          <w:lang w:val="en-AU"/>
        </w:rPr>
        <w:t>and</w:t>
      </w:r>
      <w:r w:rsidR="00651C79">
        <w:rPr>
          <w:lang w:val="en-AU"/>
        </w:rPr>
        <w:t xml:space="preserve"> Mann, S. (2006)</w:t>
      </w:r>
      <w:r w:rsidR="00D0554D">
        <w:rPr>
          <w:lang w:val="en-AU"/>
        </w:rPr>
        <w:t>,</w:t>
      </w:r>
      <w:r w:rsidRPr="00C160F2">
        <w:rPr>
          <w:lang w:val="en-AU"/>
        </w:rPr>
        <w:t xml:space="preserve"> </w:t>
      </w:r>
      <w:r w:rsidR="003D3A66">
        <w:rPr>
          <w:i/>
          <w:iCs/>
          <w:lang w:val="en-AU"/>
        </w:rPr>
        <w:t>E-l</w:t>
      </w:r>
      <w:r w:rsidR="00E47C02">
        <w:rPr>
          <w:i/>
          <w:iCs/>
          <w:lang w:val="en-AU"/>
        </w:rPr>
        <w:t xml:space="preserve">earner profiles: </w:t>
      </w:r>
      <w:r w:rsidR="00D0554D">
        <w:rPr>
          <w:i/>
          <w:iCs/>
          <w:lang w:val="en-AU"/>
        </w:rPr>
        <w:t>Identifying trends and diversity in student needs, orientations and aspirations</w:t>
      </w:r>
      <w:r w:rsidR="00D0554D">
        <w:rPr>
          <w:iCs/>
          <w:lang w:val="en-AU"/>
        </w:rPr>
        <w:t>,</w:t>
      </w:r>
      <w:r w:rsidRPr="00C160F2">
        <w:rPr>
          <w:i/>
          <w:iCs/>
          <w:lang w:val="en-AU"/>
        </w:rPr>
        <w:t xml:space="preserve"> </w:t>
      </w:r>
      <w:r w:rsidR="003D3A66">
        <w:rPr>
          <w:lang w:val="en-AU"/>
        </w:rPr>
        <w:t>Wellington:</w:t>
      </w:r>
      <w:r w:rsidRPr="00C160F2">
        <w:rPr>
          <w:lang w:val="en-AU"/>
        </w:rPr>
        <w:t xml:space="preserve"> Ministry of Education</w:t>
      </w:r>
      <w:r w:rsidR="00891052">
        <w:rPr>
          <w:lang w:val="en-AU"/>
        </w:rPr>
        <w:t>,</w:t>
      </w:r>
      <w:r w:rsidR="00041AFF">
        <w:rPr>
          <w:lang w:val="en-AU"/>
        </w:rPr>
        <w:t xml:space="preserve"> </w:t>
      </w:r>
      <w:r w:rsidR="00D0554D">
        <w:rPr>
          <w:lang w:val="en-AU"/>
        </w:rPr>
        <w:t>r</w:t>
      </w:r>
      <w:r w:rsidR="00BB513B" w:rsidRPr="00C160F2">
        <w:rPr>
          <w:lang w:val="en-AU"/>
        </w:rPr>
        <w:t xml:space="preserve">etrieved from </w:t>
      </w:r>
      <w:hyperlink r:id="rId72" w:history="1">
        <w:r w:rsidR="00BB513B" w:rsidRPr="00C160F2">
          <w:rPr>
            <w:rStyle w:val="Hyperlink"/>
            <w:szCs w:val="22"/>
            <w:lang w:val="en-AU"/>
          </w:rPr>
          <w:t>http://www.educationcounts.govt.nz/publications/ict/57985</w:t>
        </w:r>
      </w:hyperlink>
    </w:p>
    <w:p w:rsidR="00517CA7" w:rsidRPr="00C160F2" w:rsidRDefault="00651C79" w:rsidP="00D0554D">
      <w:pPr>
        <w:pStyle w:val="BodyText"/>
      </w:pPr>
      <w:r>
        <w:rPr>
          <w:iCs/>
        </w:rPr>
        <w:t>Johnson, H. (2007)</w:t>
      </w:r>
      <w:r w:rsidR="00D0554D">
        <w:rPr>
          <w:iCs/>
        </w:rPr>
        <w:t>,</w:t>
      </w:r>
      <w:r w:rsidR="00517CA7" w:rsidRPr="00C160F2">
        <w:rPr>
          <w:iCs/>
        </w:rPr>
        <w:t xml:space="preserve"> </w:t>
      </w:r>
      <w:r w:rsidR="00E47C02">
        <w:rPr>
          <w:i/>
          <w:iCs/>
        </w:rPr>
        <w:t>Dialogue and the construction of knowledge in e-learning: Exploring students’ perceptions of their learning while u</w:t>
      </w:r>
      <w:r w:rsidR="00517CA7" w:rsidRPr="00263112">
        <w:rPr>
          <w:i/>
          <w:iCs/>
        </w:rPr>
        <w:t xml:space="preserve">sing </w:t>
      </w:r>
      <w:r w:rsidR="004336D7">
        <w:rPr>
          <w:i/>
          <w:iCs/>
        </w:rPr>
        <w:t>Blackboard’s asynchronous discussion b</w:t>
      </w:r>
      <w:r w:rsidR="00517CA7" w:rsidRPr="004336D7">
        <w:rPr>
          <w:i/>
          <w:iCs/>
        </w:rPr>
        <w:t>oar</w:t>
      </w:r>
      <w:r w:rsidR="00517CA7" w:rsidRPr="00263112">
        <w:rPr>
          <w:i/>
          <w:iCs/>
        </w:rPr>
        <w:t>d</w:t>
      </w:r>
      <w:r w:rsidR="00D0554D">
        <w:rPr>
          <w:iCs/>
        </w:rPr>
        <w:t>,</w:t>
      </w:r>
      <w:r w:rsidR="006061A2">
        <w:rPr>
          <w:iCs/>
        </w:rPr>
        <w:t xml:space="preserve"> </w:t>
      </w:r>
      <w:r w:rsidR="00CD2901" w:rsidRPr="00D0554D">
        <w:rPr>
          <w:iCs/>
          <w:color w:val="000000"/>
          <w:szCs w:val="22"/>
          <w:shd w:val="clear" w:color="auto" w:fill="FFFFFF"/>
        </w:rPr>
        <w:t>European</w:t>
      </w:r>
      <w:r w:rsidR="00200A18" w:rsidRPr="00D0554D">
        <w:rPr>
          <w:iCs/>
          <w:color w:val="000000"/>
          <w:szCs w:val="22"/>
          <w:shd w:val="clear" w:color="auto" w:fill="FFFFFF"/>
        </w:rPr>
        <w:t xml:space="preserve"> Journal of Open, Distance and E</w:t>
      </w:r>
      <w:r w:rsidR="00CD2901" w:rsidRPr="00D0554D">
        <w:rPr>
          <w:iCs/>
          <w:color w:val="000000"/>
          <w:szCs w:val="22"/>
          <w:shd w:val="clear" w:color="auto" w:fill="FFFFFF"/>
        </w:rPr>
        <w:t>-Learning</w:t>
      </w:r>
      <w:r w:rsidR="00D0554D">
        <w:rPr>
          <w:iCs/>
          <w:color w:val="000000"/>
          <w:szCs w:val="22"/>
          <w:shd w:val="clear" w:color="auto" w:fill="FFFFFF"/>
        </w:rPr>
        <w:t>, r</w:t>
      </w:r>
      <w:r w:rsidR="00BB513B" w:rsidRPr="00C160F2">
        <w:rPr>
          <w:iCs/>
        </w:rPr>
        <w:t xml:space="preserve">etrieved from </w:t>
      </w:r>
      <w:hyperlink r:id="rId73" w:history="1">
        <w:r w:rsidR="00BB513B" w:rsidRPr="00C160F2">
          <w:rPr>
            <w:rStyle w:val="Hyperlink"/>
            <w:iCs/>
            <w:szCs w:val="22"/>
          </w:rPr>
          <w:t>http://www.eurodl.org/materials/contrib/2007/Henry_Johnson.htm</w:t>
        </w:r>
      </w:hyperlink>
    </w:p>
    <w:p w:rsidR="00517CA7" w:rsidRDefault="00517CA7" w:rsidP="00E96077">
      <w:pPr>
        <w:pStyle w:val="BodyText"/>
      </w:pPr>
      <w:r w:rsidRPr="00C160F2">
        <w:t>Johnson, R</w:t>
      </w:r>
      <w:r w:rsidR="00F5620F">
        <w:t xml:space="preserve">. D., Hornik, S., </w:t>
      </w:r>
      <w:r w:rsidR="00801707">
        <w:t>and</w:t>
      </w:r>
      <w:r w:rsidR="00F5620F">
        <w:t xml:space="preserve"> Salas, E.</w:t>
      </w:r>
      <w:r w:rsidR="00651C79">
        <w:t xml:space="preserve"> (2008)</w:t>
      </w:r>
      <w:r w:rsidR="00D0554D">
        <w:t>,</w:t>
      </w:r>
      <w:r w:rsidRPr="00C160F2">
        <w:t xml:space="preserve"> </w:t>
      </w:r>
      <w:r w:rsidR="00E47C02" w:rsidRPr="00D0554D">
        <w:rPr>
          <w:i/>
        </w:rPr>
        <w:t>An empirical examination of factors contributing to the creation of s</w:t>
      </w:r>
      <w:r w:rsidRPr="00D0554D">
        <w:rPr>
          <w:i/>
        </w:rPr>
        <w:t>uccessful e-learnin</w:t>
      </w:r>
      <w:r w:rsidR="00DA406E" w:rsidRPr="00D0554D">
        <w:rPr>
          <w:i/>
        </w:rPr>
        <w:t>g</w:t>
      </w:r>
      <w:r w:rsidR="00E47C02" w:rsidRPr="00D0554D">
        <w:rPr>
          <w:i/>
        </w:rPr>
        <w:t xml:space="preserve"> e</w:t>
      </w:r>
      <w:r w:rsidRPr="00D0554D">
        <w:rPr>
          <w:i/>
        </w:rPr>
        <w:t>nvironments</w:t>
      </w:r>
      <w:r w:rsidR="00D0554D">
        <w:t>,</w:t>
      </w:r>
      <w:r w:rsidR="006061A2">
        <w:t xml:space="preserve"> </w:t>
      </w:r>
      <w:r w:rsidR="005F1743" w:rsidRPr="00D0554D">
        <w:t>International Journal of Human-Computer Studies, 66(5</w:t>
      </w:r>
      <w:r w:rsidR="00D0554D">
        <w:t>)</w:t>
      </w:r>
    </w:p>
    <w:p w:rsidR="00517CA7" w:rsidRDefault="00F5620F" w:rsidP="00E96077">
      <w:pPr>
        <w:pStyle w:val="BodyText"/>
      </w:pPr>
      <w:r>
        <w:t xml:space="preserve">Ke, F., </w:t>
      </w:r>
      <w:r w:rsidR="00801707">
        <w:t>and</w:t>
      </w:r>
      <w:r>
        <w:t xml:space="preserve"> Xie, K.</w:t>
      </w:r>
      <w:r w:rsidR="00D0554D">
        <w:t xml:space="preserve"> (2009), </w:t>
      </w:r>
      <w:r w:rsidR="00E47C02" w:rsidRPr="00D0554D">
        <w:rPr>
          <w:i/>
        </w:rPr>
        <w:t>Toward deep learning for adult students in online c</w:t>
      </w:r>
      <w:r w:rsidR="00517CA7" w:rsidRPr="00D0554D">
        <w:rPr>
          <w:i/>
        </w:rPr>
        <w:t>ourses</w:t>
      </w:r>
      <w:r w:rsidR="00D0554D">
        <w:t>,</w:t>
      </w:r>
      <w:r w:rsidR="006061A2">
        <w:t xml:space="preserve"> </w:t>
      </w:r>
      <w:r w:rsidR="006A2F2E" w:rsidRPr="00D0554D">
        <w:rPr>
          <w:rStyle w:val="HTMLCite"/>
          <w:i w:val="0"/>
          <w:color w:val="000000"/>
          <w:szCs w:val="22"/>
          <w:shd w:val="clear" w:color="auto" w:fill="FFFFFF"/>
        </w:rPr>
        <w:t>Internet and Higher Education, 12</w:t>
      </w:r>
      <w:r w:rsidR="006A2F2E" w:rsidRPr="00D0554D">
        <w:rPr>
          <w:color w:val="000000"/>
          <w:szCs w:val="22"/>
          <w:shd w:val="clear" w:color="auto" w:fill="FFFFFF"/>
        </w:rPr>
        <w:t>(3</w:t>
      </w:r>
      <w:r w:rsidR="00D0554D">
        <w:rPr>
          <w:color w:val="000000"/>
          <w:szCs w:val="22"/>
          <w:shd w:val="clear" w:color="auto" w:fill="FFFFFF"/>
        </w:rPr>
        <w:t>)</w:t>
      </w:r>
      <w:r w:rsidR="00517CA7" w:rsidRPr="00C160F2">
        <w:t xml:space="preserve">      </w:t>
      </w:r>
    </w:p>
    <w:p w:rsidR="00517CA7" w:rsidRDefault="00F5620F" w:rsidP="00E96077">
      <w:pPr>
        <w:pStyle w:val="BodyText"/>
      </w:pPr>
      <w:r>
        <w:rPr>
          <w:lang w:val="en-AU"/>
        </w:rPr>
        <w:lastRenderedPageBreak/>
        <w:t>Kelly, P.</w:t>
      </w:r>
      <w:r w:rsidR="00586BC4">
        <w:rPr>
          <w:lang w:val="en-AU"/>
        </w:rPr>
        <w:t>,</w:t>
      </w:r>
      <w:r>
        <w:rPr>
          <w:lang w:val="en-AU"/>
        </w:rPr>
        <w:t xml:space="preserve"> </w:t>
      </w:r>
      <w:r w:rsidR="00AE443D">
        <w:rPr>
          <w:lang w:val="en-AU"/>
        </w:rPr>
        <w:t>and</w:t>
      </w:r>
      <w:r>
        <w:rPr>
          <w:lang w:val="en-AU"/>
        </w:rPr>
        <w:t xml:space="preserve"> Stevens, C.</w:t>
      </w:r>
      <w:r w:rsidR="00651C79">
        <w:rPr>
          <w:lang w:val="en-AU"/>
        </w:rPr>
        <w:t xml:space="preserve"> (2009)</w:t>
      </w:r>
      <w:r w:rsidR="008762A8">
        <w:rPr>
          <w:lang w:val="en-AU"/>
        </w:rPr>
        <w:t>,</w:t>
      </w:r>
      <w:r w:rsidR="00517CA7" w:rsidRPr="00C160F2">
        <w:rPr>
          <w:lang w:val="en-AU"/>
        </w:rPr>
        <w:t xml:space="preserve"> </w:t>
      </w:r>
      <w:r w:rsidR="00517CA7" w:rsidRPr="008762A8">
        <w:rPr>
          <w:i/>
          <w:iCs/>
          <w:lang w:val="en-AU"/>
        </w:rPr>
        <w:t>Narrowing the distance: using e-learner support to enhance the student experience</w:t>
      </w:r>
      <w:r w:rsidR="008762A8">
        <w:rPr>
          <w:iCs/>
          <w:lang w:val="en-AU"/>
        </w:rPr>
        <w:t>,</w:t>
      </w:r>
      <w:r w:rsidR="00517CA7" w:rsidRPr="00C160F2">
        <w:rPr>
          <w:i/>
          <w:iCs/>
          <w:lang w:val="en-AU"/>
        </w:rPr>
        <w:t xml:space="preserve"> </w:t>
      </w:r>
      <w:r w:rsidR="00517CA7" w:rsidRPr="008762A8">
        <w:rPr>
          <w:iCs/>
          <w:lang w:val="en-AU"/>
        </w:rPr>
        <w:t>European Journal of Open</w:t>
      </w:r>
      <w:r w:rsidR="001C7C34" w:rsidRPr="008762A8">
        <w:rPr>
          <w:iCs/>
          <w:lang w:val="en-AU"/>
        </w:rPr>
        <w:t>,</w:t>
      </w:r>
      <w:r w:rsidR="00517CA7" w:rsidRPr="008762A8">
        <w:rPr>
          <w:iCs/>
          <w:lang w:val="en-AU"/>
        </w:rPr>
        <w:t xml:space="preserve"> Distance</w:t>
      </w:r>
      <w:r w:rsidR="001C7C34" w:rsidRPr="008762A8">
        <w:rPr>
          <w:iCs/>
          <w:lang w:val="en-AU"/>
        </w:rPr>
        <w:t xml:space="preserve"> and</w:t>
      </w:r>
      <w:r w:rsidR="00517CA7" w:rsidRPr="008762A8">
        <w:rPr>
          <w:iCs/>
          <w:lang w:val="en-AU"/>
        </w:rPr>
        <w:t xml:space="preserve"> </w:t>
      </w:r>
      <w:r w:rsidR="001C7C34" w:rsidRPr="008762A8">
        <w:rPr>
          <w:iCs/>
          <w:lang w:val="en-AU"/>
        </w:rPr>
        <w:t>E-</w:t>
      </w:r>
      <w:r w:rsidR="00517CA7" w:rsidRPr="008762A8">
        <w:rPr>
          <w:iCs/>
          <w:lang w:val="en-AU"/>
        </w:rPr>
        <w:t>Learning</w:t>
      </w:r>
      <w:r w:rsidR="008762A8">
        <w:rPr>
          <w:iCs/>
          <w:lang w:val="en-AU"/>
        </w:rPr>
        <w:t>, r</w:t>
      </w:r>
      <w:r w:rsidR="00BB513B" w:rsidRPr="00C160F2">
        <w:rPr>
          <w:iCs/>
          <w:lang w:val="en-AU"/>
        </w:rPr>
        <w:t xml:space="preserve">etrieved from </w:t>
      </w:r>
      <w:hyperlink r:id="rId74" w:history="1">
        <w:r w:rsidR="00BB513B" w:rsidRPr="00C160F2">
          <w:rPr>
            <w:rStyle w:val="Hyperlink"/>
            <w:iCs/>
            <w:szCs w:val="22"/>
            <w:lang w:val="en-AU"/>
          </w:rPr>
          <w:t>http://www.eurodl.org/materials/contrib/2009/Kelly_Stevens.pdf</w:t>
        </w:r>
      </w:hyperlink>
      <w:r w:rsidR="00BB513B" w:rsidRPr="00C75391">
        <w:rPr>
          <w:color w:val="000000" w:themeColor="text1"/>
        </w:rPr>
        <w:t xml:space="preserve"> </w:t>
      </w:r>
    </w:p>
    <w:p w:rsidR="00517CA7" w:rsidRPr="001E492D" w:rsidRDefault="00517CA7" w:rsidP="008762A8">
      <w:pPr>
        <w:pStyle w:val="BodyText"/>
        <w:rPr>
          <w:lang w:val="en-GB" w:eastAsia="en-GB"/>
        </w:rPr>
      </w:pPr>
      <w:r w:rsidRPr="001E492D">
        <w:rPr>
          <w:lang w:val="en-GB" w:eastAsia="en-GB"/>
        </w:rPr>
        <w:t>Kennedy, G. E., Judd, T. S., Churchwa</w:t>
      </w:r>
      <w:r w:rsidR="00F5620F">
        <w:rPr>
          <w:lang w:val="en-GB" w:eastAsia="en-GB"/>
        </w:rPr>
        <w:t>rd, A., Gray, K.</w:t>
      </w:r>
      <w:r w:rsidR="00586BC4">
        <w:rPr>
          <w:lang w:val="en-GB" w:eastAsia="en-GB"/>
        </w:rPr>
        <w:t>,</w:t>
      </w:r>
      <w:r w:rsidR="00F5620F">
        <w:rPr>
          <w:lang w:val="en-GB" w:eastAsia="en-GB"/>
        </w:rPr>
        <w:t xml:space="preserve"> </w:t>
      </w:r>
      <w:r w:rsidR="00AE443D">
        <w:rPr>
          <w:lang w:val="en-GB" w:eastAsia="en-GB"/>
        </w:rPr>
        <w:t>and</w:t>
      </w:r>
      <w:r w:rsidR="00F5620F">
        <w:rPr>
          <w:lang w:val="en-GB" w:eastAsia="en-GB"/>
        </w:rPr>
        <w:t xml:space="preserve"> Krause K-L</w:t>
      </w:r>
      <w:r w:rsidR="008762A8">
        <w:rPr>
          <w:lang w:val="en-GB" w:eastAsia="en-GB"/>
        </w:rPr>
        <w:t>. (2008),</w:t>
      </w:r>
      <w:r w:rsidRPr="001E492D">
        <w:rPr>
          <w:lang w:val="en-GB" w:eastAsia="en-GB"/>
        </w:rPr>
        <w:t xml:space="preserve"> </w:t>
      </w:r>
      <w:r w:rsidRPr="008762A8">
        <w:rPr>
          <w:i/>
          <w:lang w:val="en-GB" w:eastAsia="en-GB"/>
        </w:rPr>
        <w:t>First year students’ experiences with technology: Are they really digital natives?</w:t>
      </w:r>
      <w:r w:rsidRPr="001E492D">
        <w:rPr>
          <w:i/>
          <w:lang w:val="en-GB" w:eastAsia="en-GB"/>
        </w:rPr>
        <w:t xml:space="preserve"> </w:t>
      </w:r>
      <w:r w:rsidR="001C7C34" w:rsidRPr="008762A8">
        <w:rPr>
          <w:lang w:val="en-GB" w:eastAsia="en-GB"/>
        </w:rPr>
        <w:t>Australasian Journal of Educational Technology, 24(1)</w:t>
      </w:r>
      <w:r w:rsidR="001C7C34" w:rsidRPr="001C7C34">
        <w:rPr>
          <w:lang w:val="en-GB" w:eastAsia="en-GB"/>
        </w:rPr>
        <w:t xml:space="preserve">, </w:t>
      </w:r>
      <w:r w:rsidR="008762A8">
        <w:rPr>
          <w:lang w:val="en-GB" w:eastAsia="en-GB"/>
        </w:rPr>
        <w:t>r</w:t>
      </w:r>
      <w:r w:rsidR="00BB513B" w:rsidRPr="001E492D">
        <w:rPr>
          <w:lang w:val="en-GB" w:eastAsia="en-GB"/>
        </w:rPr>
        <w:t xml:space="preserve">etrieved from </w:t>
      </w:r>
      <w:hyperlink r:id="rId75" w:history="1">
        <w:r w:rsidR="00BB513B" w:rsidRPr="00B94DD2">
          <w:rPr>
            <w:rStyle w:val="Hyperlink"/>
          </w:rPr>
          <w:t>http://www.ascilite.org.au/ajet/ajet24/kennedy.pdf</w:t>
        </w:r>
      </w:hyperlink>
    </w:p>
    <w:p w:rsidR="00517CA7" w:rsidRDefault="00517CA7" w:rsidP="00E96077">
      <w:pPr>
        <w:pStyle w:val="BodyText"/>
        <w:rPr>
          <w:lang w:val="en-GB" w:eastAsia="en-GB"/>
        </w:rPr>
      </w:pPr>
      <w:r w:rsidRPr="00C8385D">
        <w:rPr>
          <w:lang w:val="en-GB" w:eastAsia="en-GB"/>
        </w:rPr>
        <w:t>Khoo, E.</w:t>
      </w:r>
      <w:r w:rsidR="00586BC4">
        <w:rPr>
          <w:lang w:val="en-GB" w:eastAsia="en-GB"/>
        </w:rPr>
        <w:t xml:space="preserve"> </w:t>
      </w:r>
      <w:r w:rsidR="00F5620F">
        <w:rPr>
          <w:lang w:val="en-GB" w:eastAsia="en-GB"/>
        </w:rPr>
        <w:t>G. L.</w:t>
      </w:r>
      <w:r w:rsidRPr="00C8385D">
        <w:rPr>
          <w:lang w:val="en-GB" w:eastAsia="en-GB"/>
        </w:rPr>
        <w:t xml:space="preserve"> (2010)</w:t>
      </w:r>
      <w:r w:rsidR="008762A8">
        <w:rPr>
          <w:lang w:val="en-GB" w:eastAsia="en-GB"/>
        </w:rPr>
        <w:t>,</w:t>
      </w:r>
      <w:r w:rsidRPr="00C8385D">
        <w:rPr>
          <w:lang w:val="en-GB" w:eastAsia="en-GB"/>
        </w:rPr>
        <w:t xml:space="preserve"> </w:t>
      </w:r>
      <w:r w:rsidRPr="00AE0CA7">
        <w:rPr>
          <w:i/>
          <w:lang w:val="en-GB" w:eastAsia="en-GB"/>
        </w:rPr>
        <w:t>Developing an online learning community: A strategy for improving lecturer and student learning experiences</w:t>
      </w:r>
      <w:r w:rsidR="008762A8">
        <w:rPr>
          <w:lang w:val="en-GB" w:eastAsia="en-GB"/>
        </w:rPr>
        <w:t xml:space="preserve">, Doctoral thesis, </w:t>
      </w:r>
      <w:r w:rsidR="001C7C34">
        <w:rPr>
          <w:lang w:val="en-GB" w:eastAsia="en-GB"/>
        </w:rPr>
        <w:t>University of Waikato,</w:t>
      </w:r>
      <w:r w:rsidR="001C7C34" w:rsidRPr="00C8385D">
        <w:rPr>
          <w:lang w:val="en-GB" w:eastAsia="en-GB"/>
        </w:rPr>
        <w:t xml:space="preserve"> </w:t>
      </w:r>
      <w:r w:rsidRPr="00C8385D">
        <w:rPr>
          <w:lang w:val="en-GB" w:eastAsia="en-GB"/>
        </w:rPr>
        <w:t>Hamilton, New Zealand</w:t>
      </w:r>
      <w:r w:rsidR="008762A8">
        <w:rPr>
          <w:lang w:val="en-GB" w:eastAsia="en-GB"/>
        </w:rPr>
        <w:t>, r</w:t>
      </w:r>
      <w:r w:rsidR="00BB513B">
        <w:rPr>
          <w:lang w:val="en-GB" w:eastAsia="en-GB"/>
        </w:rPr>
        <w:t xml:space="preserve">etrieved from </w:t>
      </w:r>
      <w:hyperlink r:id="rId76" w:history="1">
        <w:r w:rsidR="00BB513B" w:rsidRPr="00F93D7A">
          <w:rPr>
            <w:rStyle w:val="Hyperlink"/>
            <w:szCs w:val="22"/>
            <w:lang w:val="en-GB" w:eastAsia="en-GB"/>
          </w:rPr>
          <w:t>http://researchcommons.waikato.ac.nz/bitstream/10289/3961/1/thesis.pdf</w:t>
        </w:r>
      </w:hyperlink>
      <w:r w:rsidR="00BB513B">
        <w:rPr>
          <w:lang w:val="en-GB" w:eastAsia="en-GB"/>
        </w:rPr>
        <w:t xml:space="preserve"> </w:t>
      </w:r>
    </w:p>
    <w:p w:rsidR="00517CA7" w:rsidRDefault="00F5620F" w:rsidP="00E96077">
      <w:pPr>
        <w:pStyle w:val="BodyText"/>
        <w:rPr>
          <w:lang w:val="en-GB" w:eastAsia="en-GB"/>
        </w:rPr>
      </w:pPr>
      <w:r w:rsidRPr="004670AE">
        <w:rPr>
          <w:lang w:val="en-GB" w:eastAsia="en-GB"/>
        </w:rPr>
        <w:t>Kickul, G.</w:t>
      </w:r>
      <w:r w:rsidR="00586BC4" w:rsidRPr="004670AE">
        <w:rPr>
          <w:lang w:val="en-GB" w:eastAsia="en-GB"/>
        </w:rPr>
        <w:t>,</w:t>
      </w:r>
      <w:r w:rsidRPr="004670AE">
        <w:rPr>
          <w:lang w:val="en-GB" w:eastAsia="en-GB"/>
        </w:rPr>
        <w:t xml:space="preserve"> </w:t>
      </w:r>
      <w:r w:rsidR="000A1A2D">
        <w:rPr>
          <w:lang w:val="en-GB" w:eastAsia="en-GB"/>
        </w:rPr>
        <w:t>and</w:t>
      </w:r>
      <w:r w:rsidRPr="004670AE">
        <w:rPr>
          <w:lang w:val="en-GB" w:eastAsia="en-GB"/>
        </w:rPr>
        <w:t xml:space="preserve"> Kickul, J.</w:t>
      </w:r>
      <w:r w:rsidR="007F5CCC" w:rsidRPr="004670AE">
        <w:rPr>
          <w:lang w:val="en-GB" w:eastAsia="en-GB"/>
        </w:rPr>
        <w:t xml:space="preserve"> (2006)</w:t>
      </w:r>
      <w:r w:rsidR="008762A8">
        <w:rPr>
          <w:lang w:val="en-GB" w:eastAsia="en-GB"/>
        </w:rPr>
        <w:t>,</w:t>
      </w:r>
      <w:r w:rsidR="00517CA7" w:rsidRPr="004670AE">
        <w:rPr>
          <w:lang w:val="en-GB" w:eastAsia="en-GB"/>
        </w:rPr>
        <w:t xml:space="preserve"> </w:t>
      </w:r>
      <w:r w:rsidRPr="008762A8">
        <w:rPr>
          <w:i/>
          <w:lang w:val="en-GB" w:eastAsia="en-GB"/>
        </w:rPr>
        <w:t>Closing the gap: i</w:t>
      </w:r>
      <w:r w:rsidR="00517CA7" w:rsidRPr="008762A8">
        <w:rPr>
          <w:i/>
          <w:lang w:val="en-GB" w:eastAsia="en-GB"/>
        </w:rPr>
        <w:t>m</w:t>
      </w:r>
      <w:r w:rsidRPr="008762A8">
        <w:rPr>
          <w:i/>
          <w:lang w:val="en-GB" w:eastAsia="en-GB"/>
        </w:rPr>
        <w:t>pact of s</w:t>
      </w:r>
      <w:r w:rsidR="00517CA7" w:rsidRPr="008762A8">
        <w:rPr>
          <w:i/>
          <w:lang w:val="en-GB" w:eastAsia="en-GB"/>
        </w:rPr>
        <w:t xml:space="preserve">tudent </w:t>
      </w:r>
      <w:r w:rsidRPr="008762A8">
        <w:rPr>
          <w:i/>
          <w:lang w:eastAsia="en-GB"/>
        </w:rPr>
        <w:t>p</w:t>
      </w:r>
      <w:r w:rsidR="00517CA7" w:rsidRPr="008762A8">
        <w:rPr>
          <w:i/>
          <w:lang w:eastAsia="en-GB"/>
        </w:rPr>
        <w:t>roactivity</w:t>
      </w:r>
      <w:r w:rsidRPr="008762A8">
        <w:rPr>
          <w:i/>
          <w:lang w:val="en-GB" w:eastAsia="en-GB"/>
        </w:rPr>
        <w:t xml:space="preserve"> and learning goal o</w:t>
      </w:r>
      <w:r w:rsidR="00517CA7" w:rsidRPr="008762A8">
        <w:rPr>
          <w:i/>
          <w:lang w:val="en-GB" w:eastAsia="en-GB"/>
        </w:rPr>
        <w:t xml:space="preserve">rientation on </w:t>
      </w:r>
      <w:r w:rsidR="005B6DB9" w:rsidRPr="008762A8">
        <w:rPr>
          <w:i/>
          <w:lang w:val="en-GB" w:eastAsia="en-GB"/>
        </w:rPr>
        <w:t>e-l</w:t>
      </w:r>
      <w:r w:rsidRPr="008762A8">
        <w:rPr>
          <w:i/>
          <w:lang w:val="en-GB" w:eastAsia="en-GB"/>
        </w:rPr>
        <w:t>earning o</w:t>
      </w:r>
      <w:r w:rsidR="00517CA7" w:rsidRPr="008762A8">
        <w:rPr>
          <w:i/>
          <w:lang w:val="en-GB" w:eastAsia="en-GB"/>
        </w:rPr>
        <w:t>utcomes</w:t>
      </w:r>
      <w:r w:rsidR="008762A8">
        <w:rPr>
          <w:lang w:val="en-GB" w:eastAsia="en-GB"/>
        </w:rPr>
        <w:t>,</w:t>
      </w:r>
      <w:r w:rsidR="00517CA7" w:rsidRPr="00C160F2">
        <w:rPr>
          <w:lang w:val="en-GB" w:eastAsia="en-GB"/>
        </w:rPr>
        <w:t xml:space="preserve"> </w:t>
      </w:r>
      <w:r w:rsidR="00517CA7" w:rsidRPr="008762A8">
        <w:rPr>
          <w:lang w:val="en-GB" w:eastAsia="en-GB"/>
        </w:rPr>
        <w:t>International Journal on</w:t>
      </w:r>
      <w:r w:rsidR="00D64D20" w:rsidRPr="008762A8">
        <w:rPr>
          <w:lang w:val="en-GB" w:eastAsia="en-GB"/>
        </w:rPr>
        <w:t xml:space="preserve"> </w:t>
      </w:r>
      <w:r w:rsidR="00517CA7" w:rsidRPr="008762A8">
        <w:rPr>
          <w:lang w:val="en-GB" w:eastAsia="en-GB"/>
        </w:rPr>
        <w:t>E-Learning</w:t>
      </w:r>
      <w:r w:rsidRPr="008762A8">
        <w:rPr>
          <w:lang w:val="en-GB" w:eastAsia="en-GB"/>
        </w:rPr>
        <w:t>, 5(3)</w:t>
      </w:r>
    </w:p>
    <w:p w:rsidR="00517CA7" w:rsidRPr="00C160F2" w:rsidRDefault="007F5CCC" w:rsidP="00E96077">
      <w:pPr>
        <w:pStyle w:val="BodyText"/>
        <w:rPr>
          <w:lang w:val="en-AU"/>
        </w:rPr>
      </w:pPr>
      <w:r>
        <w:rPr>
          <w:lang w:val="en-GB" w:eastAsia="en-GB"/>
        </w:rPr>
        <w:t>Kushnir, L. P.</w:t>
      </w:r>
      <w:r w:rsidR="008762A8">
        <w:rPr>
          <w:lang w:val="en-GB" w:eastAsia="en-GB"/>
        </w:rPr>
        <w:t xml:space="preserve"> (2009),</w:t>
      </w:r>
      <w:r w:rsidR="00517CA7" w:rsidRPr="00C160F2">
        <w:rPr>
          <w:lang w:val="en-GB" w:eastAsia="en-GB"/>
        </w:rPr>
        <w:t xml:space="preserve"> </w:t>
      </w:r>
      <w:r w:rsidR="00F5620F" w:rsidRPr="008762A8">
        <w:rPr>
          <w:i/>
          <w:iCs/>
          <w:lang w:val="en-GB" w:eastAsia="en-GB"/>
        </w:rPr>
        <w:t>When knowing more means knowing less: understanding the impact of computer e</w:t>
      </w:r>
      <w:r w:rsidR="00517CA7" w:rsidRPr="008762A8">
        <w:rPr>
          <w:i/>
          <w:iCs/>
          <w:lang w:val="en-GB" w:eastAsia="en-GB"/>
        </w:rPr>
        <w:t>xperienc</w:t>
      </w:r>
      <w:r w:rsidR="004E259D" w:rsidRPr="008762A8">
        <w:rPr>
          <w:i/>
          <w:iCs/>
          <w:lang w:val="en-GB" w:eastAsia="en-GB"/>
        </w:rPr>
        <w:t>e on e-learning and e-l</w:t>
      </w:r>
      <w:r w:rsidR="00F5620F" w:rsidRPr="008762A8">
        <w:rPr>
          <w:i/>
          <w:iCs/>
          <w:lang w:val="en-GB" w:eastAsia="en-GB"/>
        </w:rPr>
        <w:t>earning o</w:t>
      </w:r>
      <w:r w:rsidR="00517CA7" w:rsidRPr="008762A8">
        <w:rPr>
          <w:i/>
          <w:iCs/>
          <w:lang w:val="en-GB" w:eastAsia="en-GB"/>
        </w:rPr>
        <w:t>utcomes</w:t>
      </w:r>
      <w:r w:rsidR="008762A8">
        <w:rPr>
          <w:iCs/>
          <w:lang w:val="en-GB" w:eastAsia="en-GB"/>
        </w:rPr>
        <w:t>,</w:t>
      </w:r>
      <w:r w:rsidR="00517CA7" w:rsidRPr="00C160F2">
        <w:rPr>
          <w:iCs/>
          <w:lang w:val="en-GB" w:eastAsia="en-GB"/>
        </w:rPr>
        <w:t xml:space="preserve"> </w:t>
      </w:r>
      <w:r w:rsidR="00517CA7" w:rsidRPr="008762A8">
        <w:rPr>
          <w:iCs/>
          <w:lang w:val="en-GB" w:eastAsia="en-GB"/>
        </w:rPr>
        <w:t>Electronic Journal of e-Learning, 7</w:t>
      </w:r>
      <w:r w:rsidR="00690A8B" w:rsidRPr="008762A8">
        <w:rPr>
          <w:iCs/>
          <w:lang w:val="en-GB" w:eastAsia="en-GB"/>
        </w:rPr>
        <w:t>(</w:t>
      </w:r>
      <w:r w:rsidR="00517CA7" w:rsidRPr="008762A8">
        <w:rPr>
          <w:iCs/>
          <w:lang w:val="en-GB" w:eastAsia="en-GB"/>
        </w:rPr>
        <w:t>3</w:t>
      </w:r>
      <w:r w:rsidR="00690A8B" w:rsidRPr="008762A8">
        <w:rPr>
          <w:iCs/>
          <w:lang w:val="en-GB" w:eastAsia="en-GB"/>
        </w:rPr>
        <w:t>)</w:t>
      </w:r>
      <w:r w:rsidR="00517CA7" w:rsidRPr="00C160F2">
        <w:rPr>
          <w:iCs/>
          <w:lang w:val="en-GB" w:eastAsia="en-GB"/>
        </w:rPr>
        <w:t xml:space="preserve">  </w:t>
      </w:r>
    </w:p>
    <w:p w:rsidR="00517CA7" w:rsidRPr="00A0161D" w:rsidRDefault="00F5620F" w:rsidP="008762A8">
      <w:pPr>
        <w:pStyle w:val="BodyText"/>
        <w:rPr>
          <w:lang w:val="en-AU"/>
        </w:rPr>
      </w:pPr>
      <w:r>
        <w:rPr>
          <w:lang w:val="en-GB" w:eastAsia="en-GB"/>
        </w:rPr>
        <w:t>Ladyshewsky, R. K.</w:t>
      </w:r>
      <w:r w:rsidR="00517CA7" w:rsidRPr="00C160F2">
        <w:rPr>
          <w:lang w:val="en-GB" w:eastAsia="en-GB"/>
        </w:rPr>
        <w:t xml:space="preserve"> (2004), </w:t>
      </w:r>
      <w:r w:rsidR="00517CA7" w:rsidRPr="00F5620F">
        <w:rPr>
          <w:iCs/>
          <w:lang w:val="en-GB" w:eastAsia="en-GB"/>
        </w:rPr>
        <w:t>E</w:t>
      </w:r>
      <w:r w:rsidR="00517CA7" w:rsidRPr="008762A8">
        <w:rPr>
          <w:i/>
          <w:iCs/>
          <w:lang w:val="en-GB" w:eastAsia="en-GB"/>
        </w:rPr>
        <w:t>-learni</w:t>
      </w:r>
      <w:r w:rsidR="00AC5BCD" w:rsidRPr="008762A8">
        <w:rPr>
          <w:i/>
          <w:iCs/>
          <w:lang w:val="en-GB" w:eastAsia="en-GB"/>
        </w:rPr>
        <w:t>ng compared with face to face: d</w:t>
      </w:r>
      <w:r w:rsidR="00517CA7" w:rsidRPr="008762A8">
        <w:rPr>
          <w:i/>
          <w:iCs/>
          <w:lang w:val="en-GB" w:eastAsia="en-GB"/>
        </w:rPr>
        <w:t>ifferences in the academic achievement of postgraduate business students</w:t>
      </w:r>
      <w:r w:rsidR="008762A8">
        <w:rPr>
          <w:iCs/>
          <w:lang w:val="en-GB" w:eastAsia="en-GB"/>
        </w:rPr>
        <w:t>,</w:t>
      </w:r>
      <w:r w:rsidR="00517CA7" w:rsidRPr="00C160F2">
        <w:rPr>
          <w:i/>
          <w:iCs/>
          <w:lang w:val="en-GB" w:eastAsia="en-GB"/>
        </w:rPr>
        <w:t xml:space="preserve"> </w:t>
      </w:r>
      <w:r w:rsidR="00517CA7" w:rsidRPr="008762A8">
        <w:rPr>
          <w:iCs/>
          <w:lang w:val="en-GB" w:eastAsia="en-GB"/>
        </w:rPr>
        <w:t>Australasian Journal of Educational Technology, 20</w:t>
      </w:r>
      <w:r w:rsidR="00690A8B" w:rsidRPr="008762A8">
        <w:rPr>
          <w:iCs/>
          <w:lang w:val="en-GB" w:eastAsia="en-GB"/>
        </w:rPr>
        <w:t>(</w:t>
      </w:r>
      <w:r w:rsidR="00517CA7" w:rsidRPr="008762A8">
        <w:rPr>
          <w:iCs/>
          <w:lang w:val="en-GB" w:eastAsia="en-GB"/>
        </w:rPr>
        <w:t>3</w:t>
      </w:r>
      <w:r w:rsidR="00690A8B" w:rsidRPr="008762A8">
        <w:rPr>
          <w:iCs/>
          <w:lang w:val="en-GB" w:eastAsia="en-GB"/>
        </w:rPr>
        <w:t>)</w:t>
      </w:r>
      <w:r w:rsidR="008762A8">
        <w:rPr>
          <w:iCs/>
          <w:lang w:val="en-GB" w:eastAsia="en-GB"/>
        </w:rPr>
        <w:t>, r</w:t>
      </w:r>
      <w:r w:rsidR="00BB513B" w:rsidRPr="00C160F2">
        <w:rPr>
          <w:iCs/>
          <w:lang w:val="en-GB" w:eastAsia="en-GB"/>
        </w:rPr>
        <w:t xml:space="preserve">etrieved from </w:t>
      </w:r>
      <w:hyperlink r:id="rId77" w:history="1">
        <w:r w:rsidR="00BB513B" w:rsidRPr="00C160F2">
          <w:rPr>
            <w:rStyle w:val="Hyperlink"/>
            <w:iCs/>
            <w:szCs w:val="22"/>
            <w:lang w:val="en-GB" w:eastAsia="en-GB"/>
          </w:rPr>
          <w:t>http://www.ascilite.org.au/ajet/ajet20/ladyshewsky.html</w:t>
        </w:r>
      </w:hyperlink>
    </w:p>
    <w:p w:rsidR="00517CA7" w:rsidRDefault="00517CA7" w:rsidP="008762A8">
      <w:pPr>
        <w:pStyle w:val="BodyText"/>
        <w:rPr>
          <w:lang w:val="en-AU"/>
        </w:rPr>
      </w:pPr>
      <w:r w:rsidRPr="00A0161D">
        <w:rPr>
          <w:lang w:val="en-AU"/>
        </w:rPr>
        <w:t xml:space="preserve">Lamond, H., </w:t>
      </w:r>
      <w:r w:rsidR="000A1A2D">
        <w:rPr>
          <w:lang w:val="en-AU"/>
        </w:rPr>
        <w:t>and</w:t>
      </w:r>
      <w:r w:rsidRPr="00A0161D">
        <w:rPr>
          <w:lang w:val="en-AU"/>
        </w:rPr>
        <w:t xml:space="preserve"> White, B. (2008)</w:t>
      </w:r>
      <w:r w:rsidR="008762A8">
        <w:rPr>
          <w:lang w:val="en-AU"/>
        </w:rPr>
        <w:t>,</w:t>
      </w:r>
      <w:r w:rsidRPr="00A0161D">
        <w:rPr>
          <w:lang w:val="en-AU"/>
        </w:rPr>
        <w:t xml:space="preserve"> </w:t>
      </w:r>
      <w:r w:rsidRPr="00504695">
        <w:rPr>
          <w:i/>
          <w:lang w:val="en-AU"/>
        </w:rPr>
        <w:t>Issues in equivalence: Information literacy and the distance student</w:t>
      </w:r>
      <w:r w:rsidR="00846800" w:rsidRPr="008762A8">
        <w:rPr>
          <w:lang w:val="en-AU"/>
        </w:rPr>
        <w:t>.</w:t>
      </w:r>
      <w:r w:rsidRPr="00A0161D">
        <w:rPr>
          <w:lang w:val="en-AU"/>
        </w:rPr>
        <w:t xml:space="preserve"> </w:t>
      </w:r>
      <w:r w:rsidR="00846800">
        <w:rPr>
          <w:lang w:val="en-AU"/>
        </w:rPr>
        <w:t>P</w:t>
      </w:r>
      <w:r w:rsidRPr="00A0161D">
        <w:rPr>
          <w:lang w:val="en-AU"/>
        </w:rPr>
        <w:t xml:space="preserve">aper presented at the Distance Education Association </w:t>
      </w:r>
      <w:r w:rsidR="001F153E">
        <w:rPr>
          <w:lang w:val="en-AU"/>
        </w:rPr>
        <w:t xml:space="preserve">of New Zealand </w:t>
      </w:r>
      <w:r w:rsidRPr="00A0161D">
        <w:rPr>
          <w:lang w:val="en-AU"/>
        </w:rPr>
        <w:t>Conference, Wellington, New Zealand</w:t>
      </w:r>
      <w:r w:rsidR="008762A8">
        <w:rPr>
          <w:lang w:val="en-AU"/>
        </w:rPr>
        <w:t>, r</w:t>
      </w:r>
      <w:r w:rsidR="00BB513B">
        <w:rPr>
          <w:lang w:val="en-AU"/>
        </w:rPr>
        <w:t xml:space="preserve">etrieved from </w:t>
      </w:r>
      <w:hyperlink r:id="rId78" w:history="1">
        <w:r w:rsidR="00BB513B" w:rsidRPr="00C847A0">
          <w:rPr>
            <w:rStyle w:val="Hyperlink"/>
            <w:szCs w:val="22"/>
            <w:lang w:val="en-AU"/>
          </w:rPr>
          <w:t>http://mro.massey.ac.nz/bitstream/handle/10179/680/DEANZ08White_Lamond.pdf?sequence=3</w:t>
        </w:r>
      </w:hyperlink>
      <w:r w:rsidR="00BB513B">
        <w:rPr>
          <w:lang w:val="en-AU"/>
        </w:rPr>
        <w:t xml:space="preserve"> </w:t>
      </w:r>
    </w:p>
    <w:p w:rsidR="00517CA7" w:rsidRDefault="00517CA7" w:rsidP="008762A8">
      <w:pPr>
        <w:pStyle w:val="BodyText"/>
        <w:rPr>
          <w:lang w:val="en-AU"/>
        </w:rPr>
      </w:pPr>
      <w:r w:rsidRPr="00C160F2">
        <w:rPr>
          <w:lang w:val="en-AU"/>
        </w:rPr>
        <w:t>Levy, Y. (2007)</w:t>
      </w:r>
      <w:r w:rsidR="008762A8">
        <w:rPr>
          <w:lang w:val="en-AU"/>
        </w:rPr>
        <w:t>,</w:t>
      </w:r>
      <w:r w:rsidRPr="00C160F2">
        <w:rPr>
          <w:i/>
          <w:iCs/>
          <w:lang w:val="en-AU"/>
        </w:rPr>
        <w:t xml:space="preserve"> </w:t>
      </w:r>
      <w:r w:rsidRPr="008762A8">
        <w:rPr>
          <w:i/>
          <w:iCs/>
          <w:lang w:val="en-AU"/>
        </w:rPr>
        <w:t>Comparing dropouts and persistence in e-learning courses</w:t>
      </w:r>
      <w:r w:rsidR="008762A8">
        <w:rPr>
          <w:lang w:val="en-AU"/>
        </w:rPr>
        <w:t>,</w:t>
      </w:r>
      <w:r w:rsidRPr="00C160F2">
        <w:rPr>
          <w:lang w:val="en-AU"/>
        </w:rPr>
        <w:t xml:space="preserve"> </w:t>
      </w:r>
      <w:r w:rsidRPr="008762A8">
        <w:rPr>
          <w:lang w:val="en-AU"/>
        </w:rPr>
        <w:t>Computers and Education, 48</w:t>
      </w:r>
      <w:r w:rsidR="00690A8B" w:rsidRPr="008762A8">
        <w:rPr>
          <w:lang w:val="en-AU"/>
        </w:rPr>
        <w:t>(</w:t>
      </w:r>
      <w:r w:rsidRPr="008762A8">
        <w:rPr>
          <w:lang w:val="en-AU"/>
        </w:rPr>
        <w:t>2</w:t>
      </w:r>
      <w:r w:rsidR="00690A8B" w:rsidRPr="008762A8">
        <w:rPr>
          <w:lang w:val="en-AU"/>
        </w:rPr>
        <w:t>)</w:t>
      </w:r>
      <w:r w:rsidRPr="008762A8">
        <w:rPr>
          <w:lang w:val="en-AU"/>
        </w:rPr>
        <w:t>,</w:t>
      </w:r>
      <w:r w:rsidRPr="00196377">
        <w:rPr>
          <w:lang w:val="en-AU"/>
        </w:rPr>
        <w:t xml:space="preserve"> </w:t>
      </w:r>
      <w:r w:rsidR="008762A8">
        <w:rPr>
          <w:lang w:val="en-AU"/>
        </w:rPr>
        <w:t>r</w:t>
      </w:r>
      <w:r w:rsidR="00BB513B">
        <w:rPr>
          <w:lang w:val="en-AU"/>
        </w:rPr>
        <w:t xml:space="preserve">etrieved from </w:t>
      </w:r>
      <w:hyperlink r:id="rId79" w:history="1">
        <w:r w:rsidR="00BB513B" w:rsidRPr="008468D6">
          <w:rPr>
            <w:rStyle w:val="Hyperlink"/>
            <w:lang w:val="en-AU"/>
          </w:rPr>
          <w:t>http://www.qou.edu/english/scientificResearch/eLearningResearchs/eLDropout.pdf</w:t>
        </w:r>
      </w:hyperlink>
      <w:r w:rsidR="00BB513B">
        <w:rPr>
          <w:lang w:val="en-AU"/>
        </w:rPr>
        <w:t xml:space="preserve"> </w:t>
      </w:r>
    </w:p>
    <w:p w:rsidR="00517CA7" w:rsidRDefault="004B40C1" w:rsidP="008762A8">
      <w:pPr>
        <w:pStyle w:val="BodyText"/>
      </w:pPr>
      <w:r>
        <w:rPr>
          <w:lang w:val="en-GB" w:eastAsia="en-GB"/>
        </w:rPr>
        <w:t xml:space="preserve">Locke, T., </w:t>
      </w:r>
      <w:r w:rsidR="000A1A2D">
        <w:rPr>
          <w:lang w:val="en-GB" w:eastAsia="en-GB"/>
        </w:rPr>
        <w:t>and</w:t>
      </w:r>
      <w:r>
        <w:rPr>
          <w:lang w:val="en-GB" w:eastAsia="en-GB"/>
        </w:rPr>
        <w:t xml:space="preserve"> Daly, N.</w:t>
      </w:r>
      <w:r w:rsidR="007F5CCC">
        <w:rPr>
          <w:lang w:val="en-GB" w:eastAsia="en-GB"/>
        </w:rPr>
        <w:t xml:space="preserve"> (2006)</w:t>
      </w:r>
      <w:r w:rsidR="008762A8">
        <w:rPr>
          <w:lang w:val="en-GB" w:eastAsia="en-GB"/>
        </w:rPr>
        <w:t>,</w:t>
      </w:r>
      <w:r w:rsidR="00517CA7" w:rsidRPr="00C160F2">
        <w:rPr>
          <w:lang w:val="en-GB" w:eastAsia="en-GB"/>
        </w:rPr>
        <w:t xml:space="preserve"> </w:t>
      </w:r>
      <w:r w:rsidRPr="008762A8">
        <w:rPr>
          <w:i/>
          <w:iCs/>
          <w:lang w:val="en-GB" w:eastAsia="en-GB"/>
        </w:rPr>
        <w:t xml:space="preserve">Politeness and </w:t>
      </w:r>
      <w:r w:rsidR="00E47C02" w:rsidRPr="008762A8">
        <w:rPr>
          <w:i/>
          <w:iCs/>
          <w:lang w:val="en-GB" w:eastAsia="en-GB"/>
        </w:rPr>
        <w:t>face in digitally reconfigured e</w:t>
      </w:r>
      <w:r w:rsidRPr="008762A8">
        <w:rPr>
          <w:i/>
          <w:iCs/>
          <w:lang w:val="en-GB" w:eastAsia="en-GB"/>
        </w:rPr>
        <w:t>-learning s</w:t>
      </w:r>
      <w:r w:rsidR="00517CA7" w:rsidRPr="008762A8">
        <w:rPr>
          <w:i/>
          <w:iCs/>
          <w:lang w:val="en-GB" w:eastAsia="en-GB"/>
        </w:rPr>
        <w:t>paces</w:t>
      </w:r>
      <w:r w:rsidR="008762A8">
        <w:rPr>
          <w:lang w:val="en-GB" w:eastAsia="en-GB"/>
        </w:rPr>
        <w:t xml:space="preserve">, </w:t>
      </w:r>
      <w:r w:rsidR="004E259D" w:rsidRPr="008762A8">
        <w:rPr>
          <w:lang w:val="en-GB" w:eastAsia="en-GB"/>
        </w:rPr>
        <w:t>Studies A</w:t>
      </w:r>
      <w:r w:rsidR="00A20A24" w:rsidRPr="008762A8">
        <w:rPr>
          <w:lang w:val="en-GB" w:eastAsia="en-GB"/>
        </w:rPr>
        <w:t xml:space="preserve">bout </w:t>
      </w:r>
      <w:r w:rsidR="004E259D" w:rsidRPr="008762A8">
        <w:rPr>
          <w:lang w:val="en-GB" w:eastAsia="en-GB"/>
        </w:rPr>
        <w:t>L</w:t>
      </w:r>
      <w:r w:rsidR="00517CA7" w:rsidRPr="008762A8">
        <w:rPr>
          <w:lang w:val="en-GB" w:eastAsia="en-GB"/>
        </w:rPr>
        <w:t>anguages</w:t>
      </w:r>
      <w:r w:rsidR="00517CA7">
        <w:rPr>
          <w:lang w:val="en-GB" w:eastAsia="en-GB"/>
        </w:rPr>
        <w:t xml:space="preserve"> </w:t>
      </w:r>
      <w:r w:rsidR="00A20A24">
        <w:rPr>
          <w:lang w:val="en-GB" w:eastAsia="en-GB"/>
        </w:rPr>
        <w:t>(</w:t>
      </w:r>
      <w:r w:rsidR="00517CA7">
        <w:rPr>
          <w:lang w:val="en-GB" w:eastAsia="en-GB"/>
        </w:rPr>
        <w:t>K</w:t>
      </w:r>
      <w:r w:rsidR="00517CA7" w:rsidRPr="00C160F2">
        <w:rPr>
          <w:lang w:val="en-GB" w:eastAsia="en-GB"/>
        </w:rPr>
        <w:t xml:space="preserve">albu </w:t>
      </w:r>
      <w:r w:rsidR="008762A8" w:rsidRPr="00A20A24">
        <w:rPr>
          <w:lang w:val="en-GB" w:eastAsia="en-GB"/>
        </w:rPr>
        <w:t>Studi</w:t>
      </w:r>
      <w:r w:rsidR="0092662E">
        <w:rPr>
          <w:lang w:val="en-GB" w:eastAsia="en-GB"/>
        </w:rPr>
        <w:t>j</w:t>
      </w:r>
      <w:r w:rsidR="008762A8">
        <w:rPr>
          <w:lang w:val="en-GB" w:eastAsia="en-GB"/>
        </w:rPr>
        <w:t>o</w:t>
      </w:r>
      <w:r w:rsidR="008762A8" w:rsidRPr="00A20A24">
        <w:rPr>
          <w:lang w:val="en-GB" w:eastAsia="en-GB"/>
        </w:rPr>
        <w:t>s</w:t>
      </w:r>
      <w:r w:rsidR="00A20A24">
        <w:rPr>
          <w:lang w:val="en-GB" w:eastAsia="en-GB"/>
        </w:rPr>
        <w:t>)</w:t>
      </w:r>
      <w:r w:rsidR="00517CA7" w:rsidRPr="00C160F2">
        <w:rPr>
          <w:lang w:val="en-GB" w:eastAsia="en-GB"/>
        </w:rPr>
        <w:t xml:space="preserve">, </w:t>
      </w:r>
      <w:r w:rsidR="00517CA7" w:rsidRPr="008762A8">
        <w:rPr>
          <w:lang w:val="en-GB" w:eastAsia="en-GB"/>
        </w:rPr>
        <w:t>8</w:t>
      </w:r>
      <w:r w:rsidR="008762A8">
        <w:rPr>
          <w:lang w:val="en-GB" w:eastAsia="en-GB"/>
        </w:rPr>
        <w:t>, r</w:t>
      </w:r>
      <w:r w:rsidR="00BB513B" w:rsidRPr="00C160F2">
        <w:rPr>
          <w:lang w:val="en-GB" w:eastAsia="en-GB"/>
        </w:rPr>
        <w:t xml:space="preserve">etrieved from </w:t>
      </w:r>
      <w:hyperlink r:id="rId80" w:history="1">
        <w:r w:rsidR="00BB513B" w:rsidRPr="00C160F2">
          <w:rPr>
            <w:rStyle w:val="Hyperlink"/>
            <w:szCs w:val="22"/>
            <w:lang w:val="en-GB" w:eastAsia="en-GB"/>
          </w:rPr>
          <w:t>http://researchcommons.waikato.ac.nz/bitstream/10289/3295/1/CEEOL_Article1.pdf</w:t>
        </w:r>
      </w:hyperlink>
    </w:p>
    <w:p w:rsidR="00517CA7" w:rsidRPr="00C160F2" w:rsidRDefault="00517CA7" w:rsidP="00E96077">
      <w:pPr>
        <w:pStyle w:val="BodyText"/>
        <w:rPr>
          <w:iCs/>
          <w:lang w:val="en-GB" w:eastAsia="en-GB"/>
        </w:rPr>
      </w:pPr>
      <w:r w:rsidRPr="008F58AB">
        <w:rPr>
          <w:iCs/>
          <w:lang w:val="en-GB" w:eastAsia="en-GB"/>
        </w:rPr>
        <w:t>Loke, S</w:t>
      </w:r>
      <w:r>
        <w:rPr>
          <w:iCs/>
          <w:lang w:val="en-GB" w:eastAsia="en-GB"/>
        </w:rPr>
        <w:t>-</w:t>
      </w:r>
      <w:r w:rsidRPr="008F58AB">
        <w:rPr>
          <w:iCs/>
          <w:lang w:val="en-GB" w:eastAsia="en-GB"/>
        </w:rPr>
        <w:t xml:space="preserve">K., Lokman, M., Winikoff, M., McDonald, J., Wass, R., Purvis, M., Zeng, R., Matthaei, C., </w:t>
      </w:r>
      <w:r w:rsidR="00AE443D">
        <w:rPr>
          <w:iCs/>
          <w:lang w:val="en-GB" w:eastAsia="en-GB"/>
        </w:rPr>
        <w:t>and</w:t>
      </w:r>
      <w:r w:rsidRPr="008F58AB">
        <w:rPr>
          <w:iCs/>
          <w:lang w:val="en-GB" w:eastAsia="en-GB"/>
        </w:rPr>
        <w:t xml:space="preserve"> Vlugter, P</w:t>
      </w:r>
      <w:r w:rsidR="00AE443D">
        <w:rPr>
          <w:iCs/>
          <w:lang w:val="en-GB" w:eastAsia="en-GB"/>
        </w:rPr>
        <w:t>.</w:t>
      </w:r>
      <w:r w:rsidRPr="008F58AB">
        <w:rPr>
          <w:iCs/>
          <w:lang w:val="en-GB" w:eastAsia="en-GB"/>
        </w:rPr>
        <w:t xml:space="preserve"> (2010</w:t>
      </w:r>
      <w:r w:rsidR="007F5CCC">
        <w:rPr>
          <w:iCs/>
          <w:lang w:val="en-GB" w:eastAsia="en-GB"/>
        </w:rPr>
        <w:t>)</w:t>
      </w:r>
      <w:r w:rsidR="000A1A2D">
        <w:rPr>
          <w:iCs/>
          <w:lang w:val="en-GB" w:eastAsia="en-GB"/>
        </w:rPr>
        <w:t>,</w:t>
      </w:r>
      <w:r w:rsidRPr="008F58AB">
        <w:rPr>
          <w:iCs/>
          <w:lang w:val="en-GB" w:eastAsia="en-GB"/>
        </w:rPr>
        <w:t xml:space="preserve"> </w:t>
      </w:r>
      <w:r w:rsidRPr="00977820">
        <w:rPr>
          <w:i/>
          <w:iCs/>
          <w:lang w:val="en-GB" w:eastAsia="en-GB"/>
        </w:rPr>
        <w:t>Lessons in designing sustainable mobile learning environments</w:t>
      </w:r>
      <w:r w:rsidR="00846800">
        <w:rPr>
          <w:iCs/>
          <w:lang w:val="en-GB" w:eastAsia="en-GB"/>
        </w:rPr>
        <w:t xml:space="preserve">. </w:t>
      </w:r>
      <w:r w:rsidR="001A36C8">
        <w:rPr>
          <w:lang w:val="en-GB" w:eastAsia="en-GB"/>
        </w:rPr>
        <w:t>P</w:t>
      </w:r>
      <w:r w:rsidR="001A36C8" w:rsidRPr="001129D3">
        <w:rPr>
          <w:lang w:val="en-GB" w:eastAsia="en-GB"/>
        </w:rPr>
        <w:t>aper presented at the 2010 Ascili</w:t>
      </w:r>
      <w:r w:rsidR="001A36C8">
        <w:rPr>
          <w:lang w:val="en-GB" w:eastAsia="en-GB"/>
        </w:rPr>
        <w:t>te Conference, Sydney, Australia</w:t>
      </w:r>
      <w:r w:rsidR="00D964F9">
        <w:rPr>
          <w:lang w:val="en-GB" w:eastAsia="en-GB"/>
        </w:rPr>
        <w:t xml:space="preserve"> r</w:t>
      </w:r>
      <w:r w:rsidR="00BB513B">
        <w:rPr>
          <w:iCs/>
          <w:lang w:val="en-GB" w:eastAsia="en-GB"/>
        </w:rPr>
        <w:t xml:space="preserve">etrieved from </w:t>
      </w:r>
      <w:hyperlink r:id="rId81" w:history="1">
        <w:r w:rsidR="00BB513B" w:rsidRPr="00C847A0">
          <w:rPr>
            <w:rStyle w:val="Hyperlink"/>
            <w:iCs/>
            <w:szCs w:val="22"/>
            <w:lang w:val="en-GB" w:eastAsia="en-GB"/>
          </w:rPr>
          <w:t>http://www.ascilite.org.au/conferences/sydney10/procs/Loke-concise.pdf</w:t>
        </w:r>
      </w:hyperlink>
      <w:r w:rsidR="00BB513B" w:rsidRPr="00C75391">
        <w:rPr>
          <w:iCs/>
          <w:color w:val="000000" w:themeColor="text1"/>
          <w:lang w:val="en-GB" w:eastAsia="en-GB"/>
        </w:rPr>
        <w:t xml:space="preserve"> </w:t>
      </w:r>
    </w:p>
    <w:p w:rsidR="00517CA7" w:rsidRDefault="00517CA7" w:rsidP="00E96077">
      <w:pPr>
        <w:pStyle w:val="BodyText"/>
      </w:pPr>
      <w:r w:rsidRPr="00D668C4">
        <w:t xml:space="preserve">Lynch, G., </w:t>
      </w:r>
      <w:r w:rsidR="000A1A2D">
        <w:t>and</w:t>
      </w:r>
      <w:r w:rsidRPr="00D668C4">
        <w:t xml:space="preserve"> Paasuke, P. (2010)</w:t>
      </w:r>
      <w:r w:rsidR="00D964F9">
        <w:t>,</w:t>
      </w:r>
      <w:r w:rsidRPr="00D668C4">
        <w:t xml:space="preserve"> </w:t>
      </w:r>
      <w:r w:rsidR="004746FD">
        <w:rPr>
          <w:i/>
        </w:rPr>
        <w:t>Impact of a tutorial support management model on student performance and s</w:t>
      </w:r>
      <w:r w:rsidRPr="00CB5FD7">
        <w:rPr>
          <w:i/>
        </w:rPr>
        <w:t>atisfaction</w:t>
      </w:r>
      <w:r w:rsidR="00D964F9">
        <w:t>, i</w:t>
      </w:r>
      <w:r>
        <w:t xml:space="preserve">n </w:t>
      </w:r>
      <w:r w:rsidRPr="00D964F9">
        <w:rPr>
          <w:rStyle w:val="HTMLCite"/>
          <w:i w:val="0"/>
          <w:szCs w:val="22"/>
        </w:rPr>
        <w:t>Proceedings of World Conference on Educational Multimedia, Hypermedia and Telecommunications 2010</w:t>
      </w:r>
      <w:r w:rsidR="00D964F9">
        <w:rPr>
          <w:rStyle w:val="HTMLCite"/>
          <w:i w:val="0"/>
          <w:szCs w:val="22"/>
        </w:rPr>
        <w:t>,</w:t>
      </w:r>
      <w:r w:rsidRPr="00D668C4">
        <w:t xml:space="preserve"> Chesapeake, VA: AACE</w:t>
      </w:r>
    </w:p>
    <w:p w:rsidR="00942EF4" w:rsidRPr="00D964F9" w:rsidRDefault="00517CA7" w:rsidP="00942EF4">
      <w:pPr>
        <w:pStyle w:val="BodyText"/>
        <w:spacing w:after="0"/>
        <w:rPr>
          <w:iCs/>
        </w:rPr>
      </w:pPr>
      <w:r w:rsidRPr="00C160F2">
        <w:t xml:space="preserve">Lynch, K., Debuse, J., Lawley, M., </w:t>
      </w:r>
      <w:r w:rsidR="000A1A2D">
        <w:t>and</w:t>
      </w:r>
      <w:r w:rsidRPr="00C160F2">
        <w:t xml:space="preserve"> </w:t>
      </w:r>
      <w:r>
        <w:t>Roy, S.</w:t>
      </w:r>
      <w:r w:rsidR="007F5CCC">
        <w:t xml:space="preserve"> (2009)</w:t>
      </w:r>
      <w:r w:rsidR="00D964F9">
        <w:t>,</w:t>
      </w:r>
      <w:r w:rsidRPr="00C160F2">
        <w:rPr>
          <w:i/>
          <w:iCs/>
        </w:rPr>
        <w:t xml:space="preserve"> </w:t>
      </w:r>
      <w:r w:rsidRPr="00841E6B">
        <w:rPr>
          <w:i/>
          <w:iCs/>
        </w:rPr>
        <w:t xml:space="preserve">An </w:t>
      </w:r>
      <w:r w:rsidRPr="00E47C02">
        <w:rPr>
          <w:i/>
          <w:iCs/>
        </w:rPr>
        <w:t>early investigatio</w:t>
      </w:r>
      <w:r w:rsidRPr="00841E6B">
        <w:rPr>
          <w:i/>
          <w:iCs/>
        </w:rPr>
        <w:t>n into factors in stude</w:t>
      </w:r>
      <w:r w:rsidRPr="00942EF4">
        <w:rPr>
          <w:i/>
          <w:iCs/>
        </w:rPr>
        <w:t>nt’s</w:t>
      </w:r>
      <w:r w:rsidRPr="00841E6B">
        <w:rPr>
          <w:i/>
          <w:iCs/>
        </w:rPr>
        <w:t xml:space="preserve"> choice of technology for e-learning</w:t>
      </w:r>
      <w:r w:rsidR="00D964F9">
        <w:rPr>
          <w:iCs/>
        </w:rPr>
        <w:t>, i</w:t>
      </w:r>
      <w:r w:rsidR="00942EF4" w:rsidRPr="00942EF4">
        <w:rPr>
          <w:iCs/>
        </w:rPr>
        <w:t>n</w:t>
      </w:r>
      <w:r w:rsidR="00942EF4" w:rsidRPr="00942EF4">
        <w:rPr>
          <w:i/>
          <w:iCs/>
        </w:rPr>
        <w:t xml:space="preserve"> </w:t>
      </w:r>
      <w:r w:rsidR="00942EF4" w:rsidRPr="00D964F9">
        <w:rPr>
          <w:iCs/>
        </w:rPr>
        <w:t>The student experience: Proceedings of the</w:t>
      </w:r>
    </w:p>
    <w:p w:rsidR="00517CA7" w:rsidRPr="00C160F2" w:rsidRDefault="00942EF4" w:rsidP="00D964F9">
      <w:pPr>
        <w:pStyle w:val="BodyText"/>
        <w:rPr>
          <w:iCs/>
          <w:lang w:val="en-GB" w:eastAsia="en-GB"/>
        </w:rPr>
      </w:pPr>
      <w:r w:rsidRPr="00D964F9">
        <w:rPr>
          <w:iCs/>
        </w:rPr>
        <w:t xml:space="preserve">32nd </w:t>
      </w:r>
      <w:r w:rsidR="00D964F9" w:rsidRPr="00D3142D">
        <w:t>Higher Education Research and Development Society of Australasia</w:t>
      </w:r>
      <w:r w:rsidR="00D964F9" w:rsidRPr="00D964F9">
        <w:rPr>
          <w:iCs/>
        </w:rPr>
        <w:t xml:space="preserve"> </w:t>
      </w:r>
      <w:r w:rsidR="00D964F9">
        <w:rPr>
          <w:iCs/>
        </w:rPr>
        <w:t>(</w:t>
      </w:r>
      <w:r w:rsidRPr="00D964F9">
        <w:rPr>
          <w:iCs/>
        </w:rPr>
        <w:t>HERDSA</w:t>
      </w:r>
      <w:r w:rsidR="00D964F9">
        <w:rPr>
          <w:iCs/>
        </w:rPr>
        <w:t>)</w:t>
      </w:r>
      <w:r w:rsidRPr="00D964F9">
        <w:rPr>
          <w:iCs/>
        </w:rPr>
        <w:t xml:space="preserve"> Annual Conference, Darwin, 6-9 July 2009</w:t>
      </w:r>
      <w:r w:rsidR="00D964F9">
        <w:rPr>
          <w:iCs/>
        </w:rPr>
        <w:t>,</w:t>
      </w:r>
      <w:r w:rsidRPr="00942EF4">
        <w:rPr>
          <w:i/>
          <w:iCs/>
        </w:rPr>
        <w:t xml:space="preserve"> </w:t>
      </w:r>
      <w:r w:rsidR="00381B81">
        <w:t>Milperra, NSW, Australia</w:t>
      </w:r>
      <w:r w:rsidR="00D964F9">
        <w:t>, r</w:t>
      </w:r>
      <w:r w:rsidR="00BB513B" w:rsidRPr="00C160F2">
        <w:t xml:space="preserve">etrieved from </w:t>
      </w:r>
      <w:hyperlink r:id="rId82" w:history="1">
        <w:r w:rsidR="00BB513B" w:rsidRPr="006D1C8E">
          <w:rPr>
            <w:rStyle w:val="Hyperlink"/>
            <w:szCs w:val="22"/>
          </w:rPr>
          <w:t>http://www.herdsa.org.au/wp-content/uploads/conference/2009/papers/HERDSA2009_Lynch_K.pdf</w:t>
        </w:r>
      </w:hyperlink>
    </w:p>
    <w:p w:rsidR="00517CA7" w:rsidRDefault="004B40C1" w:rsidP="00E96077">
      <w:pPr>
        <w:pStyle w:val="BodyText"/>
        <w:rPr>
          <w:lang w:eastAsia="en-NZ"/>
        </w:rPr>
      </w:pPr>
      <w:r>
        <w:rPr>
          <w:lang w:eastAsia="en-NZ"/>
        </w:rPr>
        <w:lastRenderedPageBreak/>
        <w:t>Massey University</w:t>
      </w:r>
      <w:r w:rsidR="002C0605">
        <w:rPr>
          <w:lang w:eastAsia="en-NZ"/>
        </w:rPr>
        <w:t xml:space="preserve"> (2012)</w:t>
      </w:r>
      <w:r w:rsidR="005A7DFE">
        <w:rPr>
          <w:lang w:eastAsia="en-NZ"/>
        </w:rPr>
        <w:t>,</w:t>
      </w:r>
      <w:r w:rsidR="00517CA7">
        <w:rPr>
          <w:lang w:eastAsia="en-NZ"/>
        </w:rPr>
        <w:t xml:space="preserve"> </w:t>
      </w:r>
      <w:r w:rsidR="006E07E5">
        <w:rPr>
          <w:i/>
          <w:lang w:eastAsia="en-NZ"/>
        </w:rPr>
        <w:t>Distance learning readiness q</w:t>
      </w:r>
      <w:r w:rsidR="00517CA7" w:rsidRPr="004C1767">
        <w:rPr>
          <w:i/>
          <w:lang w:eastAsia="en-NZ"/>
        </w:rPr>
        <w:t>uiz</w:t>
      </w:r>
      <w:r w:rsidR="002E72F6">
        <w:rPr>
          <w:lang w:eastAsia="en-NZ"/>
        </w:rPr>
        <w:t>,</w:t>
      </w:r>
      <w:r w:rsidR="006E07E5">
        <w:rPr>
          <w:lang w:eastAsia="en-NZ"/>
        </w:rPr>
        <w:t xml:space="preserve"> </w:t>
      </w:r>
      <w:r w:rsidR="002E72F6">
        <w:rPr>
          <w:lang w:eastAsia="en-NZ"/>
        </w:rPr>
        <w:t>r</w:t>
      </w:r>
      <w:r w:rsidR="00517CA7">
        <w:rPr>
          <w:lang w:eastAsia="en-NZ"/>
        </w:rPr>
        <w:t xml:space="preserve">etrieved from </w:t>
      </w:r>
      <w:hyperlink r:id="rId83" w:history="1">
        <w:r w:rsidR="00517CA7" w:rsidRPr="00897ED5">
          <w:rPr>
            <w:rStyle w:val="Hyperlink"/>
            <w:lang w:eastAsia="en-NZ"/>
          </w:rPr>
          <w:t>http://connect.massey.ac.nz/distance_Learning</w:t>
        </w:r>
      </w:hyperlink>
      <w:r w:rsidR="00517CA7">
        <w:rPr>
          <w:lang w:eastAsia="en-NZ"/>
        </w:rPr>
        <w:t xml:space="preserve">, and </w:t>
      </w:r>
      <w:r w:rsidR="002E72F6">
        <w:rPr>
          <w:i/>
          <w:lang w:eastAsia="en-NZ"/>
        </w:rPr>
        <w:t>A</w:t>
      </w:r>
      <w:r w:rsidR="00517CA7" w:rsidRPr="006E07E5">
        <w:rPr>
          <w:i/>
          <w:lang w:eastAsia="en-NZ"/>
        </w:rPr>
        <w:t xml:space="preserve">ges of </w:t>
      </w:r>
      <w:r w:rsidR="00D27F5C">
        <w:rPr>
          <w:i/>
          <w:lang w:eastAsia="en-NZ"/>
        </w:rPr>
        <w:t>Massey Univer</w:t>
      </w:r>
      <w:r w:rsidR="002E72F6">
        <w:rPr>
          <w:i/>
          <w:lang w:eastAsia="en-NZ"/>
        </w:rPr>
        <w:t>s</w:t>
      </w:r>
      <w:r w:rsidR="00D27F5C">
        <w:rPr>
          <w:i/>
          <w:lang w:eastAsia="en-NZ"/>
        </w:rPr>
        <w:t>i</w:t>
      </w:r>
      <w:r w:rsidR="002E72F6">
        <w:rPr>
          <w:i/>
          <w:lang w:eastAsia="en-NZ"/>
        </w:rPr>
        <w:t xml:space="preserve">ty </w:t>
      </w:r>
      <w:r w:rsidR="00517CA7" w:rsidRPr="006E07E5">
        <w:rPr>
          <w:i/>
          <w:lang w:eastAsia="en-NZ"/>
        </w:rPr>
        <w:t>distance students</w:t>
      </w:r>
      <w:r w:rsidR="002E72F6">
        <w:rPr>
          <w:i/>
          <w:lang w:eastAsia="en-NZ"/>
        </w:rPr>
        <w:t>,</w:t>
      </w:r>
      <w:r w:rsidR="00517CA7" w:rsidRPr="006E07E5">
        <w:rPr>
          <w:lang w:eastAsia="en-NZ"/>
        </w:rPr>
        <w:t xml:space="preserve"> retrieved</w:t>
      </w:r>
      <w:r w:rsidR="00517CA7">
        <w:rPr>
          <w:lang w:eastAsia="en-NZ"/>
        </w:rPr>
        <w:t xml:space="preserve"> from </w:t>
      </w:r>
      <w:hyperlink r:id="rId84" w:history="1">
        <w:r w:rsidR="00517CA7" w:rsidRPr="00897ED5">
          <w:rPr>
            <w:rStyle w:val="Hyperlink"/>
            <w:lang w:eastAsia="en-NZ"/>
          </w:rPr>
          <w:t>http://www.massey.ac.nz/massey/learning/distance-learning/profiles/ages.cfm</w:t>
        </w:r>
      </w:hyperlink>
      <w:r w:rsidR="00517CA7">
        <w:rPr>
          <w:lang w:eastAsia="en-NZ"/>
        </w:rPr>
        <w:t xml:space="preserve">, </w:t>
      </w:r>
      <w:r w:rsidR="002E72F6">
        <w:rPr>
          <w:i/>
          <w:lang w:eastAsia="en-NZ"/>
        </w:rPr>
        <w:t>G</w:t>
      </w:r>
      <w:r w:rsidR="00517CA7" w:rsidRPr="004C1767">
        <w:rPr>
          <w:i/>
          <w:lang w:eastAsia="en-NZ"/>
        </w:rPr>
        <w:t xml:space="preserve">ender of </w:t>
      </w:r>
      <w:r w:rsidR="002E72F6">
        <w:rPr>
          <w:i/>
          <w:lang w:eastAsia="en-NZ"/>
        </w:rPr>
        <w:t xml:space="preserve">Massey University </w:t>
      </w:r>
      <w:r w:rsidR="00517CA7" w:rsidRPr="004C1767">
        <w:rPr>
          <w:i/>
          <w:lang w:eastAsia="en-NZ"/>
        </w:rPr>
        <w:t>distance students</w:t>
      </w:r>
      <w:r w:rsidR="00517CA7">
        <w:rPr>
          <w:lang w:eastAsia="en-NZ"/>
        </w:rPr>
        <w:t xml:space="preserve">, retrieved from </w:t>
      </w:r>
      <w:hyperlink r:id="rId85" w:history="1">
        <w:r w:rsidR="00517CA7" w:rsidRPr="00897ED5">
          <w:rPr>
            <w:rStyle w:val="Hyperlink"/>
            <w:lang w:eastAsia="en-NZ"/>
          </w:rPr>
          <w:t>http://www.massey.ac.nz/massey/learning/distance-learning/profiles/gender.cfm</w:t>
        </w:r>
      </w:hyperlink>
      <w:r w:rsidR="00517CA7">
        <w:rPr>
          <w:lang w:eastAsia="en-NZ"/>
        </w:rPr>
        <w:t xml:space="preserve">, and </w:t>
      </w:r>
      <w:r w:rsidR="002E72F6">
        <w:rPr>
          <w:i/>
          <w:lang w:eastAsia="en-NZ"/>
        </w:rPr>
        <w:t>E</w:t>
      </w:r>
      <w:r w:rsidR="00517CA7" w:rsidRPr="004C1767">
        <w:rPr>
          <w:i/>
          <w:lang w:eastAsia="en-NZ"/>
        </w:rPr>
        <w:t xml:space="preserve">thnicity of </w:t>
      </w:r>
      <w:r w:rsidR="002E72F6">
        <w:rPr>
          <w:i/>
          <w:lang w:eastAsia="en-NZ"/>
        </w:rPr>
        <w:t xml:space="preserve">Massey University </w:t>
      </w:r>
      <w:r w:rsidR="00517CA7" w:rsidRPr="004C1767">
        <w:rPr>
          <w:i/>
          <w:lang w:eastAsia="en-NZ"/>
        </w:rPr>
        <w:t>distance students</w:t>
      </w:r>
      <w:r w:rsidR="00517CA7">
        <w:rPr>
          <w:lang w:eastAsia="en-NZ"/>
        </w:rPr>
        <w:t xml:space="preserve">, retrieved from </w:t>
      </w:r>
      <w:hyperlink r:id="rId86" w:history="1">
        <w:r w:rsidR="00517CA7" w:rsidRPr="00897ED5">
          <w:rPr>
            <w:rStyle w:val="Hyperlink"/>
            <w:lang w:eastAsia="en-NZ"/>
          </w:rPr>
          <w:t>http://www.massey.ac.nz/massey/learning/distance-learning/profiles/ethnicity.cfm</w:t>
        </w:r>
      </w:hyperlink>
      <w:r w:rsidR="00517CA7">
        <w:rPr>
          <w:lang w:eastAsia="en-NZ"/>
        </w:rPr>
        <w:t xml:space="preserve"> </w:t>
      </w:r>
    </w:p>
    <w:p w:rsidR="00517CA7" w:rsidRDefault="00517CA7" w:rsidP="005A7DFE">
      <w:pPr>
        <w:pStyle w:val="BodyText"/>
      </w:pPr>
      <w:r w:rsidRPr="00FB1C8C">
        <w:rPr>
          <w:iCs/>
          <w:lang w:val="en-GB" w:eastAsia="en-GB"/>
        </w:rPr>
        <w:t xml:space="preserve">McGrath, A., Mackey, J., </w:t>
      </w:r>
      <w:r w:rsidR="00F2328A">
        <w:rPr>
          <w:iCs/>
          <w:lang w:val="en-GB" w:eastAsia="en-GB"/>
        </w:rPr>
        <w:t>and</w:t>
      </w:r>
      <w:r w:rsidRPr="00FB1C8C">
        <w:rPr>
          <w:iCs/>
          <w:lang w:val="en-GB" w:eastAsia="en-GB"/>
        </w:rPr>
        <w:t xml:space="preserve"> Davis, N. (2008)</w:t>
      </w:r>
      <w:r w:rsidR="005A7DFE">
        <w:rPr>
          <w:iCs/>
          <w:lang w:val="en-GB" w:eastAsia="en-GB"/>
        </w:rPr>
        <w:t>,</w:t>
      </w:r>
      <w:r w:rsidRPr="00FB1C8C">
        <w:rPr>
          <w:iCs/>
          <w:lang w:val="en-GB" w:eastAsia="en-GB"/>
        </w:rPr>
        <w:t xml:space="preserve"> </w:t>
      </w:r>
      <w:r w:rsidRPr="0033420A">
        <w:rPr>
          <w:i/>
          <w:iCs/>
          <w:lang w:val="en-GB" w:eastAsia="en-GB"/>
        </w:rPr>
        <w:t>Designing for authentic relationships, content and assessment in unpredictable learning contexts</w:t>
      </w:r>
      <w:r w:rsidR="00846800">
        <w:rPr>
          <w:i/>
          <w:iCs/>
          <w:lang w:val="en-GB" w:eastAsia="en-GB"/>
        </w:rPr>
        <w:t>.</w:t>
      </w:r>
      <w:r w:rsidR="005D7683">
        <w:rPr>
          <w:i/>
          <w:iCs/>
          <w:lang w:val="en-GB" w:eastAsia="en-GB"/>
        </w:rPr>
        <w:t xml:space="preserve"> </w:t>
      </w:r>
      <w:r w:rsidR="00846800">
        <w:rPr>
          <w:iCs/>
          <w:lang w:val="en-GB" w:eastAsia="en-GB"/>
        </w:rPr>
        <w:t>P</w:t>
      </w:r>
      <w:r w:rsidRPr="00FB1C8C">
        <w:rPr>
          <w:iCs/>
          <w:lang w:val="en-GB" w:eastAsia="en-GB"/>
        </w:rPr>
        <w:t>aper presented at the 2008 Ascilite Conference, Melbourne, Australia</w:t>
      </w:r>
      <w:r w:rsidR="005A7DFE">
        <w:rPr>
          <w:iCs/>
          <w:lang w:val="en-GB" w:eastAsia="en-GB"/>
        </w:rPr>
        <w:t>, r</w:t>
      </w:r>
      <w:r w:rsidR="00BB513B">
        <w:rPr>
          <w:iCs/>
          <w:lang w:val="en-GB" w:eastAsia="en-GB"/>
        </w:rPr>
        <w:t xml:space="preserve">etrieved from </w:t>
      </w:r>
      <w:hyperlink r:id="rId87" w:history="1">
        <w:r w:rsidR="00BB513B" w:rsidRPr="00C847A0">
          <w:rPr>
            <w:rStyle w:val="Hyperlink"/>
            <w:iCs/>
            <w:szCs w:val="22"/>
            <w:lang w:val="en-GB" w:eastAsia="en-GB"/>
          </w:rPr>
          <w:t>http://www.ascilite.org.au/conferences/melbourne08/procs/mcgrath.pdf</w:t>
        </w:r>
      </w:hyperlink>
      <w:r w:rsidR="00BB513B">
        <w:rPr>
          <w:iCs/>
          <w:lang w:val="en-GB" w:eastAsia="en-GB"/>
        </w:rPr>
        <w:t xml:space="preserve"> </w:t>
      </w:r>
      <w:r w:rsidRPr="00C160F2">
        <w:t xml:space="preserve"> </w:t>
      </w:r>
    </w:p>
    <w:p w:rsidR="00517CA7" w:rsidRDefault="002C0605" w:rsidP="00846800">
      <w:pPr>
        <w:pStyle w:val="BodyText"/>
      </w:pPr>
      <w:r>
        <w:t>Ministry of Education (2013)</w:t>
      </w:r>
      <w:r w:rsidR="005A7DFE">
        <w:t>,</w:t>
      </w:r>
      <w:r w:rsidR="00517CA7">
        <w:t xml:space="preserve"> </w:t>
      </w:r>
      <w:r w:rsidR="006B5399">
        <w:rPr>
          <w:i/>
        </w:rPr>
        <w:t>2013 Single Data Return: A manual for tertiary education organisations and student management system developers</w:t>
      </w:r>
      <w:r w:rsidR="005A7DFE">
        <w:t>,</w:t>
      </w:r>
      <w:r w:rsidR="00517CA7">
        <w:rPr>
          <w:i/>
        </w:rPr>
        <w:t xml:space="preserve"> </w:t>
      </w:r>
      <w:r w:rsidR="005A7DFE">
        <w:t>Wellington,</w:t>
      </w:r>
      <w:r w:rsidR="00517CA7">
        <w:t xml:space="preserve"> Ministry of Education</w:t>
      </w:r>
      <w:r w:rsidR="005A7DFE">
        <w:t>,</w:t>
      </w:r>
      <w:r w:rsidR="00517CA7">
        <w:t xml:space="preserve"> </w:t>
      </w:r>
      <w:r w:rsidR="005A7DFE">
        <w:t>r</w:t>
      </w:r>
      <w:r w:rsidR="00517CA7">
        <w:t xml:space="preserve">etrieved from </w:t>
      </w:r>
      <w:hyperlink r:id="rId88" w:history="1">
        <w:r w:rsidR="00517CA7" w:rsidRPr="00A21B3E">
          <w:rPr>
            <w:rStyle w:val="Hyperlink"/>
          </w:rPr>
          <w:t>http://cms.steo.govt.nz/NR/rdonlyres/D3CB4F3D-C4F4-4D0B-BDDC-D9D5B1C265FC/0/SingleDataReturnManual2013ver13.pdf</w:t>
        </w:r>
      </w:hyperlink>
      <w:r w:rsidR="00517CA7">
        <w:t xml:space="preserve"> </w:t>
      </w:r>
    </w:p>
    <w:p w:rsidR="00517CA7" w:rsidRDefault="00517CA7" w:rsidP="00E96077">
      <w:pPr>
        <w:pStyle w:val="Referencetext"/>
      </w:pPr>
      <w:r>
        <w:t xml:space="preserve">Ministry of Education, </w:t>
      </w:r>
      <w:r w:rsidR="00F2328A">
        <w:t>and</w:t>
      </w:r>
      <w:r w:rsidR="002C0605">
        <w:t xml:space="preserve"> </w:t>
      </w:r>
      <w:r>
        <w:t>Tert</w:t>
      </w:r>
      <w:r w:rsidR="00E12E67">
        <w:t>iary Education Commission</w:t>
      </w:r>
      <w:r w:rsidR="002C0605">
        <w:t xml:space="preserve"> (2010)</w:t>
      </w:r>
      <w:r w:rsidR="005A7DFE">
        <w:t>,</w:t>
      </w:r>
      <w:r>
        <w:t xml:space="preserve"> </w:t>
      </w:r>
      <w:r w:rsidR="002529EC" w:rsidRPr="0067787F">
        <w:rPr>
          <w:i/>
        </w:rPr>
        <w:t>Response to</w:t>
      </w:r>
      <w:r w:rsidR="002529EC">
        <w:t xml:space="preserve"> </w:t>
      </w:r>
      <w:r w:rsidR="002529EC">
        <w:rPr>
          <w:i/>
        </w:rPr>
        <w:t>s</w:t>
      </w:r>
      <w:r w:rsidR="006B5399">
        <w:rPr>
          <w:i/>
        </w:rPr>
        <w:t xml:space="preserve">ector feedback on </w:t>
      </w:r>
      <w:r w:rsidR="00FD0F18">
        <w:rPr>
          <w:i/>
        </w:rPr>
        <w:t xml:space="preserve">the </w:t>
      </w:r>
      <w:r w:rsidR="006B5399">
        <w:rPr>
          <w:i/>
        </w:rPr>
        <w:t>proposed 2011 SDR c</w:t>
      </w:r>
      <w:r w:rsidR="00846800">
        <w:rPr>
          <w:i/>
        </w:rPr>
        <w:t>hanges</w:t>
      </w:r>
      <w:r w:rsidR="005A7DFE">
        <w:t>,</w:t>
      </w:r>
      <w:r>
        <w:rPr>
          <w:i/>
        </w:rPr>
        <w:t xml:space="preserve"> </w:t>
      </w:r>
      <w:r w:rsidR="00846800">
        <w:t>Wellington</w:t>
      </w:r>
      <w:r w:rsidR="005A7DFE">
        <w:t>,</w:t>
      </w:r>
      <w:r w:rsidR="00846800">
        <w:t xml:space="preserve"> </w:t>
      </w:r>
      <w:r>
        <w:t>Ministry of Education and T</w:t>
      </w:r>
      <w:r w:rsidR="005A7DFE">
        <w:t xml:space="preserve">ertiary </w:t>
      </w:r>
      <w:r>
        <w:t>E</w:t>
      </w:r>
      <w:r w:rsidR="005A7DFE">
        <w:t xml:space="preserve">ducation </w:t>
      </w:r>
      <w:r>
        <w:t>C</w:t>
      </w:r>
      <w:r w:rsidR="005A7DFE">
        <w:t>ommission</w:t>
      </w:r>
    </w:p>
    <w:p w:rsidR="00517CA7" w:rsidRDefault="00E12E67" w:rsidP="005A7DFE">
      <w:pPr>
        <w:pStyle w:val="Referencetext"/>
      </w:pPr>
      <w:r w:rsidRPr="002529EC">
        <w:t>Müller, T.</w:t>
      </w:r>
      <w:r w:rsidR="002C0605" w:rsidRPr="002529EC">
        <w:t xml:space="preserve"> (2008)</w:t>
      </w:r>
      <w:r w:rsidR="005A7DFE">
        <w:t>,</w:t>
      </w:r>
      <w:r w:rsidR="00517CA7" w:rsidRPr="002529EC">
        <w:t xml:space="preserve"> </w:t>
      </w:r>
      <w:r w:rsidRPr="005A7DFE">
        <w:rPr>
          <w:i/>
        </w:rPr>
        <w:t>Persistence of women in online degree-completion p</w:t>
      </w:r>
      <w:r w:rsidR="00517CA7" w:rsidRPr="005A7DFE">
        <w:rPr>
          <w:i/>
        </w:rPr>
        <w:t>rograms</w:t>
      </w:r>
      <w:r w:rsidR="005A7DFE">
        <w:t>,</w:t>
      </w:r>
      <w:r w:rsidR="00517CA7" w:rsidRPr="002529EC">
        <w:t xml:space="preserve"> </w:t>
      </w:r>
      <w:r w:rsidR="00517CA7" w:rsidRPr="005A7DFE">
        <w:rPr>
          <w:iCs/>
        </w:rPr>
        <w:t>International Review of Research in Open and Distance Learning, 9</w:t>
      </w:r>
      <w:r w:rsidR="00DA175F" w:rsidRPr="005A7DFE">
        <w:rPr>
          <w:iCs/>
        </w:rPr>
        <w:t>(</w:t>
      </w:r>
      <w:r w:rsidR="00517CA7" w:rsidRPr="005A7DFE">
        <w:rPr>
          <w:iCs/>
        </w:rPr>
        <w:t>2</w:t>
      </w:r>
      <w:r w:rsidR="00DA175F" w:rsidRPr="005A7DFE">
        <w:rPr>
          <w:iCs/>
        </w:rPr>
        <w:t>)</w:t>
      </w:r>
      <w:r w:rsidR="005A7DFE">
        <w:rPr>
          <w:iCs/>
        </w:rPr>
        <w:t>, r</w:t>
      </w:r>
      <w:r w:rsidR="00BB513B" w:rsidRPr="002529EC">
        <w:rPr>
          <w:iCs/>
        </w:rPr>
        <w:t xml:space="preserve">etrieved from </w:t>
      </w:r>
      <w:hyperlink r:id="rId89" w:history="1">
        <w:r w:rsidR="00BB513B" w:rsidRPr="002529EC">
          <w:rPr>
            <w:rStyle w:val="Hyperlink"/>
            <w:iCs/>
            <w:szCs w:val="22"/>
          </w:rPr>
          <w:t>http://www.irrodl.org/index.php/irrodl/article/view/455/1042</w:t>
        </w:r>
      </w:hyperlink>
    </w:p>
    <w:p w:rsidR="00517CA7" w:rsidRDefault="00517CA7" w:rsidP="00E96077">
      <w:pPr>
        <w:pStyle w:val="Referencetext"/>
        <w:rPr>
          <w:lang w:val="en-GB" w:eastAsia="en-GB"/>
        </w:rPr>
      </w:pPr>
      <w:r w:rsidRPr="001129D3">
        <w:rPr>
          <w:lang w:val="en-GB" w:eastAsia="en-GB"/>
        </w:rPr>
        <w:t xml:space="preserve">Narayan, V., </w:t>
      </w:r>
      <w:r w:rsidR="00757F78">
        <w:rPr>
          <w:lang w:val="en-GB" w:eastAsia="en-GB"/>
        </w:rPr>
        <w:t>and</w:t>
      </w:r>
      <w:r w:rsidRPr="001129D3">
        <w:rPr>
          <w:lang w:val="en-GB" w:eastAsia="en-GB"/>
        </w:rPr>
        <w:t xml:space="preserve"> Baglow, L. (2010)</w:t>
      </w:r>
      <w:r w:rsidR="005A7DFE">
        <w:rPr>
          <w:lang w:val="en-GB" w:eastAsia="en-GB"/>
        </w:rPr>
        <w:t>,</w:t>
      </w:r>
      <w:r w:rsidRPr="001129D3">
        <w:rPr>
          <w:lang w:val="en-GB" w:eastAsia="en-GB"/>
        </w:rPr>
        <w:t xml:space="preserve"> </w:t>
      </w:r>
      <w:r w:rsidRPr="00263112">
        <w:rPr>
          <w:i/>
          <w:lang w:val="en-GB" w:eastAsia="en-GB"/>
        </w:rPr>
        <w:t xml:space="preserve">New beginnings: </w:t>
      </w:r>
      <w:r w:rsidRPr="006B5399">
        <w:rPr>
          <w:i/>
          <w:lang w:val="en-GB" w:eastAsia="en-GB"/>
        </w:rPr>
        <w:t>Facilitating effective</w:t>
      </w:r>
      <w:r w:rsidRPr="00263112">
        <w:rPr>
          <w:i/>
          <w:lang w:val="en-GB" w:eastAsia="en-GB"/>
        </w:rPr>
        <w:t xml:space="preserve"> learning through the use of Web 2.0 tool</w:t>
      </w:r>
      <w:r w:rsidR="00846800">
        <w:rPr>
          <w:i/>
          <w:lang w:val="en-GB" w:eastAsia="en-GB"/>
        </w:rPr>
        <w:t>s</w:t>
      </w:r>
      <w:r w:rsidR="00846800" w:rsidRPr="005A7DFE">
        <w:rPr>
          <w:lang w:val="en-GB" w:eastAsia="en-GB"/>
        </w:rPr>
        <w:t>.</w:t>
      </w:r>
      <w:r w:rsidR="0021360F">
        <w:rPr>
          <w:i/>
          <w:lang w:val="en-GB" w:eastAsia="en-GB"/>
        </w:rPr>
        <w:t xml:space="preserve"> </w:t>
      </w:r>
      <w:r w:rsidR="00846800">
        <w:rPr>
          <w:lang w:val="en-GB" w:eastAsia="en-GB"/>
        </w:rPr>
        <w:t>P</w:t>
      </w:r>
      <w:r w:rsidRPr="001129D3">
        <w:rPr>
          <w:lang w:val="en-GB" w:eastAsia="en-GB"/>
        </w:rPr>
        <w:t>aper presented at the 2010 Ascili</w:t>
      </w:r>
      <w:r w:rsidR="005D7683">
        <w:rPr>
          <w:lang w:val="en-GB" w:eastAsia="en-GB"/>
        </w:rPr>
        <w:t>t</w:t>
      </w:r>
      <w:r w:rsidR="00846800">
        <w:rPr>
          <w:lang w:val="en-GB" w:eastAsia="en-GB"/>
        </w:rPr>
        <w:t>e Conference, Sydney, Australia</w:t>
      </w:r>
      <w:r w:rsidR="005A7DFE">
        <w:rPr>
          <w:lang w:val="en-GB" w:eastAsia="en-GB"/>
        </w:rPr>
        <w:t>,</w:t>
      </w:r>
      <w:r>
        <w:rPr>
          <w:lang w:val="en-GB" w:eastAsia="en-GB"/>
        </w:rPr>
        <w:t xml:space="preserve"> </w:t>
      </w:r>
      <w:r w:rsidR="005A7DFE">
        <w:rPr>
          <w:lang w:val="en-GB" w:eastAsia="en-GB"/>
        </w:rPr>
        <w:t>r</w:t>
      </w:r>
      <w:r w:rsidR="00BB513B">
        <w:rPr>
          <w:lang w:val="en-GB" w:eastAsia="en-GB"/>
        </w:rPr>
        <w:t xml:space="preserve">etrieved from </w:t>
      </w:r>
      <w:hyperlink r:id="rId90" w:history="1">
        <w:r w:rsidR="00BB513B" w:rsidRPr="00E54F3E">
          <w:rPr>
            <w:rStyle w:val="Hyperlink"/>
            <w:szCs w:val="22"/>
            <w:lang w:val="en-GB" w:eastAsia="en-GB"/>
          </w:rPr>
          <w:t>http://www.ascilite.org.au/conferences/sydney10/procs/Narayan-full.pdf</w:t>
        </w:r>
      </w:hyperlink>
      <w:r w:rsidR="00BB513B">
        <w:rPr>
          <w:lang w:val="en-GB" w:eastAsia="en-GB"/>
        </w:rPr>
        <w:t xml:space="preserve"> </w:t>
      </w:r>
    </w:p>
    <w:p w:rsidR="00517CA7" w:rsidRDefault="00517CA7" w:rsidP="00E96077">
      <w:pPr>
        <w:pStyle w:val="Referencetext"/>
        <w:rPr>
          <w:lang w:val="en-GB" w:eastAsia="en-GB"/>
        </w:rPr>
      </w:pPr>
      <w:r w:rsidRPr="00EC3BD1">
        <w:rPr>
          <w:lang w:val="en-GB" w:eastAsia="en-GB"/>
        </w:rPr>
        <w:t xml:space="preserve">Naughton, C., Roder, J., </w:t>
      </w:r>
      <w:r w:rsidR="00F2328A">
        <w:rPr>
          <w:lang w:val="en-GB" w:eastAsia="en-GB"/>
        </w:rPr>
        <w:t>and</w:t>
      </w:r>
      <w:r w:rsidRPr="00EC3BD1">
        <w:rPr>
          <w:lang w:val="en-GB" w:eastAsia="en-GB"/>
        </w:rPr>
        <w:t xml:space="preserve"> Smeed, J. (2010)</w:t>
      </w:r>
      <w:r w:rsidR="005A7DFE">
        <w:rPr>
          <w:lang w:val="en-GB" w:eastAsia="en-GB"/>
        </w:rPr>
        <w:t>,</w:t>
      </w:r>
      <w:r w:rsidRPr="00EC3BD1">
        <w:rPr>
          <w:lang w:val="en-GB" w:eastAsia="en-GB"/>
        </w:rPr>
        <w:t xml:space="preserve"> </w:t>
      </w:r>
      <w:r w:rsidRPr="004217A7">
        <w:rPr>
          <w:i/>
          <w:lang w:val="en-GB" w:eastAsia="en-GB"/>
        </w:rPr>
        <w:t>The ‘strategic learner’ goes digital: Web 2.0 and the implications of assessment when transferring from distance education to online learning</w:t>
      </w:r>
      <w:r w:rsidRPr="00EC3BD1">
        <w:rPr>
          <w:lang w:val="en-GB" w:eastAsia="en-GB"/>
        </w:rPr>
        <w:t xml:space="preserve">. </w:t>
      </w:r>
      <w:r>
        <w:rPr>
          <w:lang w:val="en-GB" w:eastAsia="en-GB"/>
        </w:rPr>
        <w:t xml:space="preserve"> </w:t>
      </w:r>
      <w:r w:rsidRPr="00EC3BD1">
        <w:rPr>
          <w:lang w:val="en-GB" w:eastAsia="en-GB"/>
        </w:rPr>
        <w:t xml:space="preserve">Paper presented at the 2010 </w:t>
      </w:r>
      <w:r>
        <w:rPr>
          <w:lang w:val="en-GB" w:eastAsia="en-GB"/>
        </w:rPr>
        <w:t>A</w:t>
      </w:r>
      <w:r w:rsidR="0067787F">
        <w:rPr>
          <w:lang w:val="en-GB" w:eastAsia="en-GB"/>
        </w:rPr>
        <w:t>scilite Conference, Sydney,</w:t>
      </w:r>
      <w:r w:rsidRPr="00EC3BD1">
        <w:rPr>
          <w:lang w:val="en-GB" w:eastAsia="en-GB"/>
        </w:rPr>
        <w:t xml:space="preserve"> Australia</w:t>
      </w:r>
      <w:r w:rsidR="005A7DFE">
        <w:rPr>
          <w:lang w:val="en-GB" w:eastAsia="en-GB"/>
        </w:rPr>
        <w:t>, r</w:t>
      </w:r>
      <w:r w:rsidR="00BB513B">
        <w:rPr>
          <w:lang w:val="en-GB" w:eastAsia="en-GB"/>
        </w:rPr>
        <w:t xml:space="preserve">etrieved from </w:t>
      </w:r>
      <w:hyperlink r:id="rId91" w:history="1">
        <w:r w:rsidR="00BB513B" w:rsidRPr="00E54F3E">
          <w:rPr>
            <w:rStyle w:val="Hyperlink"/>
            <w:szCs w:val="22"/>
            <w:lang w:val="en-GB" w:eastAsia="en-GB"/>
          </w:rPr>
          <w:t>http://www.ascilite.org.au/conferences/sydney10/procs/Naughton-full.pdf</w:t>
        </w:r>
      </w:hyperlink>
      <w:r w:rsidR="00BB513B">
        <w:rPr>
          <w:lang w:val="en-GB" w:eastAsia="en-GB"/>
        </w:rPr>
        <w:t xml:space="preserve"> </w:t>
      </w:r>
    </w:p>
    <w:p w:rsidR="00517CA7" w:rsidRDefault="00517CA7" w:rsidP="00E96077">
      <w:pPr>
        <w:pStyle w:val="Referencetext"/>
        <w:rPr>
          <w:lang w:val="en-GB" w:eastAsia="en-GB"/>
        </w:rPr>
      </w:pPr>
      <w:r w:rsidRPr="00C160F2">
        <w:rPr>
          <w:lang w:val="en-GB" w:eastAsia="en-GB"/>
        </w:rPr>
        <w:t xml:space="preserve">Negash, S., Wilcox, M. V., </w:t>
      </w:r>
      <w:r w:rsidR="00F2328A">
        <w:rPr>
          <w:lang w:val="en-GB" w:eastAsia="en-GB"/>
        </w:rPr>
        <w:t>and</w:t>
      </w:r>
      <w:r w:rsidRPr="00C160F2">
        <w:rPr>
          <w:lang w:val="en-GB" w:eastAsia="en-GB"/>
        </w:rPr>
        <w:t xml:space="preserve"> Emerson, M. (</w:t>
      </w:r>
      <w:r w:rsidR="002C0605">
        <w:rPr>
          <w:lang w:val="en-GB" w:eastAsia="en-GB"/>
        </w:rPr>
        <w:t>2007)</w:t>
      </w:r>
      <w:r w:rsidR="005A7DFE">
        <w:rPr>
          <w:lang w:val="en-GB" w:eastAsia="en-GB"/>
        </w:rPr>
        <w:t>,</w:t>
      </w:r>
      <w:r w:rsidRPr="00C160F2">
        <w:rPr>
          <w:lang w:val="en-GB" w:eastAsia="en-GB"/>
        </w:rPr>
        <w:t xml:space="preserve"> </w:t>
      </w:r>
      <w:r w:rsidR="000D63A2" w:rsidRPr="005A7DFE">
        <w:rPr>
          <w:i/>
          <w:lang w:val="en-GB" w:eastAsia="en-GB"/>
        </w:rPr>
        <w:t>Synchronous hybrid e-learning: t</w:t>
      </w:r>
      <w:r w:rsidR="006B5399" w:rsidRPr="005A7DFE">
        <w:rPr>
          <w:i/>
          <w:lang w:val="en-GB" w:eastAsia="en-GB"/>
        </w:rPr>
        <w:t>eaching complex information systems classes o</w:t>
      </w:r>
      <w:r w:rsidRPr="005A7DFE">
        <w:rPr>
          <w:i/>
          <w:lang w:val="en-GB" w:eastAsia="en-GB"/>
        </w:rPr>
        <w:t>nline</w:t>
      </w:r>
      <w:r w:rsidR="005A7DFE">
        <w:rPr>
          <w:lang w:val="en-GB" w:eastAsia="en-GB"/>
        </w:rPr>
        <w:t>,</w:t>
      </w:r>
      <w:r w:rsidR="00846800">
        <w:rPr>
          <w:lang w:val="en-GB" w:eastAsia="en-GB"/>
        </w:rPr>
        <w:t xml:space="preserve"> </w:t>
      </w:r>
      <w:r w:rsidR="000D63A2" w:rsidRPr="005A7DFE">
        <w:rPr>
          <w:lang w:val="en-GB" w:eastAsia="en-GB"/>
        </w:rPr>
        <w:t>International Journal of Information and Communication Technology Education, 3(3</w:t>
      </w:r>
      <w:r w:rsidR="005A7DFE">
        <w:rPr>
          <w:lang w:val="en-GB" w:eastAsia="en-GB"/>
        </w:rPr>
        <w:t>)</w:t>
      </w:r>
    </w:p>
    <w:p w:rsidR="00517CA7" w:rsidRDefault="00517CA7" w:rsidP="00E96077">
      <w:pPr>
        <w:pStyle w:val="Referencetext"/>
      </w:pPr>
      <w:r>
        <w:t>Nelson Marl</w:t>
      </w:r>
      <w:r w:rsidR="00E12E67">
        <w:t>borough Institute of Technology</w:t>
      </w:r>
      <w:r w:rsidR="002C0605">
        <w:t xml:space="preserve"> (2012)</w:t>
      </w:r>
      <w:r w:rsidR="005A7DFE">
        <w:t>,</w:t>
      </w:r>
      <w:r>
        <w:t xml:space="preserve"> </w:t>
      </w:r>
      <w:r w:rsidR="006B5399">
        <w:rPr>
          <w:i/>
        </w:rPr>
        <w:t>Online study – so what’s i</w:t>
      </w:r>
      <w:r w:rsidRPr="004C1767">
        <w:rPr>
          <w:i/>
        </w:rPr>
        <w:t>nvolved</w:t>
      </w:r>
      <w:r w:rsidR="000D63A2">
        <w:rPr>
          <w:i/>
        </w:rPr>
        <w:t>?</w:t>
      </w:r>
      <w:r>
        <w:t xml:space="preserve"> </w:t>
      </w:r>
      <w:r w:rsidR="00846800">
        <w:t>R</w:t>
      </w:r>
      <w:r>
        <w:t xml:space="preserve">etrieved from </w:t>
      </w:r>
      <w:hyperlink r:id="rId92" w:history="1">
        <w:r w:rsidRPr="00897ED5">
          <w:rPr>
            <w:rStyle w:val="Hyperlink"/>
          </w:rPr>
          <w:t>http://ecampus.nmit.ac.nz/moodle/file.php/1/student_help_files/Online_study_-_whats_involved.pdf</w:t>
        </w:r>
      </w:hyperlink>
      <w:r>
        <w:t xml:space="preserve"> </w:t>
      </w:r>
    </w:p>
    <w:p w:rsidR="00517CA7" w:rsidRDefault="00517CA7" w:rsidP="00E96077">
      <w:pPr>
        <w:pStyle w:val="Referencetext"/>
        <w:rPr>
          <w:lang w:val="en-GB" w:eastAsia="en-GB"/>
        </w:rPr>
      </w:pPr>
      <w:r w:rsidRPr="00D570B0">
        <w:rPr>
          <w:lang w:val="en-GB" w:eastAsia="en-GB"/>
        </w:rPr>
        <w:t>Nesbit, T. (2008)</w:t>
      </w:r>
      <w:r w:rsidR="001F0681">
        <w:rPr>
          <w:lang w:val="en-GB" w:eastAsia="en-GB"/>
        </w:rPr>
        <w:t>,</w:t>
      </w:r>
      <w:r w:rsidRPr="00D570B0">
        <w:rPr>
          <w:lang w:val="en-GB" w:eastAsia="en-GB"/>
        </w:rPr>
        <w:t xml:space="preserve"> </w:t>
      </w:r>
      <w:r w:rsidRPr="001F0681">
        <w:rPr>
          <w:i/>
          <w:lang w:val="en-GB" w:eastAsia="en-GB"/>
        </w:rPr>
        <w:t>Developing com</w:t>
      </w:r>
      <w:r w:rsidR="006B5399" w:rsidRPr="001F0681">
        <w:rPr>
          <w:i/>
          <w:lang w:val="en-GB" w:eastAsia="en-GB"/>
        </w:rPr>
        <w:t>munities of practice amongst e-l</w:t>
      </w:r>
      <w:r w:rsidRPr="001F0681">
        <w:rPr>
          <w:i/>
          <w:lang w:val="en-GB" w:eastAsia="en-GB"/>
        </w:rPr>
        <w:t>earning students</w:t>
      </w:r>
      <w:r w:rsidR="006B5399" w:rsidRPr="001F0681">
        <w:rPr>
          <w:i/>
          <w:lang w:val="en-GB" w:eastAsia="en-GB"/>
        </w:rPr>
        <w:t>: a</w:t>
      </w:r>
      <w:r w:rsidRPr="001F0681">
        <w:rPr>
          <w:i/>
          <w:lang w:val="en-GB" w:eastAsia="en-GB"/>
        </w:rPr>
        <w:t xml:space="preserve"> New Zealand story</w:t>
      </w:r>
      <w:r w:rsidR="001F0681">
        <w:rPr>
          <w:lang w:val="en-GB" w:eastAsia="en-GB"/>
        </w:rPr>
        <w:t>,</w:t>
      </w:r>
      <w:r w:rsidRPr="00D570B0">
        <w:rPr>
          <w:lang w:val="en-GB" w:eastAsia="en-GB"/>
        </w:rPr>
        <w:t xml:space="preserve"> </w:t>
      </w:r>
      <w:r w:rsidRPr="001F0681">
        <w:rPr>
          <w:lang w:val="en-GB" w:eastAsia="en-GB"/>
        </w:rPr>
        <w:t>The International Journal of Technology, Knowle</w:t>
      </w:r>
      <w:r w:rsidR="009A4CAF" w:rsidRPr="001F0681">
        <w:rPr>
          <w:lang w:val="en-GB" w:eastAsia="en-GB"/>
        </w:rPr>
        <w:t>dge and Society, 4(3)</w:t>
      </w:r>
    </w:p>
    <w:p w:rsidR="00517CA7" w:rsidRDefault="00517CA7" w:rsidP="001F0681">
      <w:pPr>
        <w:pStyle w:val="Referencetext"/>
        <w:rPr>
          <w:lang w:val="en-GB" w:eastAsia="en-GB"/>
        </w:rPr>
      </w:pPr>
      <w:r>
        <w:rPr>
          <w:lang w:val="en-GB" w:eastAsia="en-GB"/>
        </w:rPr>
        <w:t>New Zealand C</w:t>
      </w:r>
      <w:r w:rsidR="007E7D8D">
        <w:rPr>
          <w:lang w:val="en-GB" w:eastAsia="en-GB"/>
        </w:rPr>
        <w:t>ouncil for Educational Research</w:t>
      </w:r>
      <w:r w:rsidR="002C0605">
        <w:rPr>
          <w:lang w:val="en-GB" w:eastAsia="en-GB"/>
        </w:rPr>
        <w:t xml:space="preserve"> (2004)</w:t>
      </w:r>
      <w:r w:rsidR="001F0681">
        <w:rPr>
          <w:lang w:val="en-GB" w:eastAsia="en-GB"/>
        </w:rPr>
        <w:t>,</w:t>
      </w:r>
      <w:r>
        <w:rPr>
          <w:lang w:val="en-GB" w:eastAsia="en-GB"/>
        </w:rPr>
        <w:t xml:space="preserve"> </w:t>
      </w:r>
      <w:r w:rsidR="00846800">
        <w:rPr>
          <w:i/>
          <w:lang w:val="en-GB" w:eastAsia="en-GB"/>
        </w:rPr>
        <w:t>Critical s</w:t>
      </w:r>
      <w:r w:rsidRPr="004E7C73">
        <w:rPr>
          <w:i/>
          <w:lang w:val="en-GB" w:eastAsia="en-GB"/>
        </w:rPr>
        <w:t>ucce</w:t>
      </w:r>
      <w:r w:rsidR="00846800">
        <w:rPr>
          <w:i/>
          <w:lang w:val="en-GB" w:eastAsia="en-GB"/>
        </w:rPr>
        <w:t>ss factors and effective p</w:t>
      </w:r>
      <w:r w:rsidRPr="004E7C73">
        <w:rPr>
          <w:i/>
          <w:lang w:val="en-GB" w:eastAsia="en-GB"/>
        </w:rPr>
        <w:t xml:space="preserve">edagogy </w:t>
      </w:r>
      <w:r w:rsidRPr="00846800">
        <w:rPr>
          <w:i/>
          <w:lang w:val="en-GB" w:eastAsia="en-GB"/>
        </w:rPr>
        <w:t>for e-learning</w:t>
      </w:r>
      <w:r w:rsidR="00846800">
        <w:rPr>
          <w:i/>
          <w:lang w:val="en-GB" w:eastAsia="en-GB"/>
        </w:rPr>
        <w:t xml:space="preserve"> in tertiary e</w:t>
      </w:r>
      <w:r w:rsidRPr="004E7C73">
        <w:rPr>
          <w:i/>
          <w:lang w:val="en-GB" w:eastAsia="en-GB"/>
        </w:rPr>
        <w:t>ducation</w:t>
      </w:r>
      <w:r w:rsidR="001F0681">
        <w:rPr>
          <w:lang w:val="en-GB" w:eastAsia="en-GB"/>
        </w:rPr>
        <w:t>,</w:t>
      </w:r>
      <w:r>
        <w:rPr>
          <w:lang w:val="en-GB" w:eastAsia="en-GB"/>
        </w:rPr>
        <w:t xml:space="preserve"> </w:t>
      </w:r>
      <w:r w:rsidR="00A406D6">
        <w:rPr>
          <w:lang w:val="en-GB" w:eastAsia="en-GB"/>
        </w:rPr>
        <w:t>Wellington</w:t>
      </w:r>
      <w:r w:rsidR="001F0681">
        <w:rPr>
          <w:lang w:val="en-GB" w:eastAsia="en-GB"/>
        </w:rPr>
        <w:t>,</w:t>
      </w:r>
      <w:r w:rsidR="00A406D6">
        <w:rPr>
          <w:lang w:val="en-GB" w:eastAsia="en-GB"/>
        </w:rPr>
        <w:t xml:space="preserve"> N</w:t>
      </w:r>
      <w:r w:rsidR="001F0681">
        <w:rPr>
          <w:lang w:val="en-GB" w:eastAsia="en-GB"/>
        </w:rPr>
        <w:t xml:space="preserve">ew </w:t>
      </w:r>
      <w:r w:rsidR="00A406D6">
        <w:rPr>
          <w:lang w:val="en-GB" w:eastAsia="en-GB"/>
        </w:rPr>
        <w:t>Z</w:t>
      </w:r>
      <w:r w:rsidR="001F0681">
        <w:rPr>
          <w:lang w:val="en-GB" w:eastAsia="en-GB"/>
        </w:rPr>
        <w:t xml:space="preserve">ealand </w:t>
      </w:r>
      <w:r w:rsidR="00A406D6">
        <w:rPr>
          <w:lang w:val="en-GB" w:eastAsia="en-GB"/>
        </w:rPr>
        <w:t>C</w:t>
      </w:r>
      <w:r w:rsidR="001F0681">
        <w:rPr>
          <w:lang w:val="en-GB" w:eastAsia="en-GB"/>
        </w:rPr>
        <w:t xml:space="preserve">ouncil for </w:t>
      </w:r>
      <w:r w:rsidR="00A406D6">
        <w:rPr>
          <w:lang w:val="en-GB" w:eastAsia="en-GB"/>
        </w:rPr>
        <w:t>E</w:t>
      </w:r>
      <w:r w:rsidR="001F0681">
        <w:rPr>
          <w:lang w:val="en-GB" w:eastAsia="en-GB"/>
        </w:rPr>
        <w:t xml:space="preserve">ducational </w:t>
      </w:r>
      <w:r w:rsidR="00A406D6">
        <w:rPr>
          <w:lang w:val="en-GB" w:eastAsia="en-GB"/>
        </w:rPr>
        <w:t>R</w:t>
      </w:r>
      <w:r w:rsidR="001F0681">
        <w:rPr>
          <w:lang w:val="en-GB" w:eastAsia="en-GB"/>
        </w:rPr>
        <w:t>esearch, r</w:t>
      </w:r>
      <w:r w:rsidR="00BB513B">
        <w:rPr>
          <w:lang w:val="en-GB" w:eastAsia="en-GB"/>
        </w:rPr>
        <w:t xml:space="preserve">etrieved from </w:t>
      </w:r>
      <w:hyperlink r:id="rId93" w:history="1">
        <w:r w:rsidR="00BB513B" w:rsidRPr="00946DBC">
          <w:rPr>
            <w:rStyle w:val="Hyperlink"/>
            <w:szCs w:val="22"/>
            <w:lang w:val="en-GB" w:eastAsia="en-GB"/>
          </w:rPr>
          <w:t>http://www.minedu.govt.nz/NZEducation/EducationPolicies/TertiaryEducation/PublicationsAndResources/~/media/MinEdu/Files/EducationSectors/TertiaryEducation/NZCERFinalReport.pdf</w:t>
        </w:r>
      </w:hyperlink>
    </w:p>
    <w:p w:rsidR="00517CA7" w:rsidRDefault="00517CA7" w:rsidP="00E96077">
      <w:pPr>
        <w:pStyle w:val="Referencetext"/>
        <w:rPr>
          <w:lang w:val="en-GB" w:eastAsia="en-GB"/>
        </w:rPr>
      </w:pPr>
      <w:r w:rsidRPr="0089199D">
        <w:rPr>
          <w:lang w:val="en-GB" w:eastAsia="en-GB"/>
        </w:rPr>
        <w:lastRenderedPageBreak/>
        <w:t>Nichols, M. (2008)</w:t>
      </w:r>
      <w:r w:rsidR="00983395">
        <w:rPr>
          <w:lang w:val="en-GB" w:eastAsia="en-GB"/>
        </w:rPr>
        <w:t>,</w:t>
      </w:r>
      <w:r w:rsidR="006B5399">
        <w:rPr>
          <w:i/>
          <w:lang w:val="en-GB" w:eastAsia="en-GB"/>
        </w:rPr>
        <w:t xml:space="preserve"> E-primer s</w:t>
      </w:r>
      <w:r w:rsidRPr="00420406">
        <w:rPr>
          <w:i/>
          <w:lang w:val="en-GB" w:eastAsia="en-GB"/>
        </w:rPr>
        <w:t>eries</w:t>
      </w:r>
      <w:r>
        <w:rPr>
          <w:i/>
          <w:lang w:val="en-GB" w:eastAsia="en-GB"/>
        </w:rPr>
        <w:t xml:space="preserve">: </w:t>
      </w:r>
      <w:r w:rsidRPr="00420406">
        <w:rPr>
          <w:i/>
          <w:lang w:val="en-GB" w:eastAsia="en-GB"/>
        </w:rPr>
        <w:t xml:space="preserve">E-learning </w:t>
      </w:r>
      <w:r w:rsidRPr="006B5399">
        <w:rPr>
          <w:i/>
          <w:lang w:val="en-GB" w:eastAsia="en-GB"/>
        </w:rPr>
        <w:t>in context</w:t>
      </w:r>
      <w:r w:rsidR="00983395">
        <w:rPr>
          <w:lang w:val="en-GB" w:eastAsia="en-GB"/>
        </w:rPr>
        <w:t>,</w:t>
      </w:r>
      <w:r>
        <w:rPr>
          <w:lang w:val="en-GB" w:eastAsia="en-GB"/>
        </w:rPr>
        <w:t xml:space="preserve"> Laidlaw College, New Zealand</w:t>
      </w:r>
      <w:r w:rsidR="00983395">
        <w:rPr>
          <w:lang w:val="en-GB" w:eastAsia="en-GB"/>
        </w:rPr>
        <w:t>,</w:t>
      </w:r>
      <w:r>
        <w:rPr>
          <w:lang w:val="en-GB" w:eastAsia="en-GB"/>
        </w:rPr>
        <w:t xml:space="preserve"> </w:t>
      </w:r>
      <w:r w:rsidR="00983395">
        <w:rPr>
          <w:lang w:val="en-GB" w:eastAsia="en-GB"/>
        </w:rPr>
        <w:t>r</w:t>
      </w:r>
      <w:r w:rsidR="00BB513B">
        <w:rPr>
          <w:lang w:val="en-GB" w:eastAsia="en-GB"/>
        </w:rPr>
        <w:t xml:space="preserve">etrieved from </w:t>
      </w:r>
      <w:hyperlink r:id="rId94" w:history="1">
        <w:r w:rsidR="00BB513B" w:rsidRPr="00DE3F2D">
          <w:rPr>
            <w:rStyle w:val="Hyperlink"/>
            <w:szCs w:val="22"/>
            <w:lang w:val="en-GB" w:eastAsia="en-GB"/>
          </w:rPr>
          <w:t>http://akoaotearoa.ac.nz/download/ng/file/group-661/n877-1---e-learning-in-context.pdf</w:t>
        </w:r>
      </w:hyperlink>
      <w:r w:rsidR="00BB513B">
        <w:rPr>
          <w:lang w:val="en-GB" w:eastAsia="en-GB"/>
        </w:rPr>
        <w:t xml:space="preserve">  </w:t>
      </w:r>
    </w:p>
    <w:p w:rsidR="00517CA7" w:rsidRPr="00C160F2" w:rsidRDefault="007E7D8D" w:rsidP="00983395">
      <w:pPr>
        <w:pStyle w:val="Referencetext"/>
      </w:pPr>
      <w:r>
        <w:rPr>
          <w:lang w:val="en-GB" w:eastAsia="en-GB"/>
        </w:rPr>
        <w:t>Nooriafshar, M.</w:t>
      </w:r>
      <w:r w:rsidR="002C0605">
        <w:rPr>
          <w:lang w:val="en-GB" w:eastAsia="en-GB"/>
        </w:rPr>
        <w:t xml:space="preserve"> (2004</w:t>
      </w:r>
      <w:r w:rsidR="00983395">
        <w:rPr>
          <w:lang w:val="en-GB" w:eastAsia="en-GB"/>
        </w:rPr>
        <w:t>),</w:t>
      </w:r>
      <w:r w:rsidR="00517CA7" w:rsidRPr="00C160F2">
        <w:rPr>
          <w:lang w:val="en-GB" w:eastAsia="en-GB"/>
        </w:rPr>
        <w:t xml:space="preserve"> </w:t>
      </w:r>
      <w:r w:rsidR="00517CA7" w:rsidRPr="00170BAB">
        <w:rPr>
          <w:i/>
          <w:iCs/>
          <w:lang w:val="en-GB" w:eastAsia="en-GB"/>
        </w:rPr>
        <w:t xml:space="preserve">A </w:t>
      </w:r>
      <w:r w:rsidR="001553BB">
        <w:rPr>
          <w:i/>
          <w:iCs/>
          <w:lang w:val="en-GB" w:eastAsia="en-GB"/>
        </w:rPr>
        <w:t>m</w:t>
      </w:r>
      <w:r w:rsidR="00517CA7" w:rsidRPr="001553BB">
        <w:rPr>
          <w:i/>
          <w:iCs/>
          <w:lang w:val="en-GB" w:eastAsia="en-GB"/>
        </w:rPr>
        <w:t>ulti-sense</w:t>
      </w:r>
      <w:r w:rsidR="00846800">
        <w:rPr>
          <w:i/>
          <w:iCs/>
          <w:lang w:val="en-GB" w:eastAsia="en-GB"/>
        </w:rPr>
        <w:t xml:space="preserve"> approach to information reception and knowledge creation in l</w:t>
      </w:r>
      <w:r w:rsidR="00517CA7" w:rsidRPr="00170BAB">
        <w:rPr>
          <w:i/>
          <w:iCs/>
          <w:lang w:val="en-GB" w:eastAsia="en-GB"/>
        </w:rPr>
        <w:t>earning</w:t>
      </w:r>
      <w:r w:rsidR="006E3480">
        <w:rPr>
          <w:iCs/>
          <w:lang w:val="en-GB" w:eastAsia="en-GB"/>
        </w:rPr>
        <w:t>.</w:t>
      </w:r>
      <w:r w:rsidR="00387A9B">
        <w:rPr>
          <w:rStyle w:val="apple-converted-space"/>
          <w:rFonts w:cs="Arial"/>
          <w:color w:val="444444"/>
          <w:sz w:val="20"/>
          <w:shd w:val="clear" w:color="auto" w:fill="FFFFFF"/>
        </w:rPr>
        <w:t> </w:t>
      </w:r>
      <w:r w:rsidR="006E3480" w:rsidRPr="00983395">
        <w:t xml:space="preserve">Paper presented at the </w:t>
      </w:r>
      <w:r w:rsidR="00387A9B" w:rsidRPr="00983395">
        <w:t>Third Pan-Commonwealth Forum on Open Learning (PCF3), Dunedin, New Zealand</w:t>
      </w:r>
      <w:r w:rsidR="00983395">
        <w:rPr>
          <w:lang w:val="en-GB" w:eastAsia="en-GB"/>
        </w:rPr>
        <w:t>, r</w:t>
      </w:r>
      <w:r w:rsidR="00517CA7" w:rsidRPr="00C160F2">
        <w:rPr>
          <w:lang w:val="en-GB" w:eastAsia="en-GB"/>
        </w:rPr>
        <w:t xml:space="preserve">etrieved from </w:t>
      </w:r>
      <w:hyperlink r:id="rId95" w:history="1">
        <w:r w:rsidR="00517CA7" w:rsidRPr="00C160F2">
          <w:rPr>
            <w:rStyle w:val="Hyperlink"/>
            <w:szCs w:val="22"/>
            <w:lang w:val="en-GB" w:eastAsia="en-GB"/>
          </w:rPr>
          <w:t>http://www.col.org/pcf3/papers/pdfs/nooriafshar_mehryar.pdf</w:t>
        </w:r>
      </w:hyperlink>
    </w:p>
    <w:p w:rsidR="00517CA7" w:rsidRDefault="00517CA7" w:rsidP="00E96077">
      <w:pPr>
        <w:pStyle w:val="Referencetext"/>
      </w:pPr>
      <w:r w:rsidRPr="00C160F2">
        <w:t>Nora, A</w:t>
      </w:r>
      <w:r w:rsidR="007E7D8D">
        <w:t>.</w:t>
      </w:r>
      <w:r w:rsidRPr="00C160F2">
        <w:t xml:space="preserve">, </w:t>
      </w:r>
      <w:r w:rsidR="00D15BE5">
        <w:t>and</w:t>
      </w:r>
      <w:r w:rsidRPr="00C160F2">
        <w:t xml:space="preserve"> S</w:t>
      </w:r>
      <w:r>
        <w:t>ny</w:t>
      </w:r>
      <w:r w:rsidR="002C0605">
        <w:t>der, B. P. (2008)</w:t>
      </w:r>
      <w:r w:rsidR="00983395">
        <w:t>,</w:t>
      </w:r>
      <w:r w:rsidRPr="00C160F2">
        <w:t xml:space="preserve"> </w:t>
      </w:r>
      <w:r w:rsidR="001553BB" w:rsidRPr="00983395">
        <w:rPr>
          <w:i/>
        </w:rPr>
        <w:t>Technology and higher e</w:t>
      </w:r>
      <w:r w:rsidRPr="00983395">
        <w:rPr>
          <w:i/>
        </w:rPr>
        <w:t>duc</w:t>
      </w:r>
      <w:r w:rsidR="00882E2F" w:rsidRPr="00983395">
        <w:rPr>
          <w:i/>
        </w:rPr>
        <w:t>ation: t</w:t>
      </w:r>
      <w:r w:rsidR="001553BB" w:rsidRPr="00983395">
        <w:rPr>
          <w:i/>
        </w:rPr>
        <w:t>he impact of e-learning a</w:t>
      </w:r>
      <w:r w:rsidR="00436B88" w:rsidRPr="00983395">
        <w:rPr>
          <w:i/>
        </w:rPr>
        <w:t>pproaches o</w:t>
      </w:r>
      <w:r w:rsidR="001553BB" w:rsidRPr="00983395">
        <w:rPr>
          <w:i/>
        </w:rPr>
        <w:t>n student academic a</w:t>
      </w:r>
      <w:r w:rsidRPr="00983395">
        <w:rPr>
          <w:i/>
        </w:rPr>
        <w:t xml:space="preserve">chievement, </w:t>
      </w:r>
      <w:r w:rsidR="001553BB" w:rsidRPr="00983395">
        <w:rPr>
          <w:i/>
        </w:rPr>
        <w:t>perceptions and p</w:t>
      </w:r>
      <w:r w:rsidRPr="00983395">
        <w:rPr>
          <w:i/>
        </w:rPr>
        <w:t>ersistence</w:t>
      </w:r>
      <w:r w:rsidR="00983395">
        <w:t>,</w:t>
      </w:r>
      <w:r w:rsidR="00983395" w:rsidRPr="007D78DA">
        <w:rPr>
          <w:i/>
        </w:rPr>
        <w:t xml:space="preserve"> </w:t>
      </w:r>
      <w:r w:rsidR="00983395" w:rsidRPr="00983395">
        <w:t>Journal</w:t>
      </w:r>
      <w:r w:rsidR="00882E2F" w:rsidRPr="00983395">
        <w:t xml:space="preserve"> of College Student Retention</w:t>
      </w:r>
      <w:r w:rsidR="007D78DA" w:rsidRPr="00983395">
        <w:t>: Research, Theory and Practice</w:t>
      </w:r>
      <w:r w:rsidR="00882E2F" w:rsidRPr="00983395">
        <w:t>, 10(1</w:t>
      </w:r>
      <w:r w:rsidR="00983395">
        <w:t>)</w:t>
      </w:r>
    </w:p>
    <w:p w:rsidR="00517CA7" w:rsidRPr="00C160F2" w:rsidRDefault="00436B88" w:rsidP="00E96077">
      <w:pPr>
        <w:pStyle w:val="Referencetext"/>
        <w:rPr>
          <w:iCs/>
          <w:lang w:val="en-GB" w:eastAsia="en-GB"/>
        </w:rPr>
      </w:pPr>
      <w:r>
        <w:t xml:space="preserve">Oh, E., </w:t>
      </w:r>
      <w:r w:rsidR="00D15BE5">
        <w:t>and</w:t>
      </w:r>
      <w:r>
        <w:t xml:space="preserve"> Lim, D.</w:t>
      </w:r>
      <w:r w:rsidR="00983395">
        <w:t xml:space="preserve"> (2005), </w:t>
      </w:r>
      <w:r w:rsidRPr="00983395">
        <w:rPr>
          <w:i/>
          <w:iCs/>
        </w:rPr>
        <w:t>Cross relationships between cognitive styles and learner v</w:t>
      </w:r>
      <w:r w:rsidR="00517CA7" w:rsidRPr="00983395">
        <w:rPr>
          <w:i/>
          <w:iCs/>
        </w:rPr>
        <w:t>ariabl</w:t>
      </w:r>
      <w:r w:rsidRPr="00983395">
        <w:rPr>
          <w:i/>
          <w:iCs/>
        </w:rPr>
        <w:t>es in online learning e</w:t>
      </w:r>
      <w:r w:rsidR="001553BB" w:rsidRPr="00983395">
        <w:rPr>
          <w:i/>
          <w:iCs/>
        </w:rPr>
        <w:t>nvironment</w:t>
      </w:r>
      <w:r w:rsidR="00983395">
        <w:rPr>
          <w:iCs/>
        </w:rPr>
        <w:t>,</w:t>
      </w:r>
      <w:r w:rsidR="00517CA7" w:rsidRPr="00C160F2">
        <w:rPr>
          <w:i/>
          <w:iCs/>
        </w:rPr>
        <w:t xml:space="preserve"> </w:t>
      </w:r>
      <w:r w:rsidR="00517CA7" w:rsidRPr="00983395">
        <w:rPr>
          <w:iCs/>
        </w:rPr>
        <w:t xml:space="preserve">Journal of Interactive Online Learning, </w:t>
      </w:r>
      <w:r w:rsidR="00517CA7" w:rsidRPr="00983395">
        <w:t>4</w:t>
      </w:r>
      <w:r w:rsidR="00065596" w:rsidRPr="00983395">
        <w:t>(</w:t>
      </w:r>
      <w:r w:rsidR="00517CA7" w:rsidRPr="00983395">
        <w:t>1</w:t>
      </w:r>
      <w:r w:rsidR="00065596" w:rsidRPr="00983395">
        <w:t>)</w:t>
      </w:r>
      <w:r w:rsidR="00983395">
        <w:t>, r</w:t>
      </w:r>
      <w:r w:rsidR="00BB513B" w:rsidRPr="00C160F2">
        <w:t xml:space="preserve">etrieved from </w:t>
      </w:r>
      <w:hyperlink r:id="rId96" w:history="1">
        <w:r w:rsidR="00BB513B" w:rsidRPr="00C160F2">
          <w:rPr>
            <w:rStyle w:val="Hyperlink"/>
            <w:szCs w:val="22"/>
          </w:rPr>
          <w:t>http://www.ncolr.org/jiol/issues/pdf/4.1.4.pdf</w:t>
        </w:r>
      </w:hyperlink>
    </w:p>
    <w:p w:rsidR="00517CA7" w:rsidRDefault="00517CA7" w:rsidP="00983395">
      <w:pPr>
        <w:pStyle w:val="Referencetext"/>
      </w:pPr>
      <w:r w:rsidRPr="00887ABA">
        <w:t>Open P</w:t>
      </w:r>
      <w:r w:rsidR="00436B88">
        <w:t>olytechnic of New Zealand</w:t>
      </w:r>
      <w:r w:rsidR="002C0605">
        <w:t xml:space="preserve"> (2012)</w:t>
      </w:r>
      <w:r w:rsidR="00983395">
        <w:t>,</w:t>
      </w:r>
      <w:r>
        <w:t xml:space="preserve"> </w:t>
      </w:r>
      <w:r w:rsidRPr="004C1767">
        <w:rPr>
          <w:i/>
        </w:rPr>
        <w:t xml:space="preserve">What is it like to study by </w:t>
      </w:r>
      <w:r w:rsidRPr="001553BB">
        <w:rPr>
          <w:i/>
        </w:rPr>
        <w:t>distance</w:t>
      </w:r>
      <w:r w:rsidR="00887ABA">
        <w:t>?</w:t>
      </w:r>
      <w:r w:rsidR="002E72F6">
        <w:t xml:space="preserve"> </w:t>
      </w:r>
      <w:r w:rsidR="00983395">
        <w:t>R</w:t>
      </w:r>
      <w:r>
        <w:t xml:space="preserve">etrieved from </w:t>
      </w:r>
      <w:r w:rsidR="00983395" w:rsidRPr="00983395">
        <w:t xml:space="preserve"> </w:t>
      </w:r>
      <w:hyperlink r:id="rId97" w:history="1">
        <w:r w:rsidR="00983395" w:rsidRPr="00AE6D3C">
          <w:rPr>
            <w:rStyle w:val="Hyperlink"/>
          </w:rPr>
          <w:t>http://www.openpolytechnic.ac.nz/study-with-us/why-us/what-is-it-like-to-study-by-distance/</w:t>
        </w:r>
      </w:hyperlink>
      <w:r>
        <w:t xml:space="preserve">, </w:t>
      </w:r>
      <w:r w:rsidR="00983395">
        <w:t xml:space="preserve"> </w:t>
      </w:r>
      <w:r w:rsidRPr="00887ABA">
        <w:t>and</w:t>
      </w:r>
      <w:r w:rsidR="00887ABA" w:rsidRPr="00887ABA">
        <w:t xml:space="preserve"> </w:t>
      </w:r>
      <w:r w:rsidR="00887ABA" w:rsidRPr="00887ABA">
        <w:rPr>
          <w:i/>
        </w:rPr>
        <w:t>About</w:t>
      </w:r>
      <w:r w:rsidRPr="00887ABA">
        <w:t xml:space="preserve"> </w:t>
      </w:r>
      <w:r w:rsidR="00887ABA" w:rsidRPr="00887ABA">
        <w:rPr>
          <w:i/>
        </w:rPr>
        <w:t>o</w:t>
      </w:r>
      <w:r w:rsidRPr="00887ABA">
        <w:rPr>
          <w:i/>
        </w:rPr>
        <w:t>ur students</w:t>
      </w:r>
      <w:r w:rsidR="006C343F" w:rsidRPr="00887ABA">
        <w:rPr>
          <w:i/>
        </w:rPr>
        <w:t>,</w:t>
      </w:r>
      <w:r>
        <w:t xml:space="preserve"> retrieved from </w:t>
      </w:r>
      <w:hyperlink r:id="rId98" w:history="1">
        <w:r w:rsidRPr="00897ED5">
          <w:rPr>
            <w:rStyle w:val="Hyperlink"/>
          </w:rPr>
          <w:t>http://www.openpolytechnic.ac.nz/study-with-us/our-students/</w:t>
        </w:r>
      </w:hyperlink>
      <w:r>
        <w:t xml:space="preserve"> </w:t>
      </w:r>
    </w:p>
    <w:p w:rsidR="00B46200" w:rsidRDefault="00B46200" w:rsidP="00E96077">
      <w:pPr>
        <w:pStyle w:val="Referencetext"/>
        <w:rPr>
          <w:iCs/>
          <w:lang w:val="en-GB" w:eastAsia="en-GB"/>
        </w:rPr>
      </w:pPr>
      <w:r w:rsidRPr="00C160F2">
        <w:rPr>
          <w:iCs/>
          <w:lang w:val="en-GB" w:eastAsia="en-GB"/>
        </w:rPr>
        <w:t xml:space="preserve">Paas, F., Tuovinen, J. E., </w:t>
      </w:r>
      <w:r>
        <w:rPr>
          <w:iCs/>
          <w:lang w:val="en-GB" w:eastAsia="en-GB"/>
        </w:rPr>
        <w:t>v</w:t>
      </w:r>
      <w:r w:rsidRPr="00C160F2">
        <w:rPr>
          <w:iCs/>
          <w:lang w:val="en-GB" w:eastAsia="en-GB"/>
        </w:rPr>
        <w:t>an Merri</w:t>
      </w:r>
      <w:r>
        <w:rPr>
          <w:iCs/>
          <w:lang w:val="en-GB" w:eastAsia="en-GB"/>
        </w:rPr>
        <w:t xml:space="preserve">ënboer, J. J. G., </w:t>
      </w:r>
      <w:r w:rsidR="00D15BE5">
        <w:rPr>
          <w:iCs/>
          <w:lang w:val="en-GB" w:eastAsia="en-GB"/>
        </w:rPr>
        <w:t>and</w:t>
      </w:r>
      <w:r>
        <w:rPr>
          <w:iCs/>
          <w:lang w:val="en-GB" w:eastAsia="en-GB"/>
        </w:rPr>
        <w:t xml:space="preserve"> Darabi, A. (2005)</w:t>
      </w:r>
      <w:r w:rsidR="00983395">
        <w:rPr>
          <w:iCs/>
          <w:lang w:val="en-GB" w:eastAsia="en-GB"/>
        </w:rPr>
        <w:t>,</w:t>
      </w:r>
      <w:r w:rsidRPr="00C160F2">
        <w:rPr>
          <w:iCs/>
          <w:lang w:val="en-GB" w:eastAsia="en-GB"/>
        </w:rPr>
        <w:t xml:space="preserve"> </w:t>
      </w:r>
      <w:r w:rsidRPr="007E4E50">
        <w:rPr>
          <w:iCs/>
          <w:lang w:val="en-GB" w:eastAsia="en-GB"/>
        </w:rPr>
        <w:t>A</w:t>
      </w:r>
      <w:r w:rsidRPr="00983395">
        <w:rPr>
          <w:i/>
          <w:iCs/>
          <w:lang w:val="en-GB" w:eastAsia="en-GB"/>
        </w:rPr>
        <w:t xml:space="preserve"> motivational perspective on the relation between mental effort and performance: optimizing learner involvement in instruction</w:t>
      </w:r>
      <w:r w:rsidR="00983395">
        <w:rPr>
          <w:iCs/>
          <w:lang w:val="en-GB" w:eastAsia="en-GB"/>
        </w:rPr>
        <w:t>,</w:t>
      </w:r>
      <w:r w:rsidRPr="001553BB">
        <w:rPr>
          <w:iCs/>
          <w:lang w:val="en-GB" w:eastAsia="en-GB"/>
        </w:rPr>
        <w:t xml:space="preserve"> </w:t>
      </w:r>
      <w:r w:rsidRPr="00983395">
        <w:rPr>
          <w:iCs/>
          <w:lang w:val="en-GB" w:eastAsia="en-GB"/>
        </w:rPr>
        <w:t>Educational Technology Research and Development, 53(3)</w:t>
      </w:r>
    </w:p>
    <w:p w:rsidR="00517CA7" w:rsidRPr="009564F9" w:rsidRDefault="00517CA7" w:rsidP="00E96077">
      <w:pPr>
        <w:pStyle w:val="Referencetext"/>
      </w:pPr>
      <w:r>
        <w:t xml:space="preserve">Packham, J., Jones, P., Miller, C., </w:t>
      </w:r>
      <w:r w:rsidR="00D15BE5">
        <w:t>and</w:t>
      </w:r>
      <w:r w:rsidR="002C0605">
        <w:t xml:space="preserve"> </w:t>
      </w:r>
      <w:r w:rsidR="00436B88">
        <w:t>Thomas, B.</w:t>
      </w:r>
      <w:r w:rsidR="002C0605">
        <w:t xml:space="preserve"> (2004)</w:t>
      </w:r>
      <w:r w:rsidR="00983395">
        <w:t>,</w:t>
      </w:r>
      <w:r>
        <w:t xml:space="preserve"> </w:t>
      </w:r>
      <w:r w:rsidR="00436B88" w:rsidRPr="00983395">
        <w:rPr>
          <w:i/>
        </w:rPr>
        <w:t>E-learning</w:t>
      </w:r>
      <w:r w:rsidR="001553BB" w:rsidRPr="00983395">
        <w:rPr>
          <w:i/>
        </w:rPr>
        <w:t xml:space="preserve"> and r</w:t>
      </w:r>
      <w:r w:rsidR="00887ABA" w:rsidRPr="00983395">
        <w:rPr>
          <w:i/>
        </w:rPr>
        <w:t>etention: k</w:t>
      </w:r>
      <w:r w:rsidRPr="00983395">
        <w:rPr>
          <w:i/>
        </w:rPr>
        <w:t>ey factors influencing student</w:t>
      </w:r>
      <w:r w:rsidR="001553BB" w:rsidRPr="00983395">
        <w:rPr>
          <w:i/>
        </w:rPr>
        <w:t xml:space="preserve"> withdrawal</w:t>
      </w:r>
      <w:r w:rsidR="00983395">
        <w:t>,</w:t>
      </w:r>
      <w:r>
        <w:rPr>
          <w:i/>
        </w:rPr>
        <w:t xml:space="preserve"> </w:t>
      </w:r>
      <w:r w:rsidR="00887ABA" w:rsidRPr="00983395">
        <w:t>Education and Training, 46(6/7</w:t>
      </w:r>
      <w:r w:rsidR="00983395">
        <w:t>, r</w:t>
      </w:r>
      <w:r>
        <w:t xml:space="preserve">etrieved from </w:t>
      </w:r>
      <w:hyperlink r:id="rId99" w:history="1">
        <w:r w:rsidRPr="00C724D1">
          <w:rPr>
            <w:rStyle w:val="Hyperlink"/>
          </w:rPr>
          <w:t>http://www.emeraldinsight.com/journals.htm?articleid=837824&amp;show=abstract</w:t>
        </w:r>
      </w:hyperlink>
      <w:r>
        <w:t xml:space="preserve">  </w:t>
      </w:r>
    </w:p>
    <w:p w:rsidR="00517CA7" w:rsidRDefault="00436B88" w:rsidP="00253DD5">
      <w:pPr>
        <w:pStyle w:val="Referencetext"/>
      </w:pPr>
      <w:r>
        <w:t xml:space="preserve">Palloff, R. M., </w:t>
      </w:r>
      <w:r w:rsidR="00D15BE5">
        <w:t>and</w:t>
      </w:r>
      <w:r>
        <w:t xml:space="preserve"> Pratt, K.</w:t>
      </w:r>
      <w:r w:rsidR="002C0605">
        <w:t xml:space="preserve"> (2003)</w:t>
      </w:r>
      <w:r w:rsidR="00253DD5">
        <w:t>,</w:t>
      </w:r>
      <w:r w:rsidR="00517CA7">
        <w:t xml:space="preserve"> </w:t>
      </w:r>
      <w:r w:rsidR="001553BB">
        <w:rPr>
          <w:i/>
        </w:rPr>
        <w:t>The virtual student: A profile and guide to working with online learners</w:t>
      </w:r>
      <w:r w:rsidR="00253DD5">
        <w:t>,</w:t>
      </w:r>
      <w:r w:rsidR="00517CA7">
        <w:rPr>
          <w:i/>
        </w:rPr>
        <w:t xml:space="preserve"> </w:t>
      </w:r>
      <w:r w:rsidR="00E04B60">
        <w:t>San Francisco:</w:t>
      </w:r>
      <w:r w:rsidR="00517CA7">
        <w:t xml:space="preserve"> Jos</w:t>
      </w:r>
      <w:r>
        <w:t>s</w:t>
      </w:r>
      <w:r w:rsidR="00517CA7">
        <w:t>ey-Bass</w:t>
      </w:r>
      <w:r w:rsidR="00253DD5">
        <w:t>, r</w:t>
      </w:r>
      <w:r w:rsidR="00517CA7">
        <w:t xml:space="preserve">etrieved from </w:t>
      </w:r>
      <w:hyperlink r:id="rId100" w:anchor="v=onepage&amp;q=distancepercent20studentpercent20profiles&amp;f=false" w:history="1">
        <w:r w:rsidR="00B46200" w:rsidRPr="004239E9">
          <w:rPr>
            <w:rStyle w:val="Hyperlink"/>
          </w:rPr>
          <w:t>http://books.google.co.nz/books?hl=en&amp;lr=&amp;id=iaIGpJj2JnQC&amp;oi=fnd&amp;pg=PR11&amp;dq=distance+student+profiles&amp;ots=u4Gp8lusNL&amp;sig=suZsuMoQAJLS1zjF8R-buoc1wLY#v=onepage&amp;q=distancepercent20studentpercent20profiles&amp;f=false</w:t>
        </w:r>
      </w:hyperlink>
    </w:p>
    <w:p w:rsidR="00EA2A09" w:rsidRPr="00EA2A09" w:rsidRDefault="00EA2A09" w:rsidP="00253DD5">
      <w:pPr>
        <w:pStyle w:val="Referencetext"/>
        <w:rPr>
          <w:iCs/>
          <w:lang w:val="en-GB" w:eastAsia="en-GB"/>
        </w:rPr>
      </w:pPr>
      <w:r>
        <w:t>Poskitt, J., Rees, M., and Suddaby, G. (2011)</w:t>
      </w:r>
      <w:r w:rsidR="00253DD5">
        <w:t>,</w:t>
      </w:r>
      <w:r>
        <w:t xml:space="preserve"> in </w:t>
      </w:r>
      <w:r w:rsidR="0092662E">
        <w:rPr>
          <w:i/>
        </w:rPr>
        <w:t xml:space="preserve">Engaging university at a distance: The differences in levels of student engagement among extramural and campus-based </w:t>
      </w:r>
      <w:r w:rsidR="0092662E" w:rsidRPr="0092662E">
        <w:rPr>
          <w:i/>
        </w:rPr>
        <w:t>students</w:t>
      </w:r>
      <w:r w:rsidR="0092662E">
        <w:t xml:space="preserve"> in Radloff, A., editor, </w:t>
      </w:r>
      <w:r w:rsidRPr="0092662E">
        <w:t>Student</w:t>
      </w:r>
      <w:r>
        <w:rPr>
          <w:i/>
        </w:rPr>
        <w:t xml:space="preserve"> </w:t>
      </w:r>
      <w:r w:rsidRPr="0092662E">
        <w:t>engagement in New Zealand’s universities</w:t>
      </w:r>
      <w:r w:rsidR="0092662E">
        <w:t xml:space="preserve">, </w:t>
      </w:r>
      <w:r w:rsidR="005F2D2C" w:rsidRPr="0092662E">
        <w:t>Wellington</w:t>
      </w:r>
      <w:r w:rsidR="005F2D2C">
        <w:t>, Ako Aotearoa, 70-76</w:t>
      </w:r>
    </w:p>
    <w:p w:rsidR="00517CA7" w:rsidRPr="00F62601" w:rsidRDefault="00517CA7" w:rsidP="00E96077">
      <w:pPr>
        <w:pStyle w:val="Referencetext"/>
        <w:rPr>
          <w:lang w:val="en-GB" w:eastAsia="en-GB"/>
        </w:rPr>
      </w:pPr>
      <w:r w:rsidRPr="007E4E50">
        <w:rPr>
          <w:iCs/>
          <w:lang w:val="en-GB" w:eastAsia="en-GB"/>
        </w:rPr>
        <w:t>Pratt, K. (2009)</w:t>
      </w:r>
      <w:r w:rsidR="00253DD5">
        <w:rPr>
          <w:iCs/>
          <w:lang w:val="en-GB" w:eastAsia="en-GB"/>
        </w:rPr>
        <w:t>,</w:t>
      </w:r>
      <w:r w:rsidRPr="007E4E50">
        <w:rPr>
          <w:iCs/>
          <w:lang w:val="en-GB" w:eastAsia="en-GB"/>
        </w:rPr>
        <w:t xml:space="preserve"> </w:t>
      </w:r>
      <w:r w:rsidR="001553BB" w:rsidRPr="007E4E50">
        <w:rPr>
          <w:i/>
          <w:iCs/>
          <w:lang w:val="en-GB" w:eastAsia="en-GB"/>
        </w:rPr>
        <w:t>Tertiary s</w:t>
      </w:r>
      <w:r w:rsidRPr="007E4E50">
        <w:rPr>
          <w:i/>
          <w:iCs/>
          <w:lang w:val="en-GB" w:eastAsia="en-GB"/>
        </w:rPr>
        <w:t>tudents</w:t>
      </w:r>
      <w:r w:rsidR="009A4CAF" w:rsidRPr="007E4E50">
        <w:rPr>
          <w:i/>
          <w:iCs/>
          <w:lang w:val="en-GB" w:eastAsia="en-GB"/>
        </w:rPr>
        <w:t>’</w:t>
      </w:r>
      <w:r w:rsidR="001553BB" w:rsidRPr="007E4E50">
        <w:rPr>
          <w:i/>
          <w:iCs/>
          <w:lang w:val="en-GB" w:eastAsia="en-GB"/>
        </w:rPr>
        <w:t xml:space="preserve"> changing access to t</w:t>
      </w:r>
      <w:r w:rsidRPr="007E4E50">
        <w:rPr>
          <w:i/>
          <w:iCs/>
          <w:lang w:val="en-GB" w:eastAsia="en-GB"/>
        </w:rPr>
        <w:t>echnology: O</w:t>
      </w:r>
      <w:r w:rsidR="001553BB" w:rsidRPr="007E4E50">
        <w:rPr>
          <w:i/>
          <w:iCs/>
          <w:lang w:val="en-GB" w:eastAsia="en-GB"/>
        </w:rPr>
        <w:t>bservations from a New Zealand u</w:t>
      </w:r>
      <w:r w:rsidRPr="007E4E50">
        <w:rPr>
          <w:i/>
          <w:iCs/>
          <w:lang w:val="en-GB" w:eastAsia="en-GB"/>
        </w:rPr>
        <w:t>niversity</w:t>
      </w:r>
      <w:r w:rsidR="00253DD5">
        <w:rPr>
          <w:iCs/>
          <w:lang w:val="en-GB" w:eastAsia="en-GB"/>
        </w:rPr>
        <w:t>, i</w:t>
      </w:r>
      <w:r w:rsidRPr="007E4E50">
        <w:rPr>
          <w:iCs/>
          <w:lang w:val="en-GB" w:eastAsia="en-GB"/>
        </w:rPr>
        <w:t xml:space="preserve">n G. Siemens </w:t>
      </w:r>
      <w:r w:rsidR="0068749C">
        <w:rPr>
          <w:iCs/>
          <w:lang w:val="en-GB" w:eastAsia="en-GB"/>
        </w:rPr>
        <w:t>&amp; C. Fulford (Eds.),</w:t>
      </w:r>
      <w:r w:rsidRPr="007E4E50">
        <w:rPr>
          <w:iCs/>
          <w:lang w:val="en-GB" w:eastAsia="en-GB"/>
        </w:rPr>
        <w:t xml:space="preserve"> </w:t>
      </w:r>
      <w:r w:rsidRPr="00253DD5">
        <w:rPr>
          <w:iCs/>
          <w:lang w:val="en-GB" w:eastAsia="en-GB"/>
        </w:rPr>
        <w:t>Proceedings of World Conference on Educational Multimedia, Hypermedia and Teleco</w:t>
      </w:r>
      <w:r w:rsidR="007E4E50" w:rsidRPr="00253DD5">
        <w:rPr>
          <w:iCs/>
          <w:lang w:val="en-GB" w:eastAsia="en-GB"/>
        </w:rPr>
        <w:t>mmunications 2009</w:t>
      </w:r>
      <w:r w:rsidR="00253DD5">
        <w:rPr>
          <w:iCs/>
          <w:lang w:val="en-GB" w:eastAsia="en-GB"/>
        </w:rPr>
        <w:t>,</w:t>
      </w:r>
      <w:r w:rsidR="007E4E50">
        <w:rPr>
          <w:iCs/>
          <w:lang w:val="en-GB" w:eastAsia="en-GB"/>
        </w:rPr>
        <w:t xml:space="preserve"> </w:t>
      </w:r>
      <w:r w:rsidR="009A4CAF" w:rsidRPr="007E4E50">
        <w:rPr>
          <w:iCs/>
          <w:lang w:val="en-GB" w:eastAsia="en-GB"/>
        </w:rPr>
        <w:t xml:space="preserve">Chesapeake, </w:t>
      </w:r>
      <w:r w:rsidR="00253DD5">
        <w:rPr>
          <w:iCs/>
          <w:lang w:val="en-GB" w:eastAsia="en-GB"/>
        </w:rPr>
        <w:t>Virginia</w:t>
      </w:r>
    </w:p>
    <w:p w:rsidR="00517CA7" w:rsidRDefault="00517CA7" w:rsidP="00253DD5">
      <w:pPr>
        <w:pStyle w:val="Referencetext"/>
      </w:pPr>
      <w:r w:rsidRPr="00E771E8">
        <w:rPr>
          <w:lang w:val="en-GB" w:eastAsia="en-GB"/>
        </w:rPr>
        <w:t>Rhode, J.</w:t>
      </w:r>
      <w:r>
        <w:rPr>
          <w:lang w:val="en-GB" w:eastAsia="en-GB"/>
        </w:rPr>
        <w:t xml:space="preserve"> F.</w:t>
      </w:r>
      <w:r w:rsidR="002C0605">
        <w:rPr>
          <w:lang w:val="en-GB" w:eastAsia="en-GB"/>
        </w:rPr>
        <w:t xml:space="preserve"> (2009)</w:t>
      </w:r>
      <w:r w:rsidR="00253DD5">
        <w:rPr>
          <w:lang w:val="en-GB" w:eastAsia="en-GB"/>
        </w:rPr>
        <w:t>,</w:t>
      </w:r>
      <w:r w:rsidRPr="00E771E8">
        <w:rPr>
          <w:i/>
          <w:lang w:val="en-GB" w:eastAsia="en-GB"/>
        </w:rPr>
        <w:t xml:space="preserve"> </w:t>
      </w:r>
      <w:r w:rsidR="00436B88" w:rsidRPr="00253DD5">
        <w:rPr>
          <w:i/>
          <w:lang w:val="en-GB" w:eastAsia="en-GB"/>
        </w:rPr>
        <w:t>Interaction equivalency in self-paced online learning environments: an e</w:t>
      </w:r>
      <w:r w:rsidRPr="00253DD5">
        <w:rPr>
          <w:i/>
          <w:lang w:val="en-GB" w:eastAsia="en-GB"/>
        </w:rPr>
        <w:t>xplorati</w:t>
      </w:r>
      <w:r w:rsidR="00436B88" w:rsidRPr="00253DD5">
        <w:rPr>
          <w:i/>
          <w:lang w:val="en-GB" w:eastAsia="en-GB"/>
        </w:rPr>
        <w:t>on of learner p</w:t>
      </w:r>
      <w:r w:rsidRPr="00253DD5">
        <w:rPr>
          <w:i/>
          <w:lang w:val="en-GB" w:eastAsia="en-GB"/>
        </w:rPr>
        <w:t>references</w:t>
      </w:r>
      <w:r w:rsidR="00253DD5">
        <w:rPr>
          <w:lang w:val="en-GB" w:eastAsia="en-GB"/>
        </w:rPr>
        <w:t>,</w:t>
      </w:r>
      <w:r w:rsidRPr="00E771E8">
        <w:rPr>
          <w:i/>
          <w:lang w:val="en-GB" w:eastAsia="en-GB"/>
        </w:rPr>
        <w:t xml:space="preserve"> </w:t>
      </w:r>
      <w:r w:rsidRPr="00253DD5">
        <w:rPr>
          <w:lang w:val="en-GB" w:eastAsia="en-GB"/>
        </w:rPr>
        <w:t>International Review of Research in Open and Distance Learning, 10</w:t>
      </w:r>
      <w:r w:rsidR="00065596" w:rsidRPr="00253DD5">
        <w:rPr>
          <w:lang w:val="en-GB" w:eastAsia="en-GB"/>
        </w:rPr>
        <w:t>(</w:t>
      </w:r>
      <w:r w:rsidRPr="00253DD5">
        <w:rPr>
          <w:lang w:val="en-GB" w:eastAsia="en-GB"/>
        </w:rPr>
        <w:t>1</w:t>
      </w:r>
      <w:r w:rsidR="00065596" w:rsidRPr="00253DD5">
        <w:rPr>
          <w:lang w:val="en-GB" w:eastAsia="en-GB"/>
        </w:rPr>
        <w:t>)</w:t>
      </w:r>
      <w:r w:rsidR="00253DD5">
        <w:rPr>
          <w:lang w:val="en-GB" w:eastAsia="en-GB"/>
        </w:rPr>
        <w:t>, r</w:t>
      </w:r>
      <w:r w:rsidR="00BB513B" w:rsidRPr="00E771E8">
        <w:rPr>
          <w:lang w:val="en-GB" w:eastAsia="en-GB"/>
        </w:rPr>
        <w:t xml:space="preserve">etrieved from </w:t>
      </w:r>
      <w:hyperlink r:id="rId101" w:history="1">
        <w:r w:rsidR="00BB513B" w:rsidRPr="00E771E8">
          <w:rPr>
            <w:rStyle w:val="Hyperlink"/>
            <w:iCs/>
            <w:szCs w:val="22"/>
            <w:lang w:val="en-GB" w:eastAsia="en-GB"/>
          </w:rPr>
          <w:t>http://www.irrodl.org/index.php/irrodl/article/view/603/1178</w:t>
        </w:r>
      </w:hyperlink>
    </w:p>
    <w:p w:rsidR="00517CA7" w:rsidRDefault="00517CA7" w:rsidP="00253DD5">
      <w:pPr>
        <w:pStyle w:val="Referencetext"/>
      </w:pPr>
      <w:r>
        <w:t>R</w:t>
      </w:r>
      <w:r w:rsidR="0004219F">
        <w:t>oss, C.</w:t>
      </w:r>
      <w:r w:rsidR="002C0605">
        <w:t xml:space="preserve"> (2010)</w:t>
      </w:r>
      <w:r w:rsidR="00253DD5">
        <w:t>,</w:t>
      </w:r>
      <w:r w:rsidRPr="007221BF">
        <w:t xml:space="preserve"> </w:t>
      </w:r>
      <w:r w:rsidRPr="00B300CE">
        <w:rPr>
          <w:i/>
        </w:rPr>
        <w:t xml:space="preserve">Engaging </w:t>
      </w:r>
      <w:r w:rsidRPr="001553BB">
        <w:rPr>
          <w:i/>
        </w:rPr>
        <w:t>distance students in learning</w:t>
      </w:r>
      <w:r w:rsidRPr="00B300CE">
        <w:rPr>
          <w:i/>
        </w:rPr>
        <w:t>: What matters to students, what motivates them and how can engagement in learning be fostered?</w:t>
      </w:r>
      <w:r>
        <w:t xml:space="preserve"> </w:t>
      </w:r>
      <w:r w:rsidRPr="007221BF">
        <w:t>Working Paper No. 10-3</w:t>
      </w:r>
      <w:r w:rsidR="00253DD5">
        <w:t>,</w:t>
      </w:r>
      <w:r w:rsidRPr="007221BF">
        <w:t xml:space="preserve"> Lower Hutt, </w:t>
      </w:r>
      <w:r w:rsidR="00C60D8A" w:rsidRPr="00C60D8A">
        <w:t>The</w:t>
      </w:r>
      <w:r w:rsidR="00C60D8A" w:rsidRPr="007221BF">
        <w:t xml:space="preserve"> </w:t>
      </w:r>
      <w:r w:rsidR="00C60D8A">
        <w:t>Open Polytechnic of New Zealand</w:t>
      </w:r>
      <w:r w:rsidR="00253DD5">
        <w:t>, r</w:t>
      </w:r>
      <w:r w:rsidR="00BB513B" w:rsidRPr="007221BF">
        <w:t>etrieved from</w:t>
      </w:r>
      <w:r w:rsidR="00BB513B">
        <w:t xml:space="preserve"> </w:t>
      </w:r>
      <w:hyperlink r:id="rId102" w:history="1">
        <w:r w:rsidR="00BB513B" w:rsidRPr="00B94DD2">
          <w:rPr>
            <w:rStyle w:val="Hyperlink"/>
          </w:rPr>
          <w:t>http://repository.openpolytechnic.ac.nz/view.php?pid=openpoly:689</w:t>
        </w:r>
      </w:hyperlink>
      <w:r w:rsidR="00BB513B">
        <w:t xml:space="preserve"> </w:t>
      </w:r>
    </w:p>
    <w:p w:rsidR="00517CA7" w:rsidRPr="004C1767" w:rsidRDefault="0004219F" w:rsidP="00253DD5">
      <w:pPr>
        <w:pStyle w:val="Referencetext"/>
      </w:pPr>
      <w:r>
        <w:lastRenderedPageBreak/>
        <w:t>Rovai, A. P.</w:t>
      </w:r>
      <w:r w:rsidR="002C0605">
        <w:t xml:space="preserve"> (2003)</w:t>
      </w:r>
      <w:r w:rsidR="00253DD5">
        <w:t>,</w:t>
      </w:r>
      <w:r w:rsidR="00517CA7">
        <w:t xml:space="preserve"> </w:t>
      </w:r>
      <w:r w:rsidR="00517CA7" w:rsidRPr="00253DD5">
        <w:rPr>
          <w:i/>
        </w:rPr>
        <w:t>In search of higher persistence rates in distance education online programs</w:t>
      </w:r>
      <w:r w:rsidR="00253DD5">
        <w:t>,</w:t>
      </w:r>
      <w:r w:rsidR="00517CA7">
        <w:t xml:space="preserve"> </w:t>
      </w:r>
      <w:r w:rsidR="00517CA7" w:rsidRPr="00253DD5">
        <w:t>The Internet and Higher Education</w:t>
      </w:r>
      <w:r w:rsidR="005C5263" w:rsidRPr="00253DD5">
        <w:t>,</w:t>
      </w:r>
      <w:r w:rsidR="00517CA7" w:rsidRPr="00253DD5">
        <w:t xml:space="preserve"> 6</w:t>
      </w:r>
      <w:r w:rsidR="005C5263">
        <w:t>(1)</w:t>
      </w:r>
      <w:r w:rsidR="00C60D8A">
        <w:t xml:space="preserve">, </w:t>
      </w:r>
      <w:r w:rsidR="00253DD5">
        <w:t>r</w:t>
      </w:r>
      <w:r w:rsidR="00517CA7">
        <w:t xml:space="preserve">etrieved from </w:t>
      </w:r>
      <w:hyperlink r:id="rId103" w:history="1">
        <w:r w:rsidR="00517CA7" w:rsidRPr="00366F1C">
          <w:rPr>
            <w:rStyle w:val="Hyperlink"/>
          </w:rPr>
          <w:t>http://cmapspublic2.ihmc.us/rid</w:t>
        </w:r>
        <w:r w:rsidR="00713545">
          <w:rPr>
            <w:rStyle w:val="Hyperlink"/>
          </w:rPr>
          <w:t>percent</w:t>
        </w:r>
        <w:r w:rsidR="00517CA7" w:rsidRPr="00366F1C">
          <w:rPr>
            <w:rStyle w:val="Hyperlink"/>
          </w:rPr>
          <w:t>3D1150160110784_1923299501_2758/rovai</w:t>
        </w:r>
        <w:r w:rsidR="00713545">
          <w:rPr>
            <w:rStyle w:val="Hyperlink"/>
          </w:rPr>
          <w:t>percent</w:t>
        </w:r>
        <w:r w:rsidR="00517CA7" w:rsidRPr="00366F1C">
          <w:rPr>
            <w:rStyle w:val="Hyperlink"/>
          </w:rPr>
          <w:t>25202003</w:t>
        </w:r>
        <w:r w:rsidR="00713545">
          <w:rPr>
            <w:rStyle w:val="Hyperlink"/>
          </w:rPr>
          <w:t>percent</w:t>
        </w:r>
        <w:r w:rsidR="00517CA7" w:rsidRPr="00366F1C">
          <w:rPr>
            <w:rStyle w:val="Hyperlink"/>
          </w:rPr>
          <w:t>2520persistenace</w:t>
        </w:r>
        <w:r w:rsidR="00713545">
          <w:rPr>
            <w:rStyle w:val="Hyperlink"/>
          </w:rPr>
          <w:t>percent</w:t>
        </w:r>
        <w:r w:rsidR="00517CA7" w:rsidRPr="00366F1C">
          <w:rPr>
            <w:rStyle w:val="Hyperlink"/>
          </w:rPr>
          <w:t>2520in</w:t>
        </w:r>
        <w:r w:rsidR="00713545">
          <w:rPr>
            <w:rStyle w:val="Hyperlink"/>
          </w:rPr>
          <w:t>percent</w:t>
        </w:r>
        <w:r w:rsidR="00517CA7" w:rsidRPr="00366F1C">
          <w:rPr>
            <w:rStyle w:val="Hyperlink"/>
          </w:rPr>
          <w:t>2520de</w:t>
        </w:r>
        <w:r w:rsidR="00713545">
          <w:rPr>
            <w:rStyle w:val="Hyperlink"/>
          </w:rPr>
          <w:t>percent</w:t>
        </w:r>
        <w:r w:rsidR="00517CA7" w:rsidRPr="00366F1C">
          <w:rPr>
            <w:rStyle w:val="Hyperlink"/>
          </w:rPr>
          <w:t>2520and</w:t>
        </w:r>
        <w:r w:rsidR="00713545">
          <w:rPr>
            <w:rStyle w:val="Hyperlink"/>
          </w:rPr>
          <w:t>percent</w:t>
        </w:r>
        <w:r w:rsidR="00517CA7" w:rsidRPr="00366F1C">
          <w:rPr>
            <w:rStyle w:val="Hyperlink"/>
          </w:rPr>
          <w:t>2520online</w:t>
        </w:r>
        <w:r w:rsidR="00713545">
          <w:rPr>
            <w:rStyle w:val="Hyperlink"/>
          </w:rPr>
          <w:t>percent</w:t>
        </w:r>
        <w:r w:rsidR="00517CA7" w:rsidRPr="00366F1C">
          <w:rPr>
            <w:rStyle w:val="Hyperlink"/>
          </w:rPr>
          <w:t>2520ed-</w:t>
        </w:r>
        <w:r w:rsidR="00713545">
          <w:rPr>
            <w:rStyle w:val="Hyperlink"/>
          </w:rPr>
          <w:t>percent</w:t>
        </w:r>
        <w:r w:rsidR="00517CA7" w:rsidRPr="00366F1C">
          <w:rPr>
            <w:rStyle w:val="Hyperlink"/>
          </w:rPr>
          <w:t>2520theory.pdf</w:t>
        </w:r>
      </w:hyperlink>
      <w:r w:rsidR="00517CA7">
        <w:t xml:space="preserve">  </w:t>
      </w:r>
    </w:p>
    <w:p w:rsidR="00517CA7" w:rsidRDefault="00517CA7" w:rsidP="00E96077">
      <w:pPr>
        <w:pStyle w:val="Referencetext"/>
      </w:pPr>
      <w:r w:rsidRPr="00332518">
        <w:t xml:space="preserve">Rovai, A. P., Ponton, M. K., </w:t>
      </w:r>
      <w:r w:rsidR="00123043">
        <w:t>Wighting</w:t>
      </w:r>
      <w:r w:rsidR="00DC740E">
        <w:t>,</w:t>
      </w:r>
      <w:r w:rsidR="00123043">
        <w:t xml:space="preserve"> M. J.</w:t>
      </w:r>
      <w:r w:rsidR="00DC740E">
        <w:t>,</w:t>
      </w:r>
      <w:r w:rsidR="00123043">
        <w:t xml:space="preserve"> </w:t>
      </w:r>
      <w:r w:rsidR="00830F99">
        <w:t>and</w:t>
      </w:r>
      <w:r w:rsidR="00123043">
        <w:t xml:space="preserve"> Baker, J. D.</w:t>
      </w:r>
      <w:r w:rsidR="002C0605">
        <w:t xml:space="preserve"> (2007)</w:t>
      </w:r>
      <w:r w:rsidR="00A32E6B">
        <w:t>,</w:t>
      </w:r>
      <w:r w:rsidRPr="00332518">
        <w:t xml:space="preserve"> </w:t>
      </w:r>
      <w:r w:rsidR="0004219F" w:rsidRPr="00A32E6B">
        <w:rPr>
          <w:i/>
        </w:rPr>
        <w:t>A c</w:t>
      </w:r>
      <w:r w:rsidRPr="00A32E6B">
        <w:rPr>
          <w:i/>
        </w:rPr>
        <w:t>omparati</w:t>
      </w:r>
      <w:r w:rsidR="0004219F" w:rsidRPr="00A32E6B">
        <w:rPr>
          <w:i/>
        </w:rPr>
        <w:t xml:space="preserve">ve analysis of student motivation in traditional classroom and </w:t>
      </w:r>
      <w:r w:rsidR="001553BB" w:rsidRPr="00A32E6B">
        <w:rPr>
          <w:i/>
        </w:rPr>
        <w:t>e-l</w:t>
      </w:r>
      <w:r w:rsidR="0004219F" w:rsidRPr="00A32E6B">
        <w:rPr>
          <w:i/>
        </w:rPr>
        <w:t>earning c</w:t>
      </w:r>
      <w:r w:rsidRPr="00A32E6B">
        <w:rPr>
          <w:i/>
        </w:rPr>
        <w:t>ourses</w:t>
      </w:r>
      <w:r w:rsidR="00A32E6B">
        <w:t>,</w:t>
      </w:r>
      <w:r w:rsidRPr="00332518">
        <w:t xml:space="preserve"> </w:t>
      </w:r>
      <w:r w:rsidRPr="00A32E6B">
        <w:t xml:space="preserve">International Journal on </w:t>
      </w:r>
      <w:r w:rsidR="00A32E6B">
        <w:t xml:space="preserve">   </w:t>
      </w:r>
      <w:r w:rsidRPr="00A32E6B">
        <w:t>E-Learning</w:t>
      </w:r>
      <w:r w:rsidR="0004219F" w:rsidRPr="00A32E6B">
        <w:t xml:space="preserve">, </w:t>
      </w:r>
      <w:r w:rsidR="00065596" w:rsidRPr="00A32E6B">
        <w:t>6(</w:t>
      </w:r>
      <w:r w:rsidR="0004219F" w:rsidRPr="00A32E6B">
        <w:t>3</w:t>
      </w:r>
      <w:r w:rsidR="00065596">
        <w:t>)</w:t>
      </w:r>
      <w:r w:rsidR="0004219F" w:rsidRPr="00332518">
        <w:t xml:space="preserve"> </w:t>
      </w:r>
      <w:r w:rsidRPr="00332518">
        <w:t xml:space="preserve"> </w:t>
      </w:r>
    </w:p>
    <w:p w:rsidR="00517CA7" w:rsidRPr="00332518" w:rsidRDefault="00517CA7" w:rsidP="00E96077">
      <w:pPr>
        <w:pStyle w:val="Referencetext"/>
        <w:rPr>
          <w:lang w:val="en-GB" w:eastAsia="en-GB"/>
        </w:rPr>
      </w:pPr>
      <w:r>
        <w:rPr>
          <w:lang w:val="en-GB" w:eastAsia="en-GB"/>
        </w:rPr>
        <w:t>S</w:t>
      </w:r>
      <w:r w:rsidRPr="00332518">
        <w:rPr>
          <w:lang w:val="en-GB" w:eastAsia="en-GB"/>
        </w:rPr>
        <w:t xml:space="preserve">anthanam, R., </w:t>
      </w:r>
      <w:r w:rsidR="00123043">
        <w:rPr>
          <w:lang w:val="en-GB" w:eastAsia="en-GB"/>
        </w:rPr>
        <w:t xml:space="preserve">Sasidharan, S., </w:t>
      </w:r>
      <w:r w:rsidR="00830F99">
        <w:rPr>
          <w:lang w:val="en-GB" w:eastAsia="en-GB"/>
        </w:rPr>
        <w:t>and</w:t>
      </w:r>
      <w:r w:rsidR="00123043">
        <w:rPr>
          <w:lang w:val="en-GB" w:eastAsia="en-GB"/>
        </w:rPr>
        <w:t xml:space="preserve"> Webster, J.</w:t>
      </w:r>
      <w:r w:rsidR="002C0605">
        <w:rPr>
          <w:lang w:val="en-GB" w:eastAsia="en-GB"/>
        </w:rPr>
        <w:t xml:space="preserve"> (2008)</w:t>
      </w:r>
      <w:r w:rsidR="00A32E6B">
        <w:rPr>
          <w:lang w:val="en-GB" w:eastAsia="en-GB"/>
        </w:rPr>
        <w:t>,</w:t>
      </w:r>
      <w:r w:rsidRPr="00332518">
        <w:rPr>
          <w:lang w:val="en-GB" w:eastAsia="en-GB"/>
        </w:rPr>
        <w:t xml:space="preserve"> </w:t>
      </w:r>
      <w:r w:rsidR="001553BB">
        <w:rPr>
          <w:i/>
          <w:lang w:val="en-GB" w:eastAsia="en-GB"/>
        </w:rPr>
        <w:t>Using self-regulatory learning to enhance e-learning-based information technology t</w:t>
      </w:r>
      <w:r w:rsidRPr="00AA43AE">
        <w:rPr>
          <w:i/>
          <w:lang w:val="en-GB" w:eastAsia="en-GB"/>
        </w:rPr>
        <w:t>raining</w:t>
      </w:r>
      <w:r w:rsidR="00A32E6B">
        <w:rPr>
          <w:lang w:val="en-GB" w:eastAsia="en-GB"/>
        </w:rPr>
        <w:t>, Information Systems Research 19(1)</w:t>
      </w:r>
      <w:r w:rsidR="00474F9A">
        <w:rPr>
          <w:lang w:val="en-GB" w:eastAsia="en-GB"/>
        </w:rPr>
        <w:t xml:space="preserve"> </w:t>
      </w:r>
    </w:p>
    <w:p w:rsidR="008A1722" w:rsidRDefault="008A1722" w:rsidP="00A32E6B">
      <w:pPr>
        <w:pStyle w:val="Referencetext"/>
      </w:pPr>
      <w:r>
        <w:t xml:space="preserve">Schlosser, C. A., </w:t>
      </w:r>
      <w:r w:rsidR="00830F99">
        <w:t>and</w:t>
      </w:r>
      <w:r>
        <w:t xml:space="preserve"> Anderson, M. L. (1994)</w:t>
      </w:r>
      <w:r w:rsidR="00A32E6B">
        <w:t>,</w:t>
      </w:r>
      <w:r>
        <w:t xml:space="preserve"> </w:t>
      </w:r>
      <w:r>
        <w:rPr>
          <w:i/>
        </w:rPr>
        <w:t>Distance education: Review of the literature</w:t>
      </w:r>
      <w:r w:rsidR="00A32E6B">
        <w:t>,</w:t>
      </w:r>
      <w:r>
        <w:rPr>
          <w:i/>
        </w:rPr>
        <w:t xml:space="preserve"> </w:t>
      </w:r>
      <w:r>
        <w:t>Washington DC</w:t>
      </w:r>
      <w:r w:rsidR="00A32E6B">
        <w:t xml:space="preserve">, </w:t>
      </w:r>
      <w:r>
        <w:t xml:space="preserve">Association for Educational Communications and Technology </w:t>
      </w:r>
    </w:p>
    <w:p w:rsidR="00517CA7" w:rsidRPr="00DD406B" w:rsidRDefault="00517CA7" w:rsidP="00A32E6B">
      <w:pPr>
        <w:pStyle w:val="Referencetext"/>
      </w:pPr>
      <w:r>
        <w:t>Sch</w:t>
      </w:r>
      <w:r w:rsidR="00123043">
        <w:t xml:space="preserve">losser, L. A., </w:t>
      </w:r>
      <w:r w:rsidR="00830F99">
        <w:t>and</w:t>
      </w:r>
      <w:r w:rsidR="00123043">
        <w:t xml:space="preserve"> Simonson, M.</w:t>
      </w:r>
      <w:r w:rsidR="002C0605">
        <w:t xml:space="preserve"> </w:t>
      </w:r>
      <w:r w:rsidR="00A35EFC">
        <w:t xml:space="preserve">R. </w:t>
      </w:r>
      <w:r w:rsidR="002C0605">
        <w:t>(2010)</w:t>
      </w:r>
      <w:r w:rsidR="00A32E6B">
        <w:t>,</w:t>
      </w:r>
      <w:r>
        <w:t xml:space="preserve"> </w:t>
      </w:r>
      <w:r w:rsidR="001553BB">
        <w:rPr>
          <w:i/>
        </w:rPr>
        <w:t>Distance education: Definition and glossary of t</w:t>
      </w:r>
      <w:r w:rsidR="00F83ACB">
        <w:rPr>
          <w:i/>
        </w:rPr>
        <w:t xml:space="preserve">erms </w:t>
      </w:r>
      <w:r w:rsidR="00F83ACB">
        <w:t>(</w:t>
      </w:r>
      <w:r w:rsidR="00F83ACB" w:rsidRPr="00F83ACB">
        <w:t>3rd e</w:t>
      </w:r>
      <w:r w:rsidR="008A1722" w:rsidRPr="00F83ACB">
        <w:t>d.</w:t>
      </w:r>
      <w:r w:rsidR="00F83ACB" w:rsidRPr="00F83ACB">
        <w:t>)</w:t>
      </w:r>
      <w:r w:rsidR="00A32E6B">
        <w:t>,</w:t>
      </w:r>
      <w:r>
        <w:rPr>
          <w:i/>
        </w:rPr>
        <w:t xml:space="preserve"> </w:t>
      </w:r>
      <w:r w:rsidR="00474F9A">
        <w:t>Charlotte</w:t>
      </w:r>
      <w:r w:rsidR="008A1722">
        <w:t>,</w:t>
      </w:r>
      <w:r>
        <w:t xml:space="preserve"> North Carolina</w:t>
      </w:r>
      <w:r w:rsidR="00A32E6B">
        <w:t>,</w:t>
      </w:r>
      <w:r w:rsidR="008A1722">
        <w:t xml:space="preserve"> Information Age Publishing</w:t>
      </w:r>
      <w:r w:rsidR="00A32E6B">
        <w:t>,</w:t>
      </w:r>
      <w:r w:rsidR="00474F9A">
        <w:t xml:space="preserve"> </w:t>
      </w:r>
      <w:r w:rsidR="00A32E6B">
        <w:t>r</w:t>
      </w:r>
      <w:r>
        <w:t xml:space="preserve">etrieved from </w:t>
      </w:r>
      <w:hyperlink r:id="rId104" w:anchor="v=onepage&amp;q=definitions%20of%20distance%20education&amp;f=false" w:history="1">
        <w:r w:rsidRPr="00DD0E76">
          <w:rPr>
            <w:rStyle w:val="Hyperlink"/>
          </w:rPr>
          <w:t>http://books.google.co.nz/books?hl=en&amp;lr=&amp;id=FHCunwzqfEYC&amp;oi=fnd&amp;pg=PR7&amp;dq=definitions+of+distance+education&amp;ots=RLOPI_Qam7&amp;sig=wVw1gCajM3Dra_oEJvuBBd1wjzw#v=onepage&amp;q=definitions</w:t>
        </w:r>
        <w:r w:rsidR="00713545">
          <w:rPr>
            <w:rStyle w:val="Hyperlink"/>
          </w:rPr>
          <w:t>percent</w:t>
        </w:r>
        <w:r w:rsidRPr="00DD0E76">
          <w:rPr>
            <w:rStyle w:val="Hyperlink"/>
          </w:rPr>
          <w:t>20of</w:t>
        </w:r>
        <w:r w:rsidR="00713545">
          <w:rPr>
            <w:rStyle w:val="Hyperlink"/>
          </w:rPr>
          <w:t>percent</w:t>
        </w:r>
        <w:r w:rsidRPr="00DD0E76">
          <w:rPr>
            <w:rStyle w:val="Hyperlink"/>
          </w:rPr>
          <w:t>20distance</w:t>
        </w:r>
        <w:r w:rsidR="00713545">
          <w:rPr>
            <w:rStyle w:val="Hyperlink"/>
          </w:rPr>
          <w:t>percent</w:t>
        </w:r>
        <w:r w:rsidRPr="00DD0E76">
          <w:rPr>
            <w:rStyle w:val="Hyperlink"/>
          </w:rPr>
          <w:t>20education&amp;f=false</w:t>
        </w:r>
      </w:hyperlink>
    </w:p>
    <w:p w:rsidR="00517CA7" w:rsidRDefault="00123043" w:rsidP="00A32E6B">
      <w:pPr>
        <w:pStyle w:val="Referencetext"/>
      </w:pPr>
      <w:r>
        <w:t>Scott, D.</w:t>
      </w:r>
      <w:r w:rsidR="002C0605">
        <w:t xml:space="preserve"> (2009)</w:t>
      </w:r>
      <w:r w:rsidR="00A32E6B">
        <w:t>,</w:t>
      </w:r>
      <w:r w:rsidR="00517CA7">
        <w:t xml:space="preserve"> </w:t>
      </w:r>
      <w:r w:rsidR="00517CA7">
        <w:rPr>
          <w:i/>
        </w:rPr>
        <w:t>A closer look at completion in higher education in New Zealand</w:t>
      </w:r>
      <w:r w:rsidR="00A32E6B">
        <w:t>,</w:t>
      </w:r>
      <w:r w:rsidR="00517CA7">
        <w:t xml:space="preserve"> </w:t>
      </w:r>
      <w:r w:rsidR="00474F9A">
        <w:t>Wellington</w:t>
      </w:r>
      <w:r w:rsidR="00A32E6B">
        <w:t>,</w:t>
      </w:r>
      <w:r w:rsidR="00474F9A">
        <w:t xml:space="preserve"> </w:t>
      </w:r>
      <w:r w:rsidR="00517CA7">
        <w:t>Ministry of Education</w:t>
      </w:r>
      <w:r w:rsidR="00A32E6B">
        <w:t>, r</w:t>
      </w:r>
      <w:r w:rsidR="00517CA7">
        <w:t xml:space="preserve">etrieved from </w:t>
      </w:r>
      <w:hyperlink r:id="rId105" w:history="1">
        <w:r w:rsidR="00517CA7" w:rsidRPr="00937C33">
          <w:rPr>
            <w:rStyle w:val="Hyperlink"/>
          </w:rPr>
          <w:t>http://www.educationcounts.govt.nz/publications/tertiary_education/42059</w:t>
        </w:r>
      </w:hyperlink>
      <w:r w:rsidR="00517CA7">
        <w:t xml:space="preserve"> </w:t>
      </w:r>
    </w:p>
    <w:p w:rsidR="00517CA7" w:rsidRPr="00332518" w:rsidRDefault="00517CA7" w:rsidP="00A32E6B">
      <w:pPr>
        <w:pStyle w:val="Referencetext"/>
        <w:rPr>
          <w:lang w:val="en-GB" w:eastAsia="en-GB"/>
        </w:rPr>
      </w:pPr>
      <w:r>
        <w:rPr>
          <w:lang w:val="en-GB" w:eastAsia="en-GB"/>
        </w:rPr>
        <w:t>S</w:t>
      </w:r>
      <w:r w:rsidRPr="00332518">
        <w:rPr>
          <w:lang w:val="en-GB" w:eastAsia="en-GB"/>
        </w:rPr>
        <w:t xml:space="preserve">harpe, R., Benfield, </w:t>
      </w:r>
      <w:r w:rsidR="00123043">
        <w:rPr>
          <w:lang w:val="en-GB" w:eastAsia="en-GB"/>
        </w:rPr>
        <w:t>G., Roberts, G.</w:t>
      </w:r>
      <w:r w:rsidR="00DC740E">
        <w:rPr>
          <w:lang w:val="en-GB" w:eastAsia="en-GB"/>
        </w:rPr>
        <w:t>,</w:t>
      </w:r>
      <w:r w:rsidR="00123043">
        <w:rPr>
          <w:lang w:val="en-GB" w:eastAsia="en-GB"/>
        </w:rPr>
        <w:t xml:space="preserve"> </w:t>
      </w:r>
      <w:r w:rsidR="00830F99">
        <w:rPr>
          <w:lang w:val="en-GB" w:eastAsia="en-GB"/>
        </w:rPr>
        <w:t>and</w:t>
      </w:r>
      <w:r w:rsidR="00123043">
        <w:rPr>
          <w:lang w:val="en-GB" w:eastAsia="en-GB"/>
        </w:rPr>
        <w:t xml:space="preserve"> Francis, R.</w:t>
      </w:r>
      <w:r w:rsidR="002C0605">
        <w:rPr>
          <w:lang w:val="en-GB" w:eastAsia="en-GB"/>
        </w:rPr>
        <w:t xml:space="preserve"> (2006)</w:t>
      </w:r>
      <w:r w:rsidR="00A32E6B">
        <w:rPr>
          <w:lang w:val="en-GB" w:eastAsia="en-GB"/>
        </w:rPr>
        <w:t>,</w:t>
      </w:r>
      <w:r w:rsidRPr="00332518">
        <w:rPr>
          <w:i/>
          <w:lang w:val="en-GB" w:eastAsia="en-GB"/>
        </w:rPr>
        <w:t xml:space="preserve"> </w:t>
      </w:r>
      <w:r w:rsidR="001553BB">
        <w:rPr>
          <w:i/>
          <w:lang w:val="en-GB" w:eastAsia="en-GB"/>
        </w:rPr>
        <w:t>The u</w:t>
      </w:r>
      <w:r w:rsidRPr="00C21D5E">
        <w:rPr>
          <w:i/>
          <w:lang w:val="en-GB" w:eastAsia="en-GB"/>
        </w:rPr>
        <w:t>ndergra</w:t>
      </w:r>
      <w:r w:rsidR="001553BB">
        <w:rPr>
          <w:i/>
          <w:lang w:val="en-GB" w:eastAsia="en-GB"/>
        </w:rPr>
        <w:t>duate experience of b</w:t>
      </w:r>
      <w:r w:rsidR="00123043">
        <w:rPr>
          <w:i/>
          <w:lang w:val="en-GB" w:eastAsia="en-GB"/>
        </w:rPr>
        <w:t xml:space="preserve">lended </w:t>
      </w:r>
      <w:r w:rsidR="00123043" w:rsidRPr="001553BB">
        <w:rPr>
          <w:i/>
          <w:lang w:val="en-GB" w:eastAsia="en-GB"/>
        </w:rPr>
        <w:t>e-learning: A</w:t>
      </w:r>
      <w:r w:rsidRPr="001553BB">
        <w:rPr>
          <w:i/>
          <w:lang w:val="en-GB" w:eastAsia="en-GB"/>
        </w:rPr>
        <w:t xml:space="preserve"> review of UK literature and</w:t>
      </w:r>
      <w:r w:rsidRPr="00C21D5E">
        <w:rPr>
          <w:i/>
          <w:lang w:val="en-GB" w:eastAsia="en-GB"/>
        </w:rPr>
        <w:t xml:space="preserve"> practice</w:t>
      </w:r>
      <w:r w:rsidR="00A32E6B">
        <w:rPr>
          <w:lang w:val="en-GB" w:eastAsia="en-GB"/>
        </w:rPr>
        <w:t>,</w:t>
      </w:r>
      <w:r w:rsidR="00474F9A">
        <w:rPr>
          <w:lang w:val="en-GB" w:eastAsia="en-GB"/>
        </w:rPr>
        <w:t xml:space="preserve"> York</w:t>
      </w:r>
      <w:r w:rsidR="00A32E6B">
        <w:rPr>
          <w:lang w:val="en-GB" w:eastAsia="en-GB"/>
        </w:rPr>
        <w:t>,</w:t>
      </w:r>
      <w:r w:rsidRPr="00332518">
        <w:rPr>
          <w:lang w:val="en-GB" w:eastAsia="en-GB"/>
        </w:rPr>
        <w:t xml:space="preserve"> Higher Education Academy</w:t>
      </w:r>
      <w:r w:rsidR="00A32E6B">
        <w:rPr>
          <w:lang w:val="en-GB" w:eastAsia="en-GB"/>
        </w:rPr>
        <w:t>,</w:t>
      </w:r>
      <w:r>
        <w:rPr>
          <w:lang w:val="en-GB" w:eastAsia="en-GB"/>
        </w:rPr>
        <w:t xml:space="preserve"> </w:t>
      </w:r>
      <w:r w:rsidR="00A32E6B">
        <w:rPr>
          <w:lang w:val="en-GB" w:eastAsia="en-GB"/>
        </w:rPr>
        <w:t>r</w:t>
      </w:r>
      <w:r w:rsidR="00BB513B">
        <w:rPr>
          <w:lang w:val="en-GB" w:eastAsia="en-GB"/>
        </w:rPr>
        <w:t xml:space="preserve">etrieved from </w:t>
      </w:r>
      <w:hyperlink r:id="rId106" w:history="1">
        <w:r w:rsidR="00A32E6B" w:rsidRPr="00F44B9C">
          <w:rPr>
            <w:rStyle w:val="Hyperlink"/>
          </w:rPr>
          <w:t>http://www.heacademy.ac.uk/assets/documents/teachingandresearch/sharpe_benfield_roberts_francis.pdf</w:t>
        </w:r>
      </w:hyperlink>
      <w:r w:rsidR="00A32E6B">
        <w:t xml:space="preserve"> </w:t>
      </w:r>
    </w:p>
    <w:p w:rsidR="00517CA7" w:rsidRDefault="00517CA7" w:rsidP="00A32E6B">
      <w:pPr>
        <w:pStyle w:val="Referencetext"/>
        <w:rPr>
          <w:lang w:val="en-GB" w:eastAsia="en-GB"/>
        </w:rPr>
      </w:pPr>
      <w:r w:rsidRPr="00332518">
        <w:rPr>
          <w:lang w:val="en-GB" w:eastAsia="en-GB"/>
        </w:rPr>
        <w:t>Sheriffdeen, S.</w:t>
      </w:r>
      <w:r>
        <w:rPr>
          <w:lang w:val="en-GB" w:eastAsia="en-GB"/>
        </w:rPr>
        <w:t xml:space="preserve"> A. S.</w:t>
      </w:r>
      <w:r w:rsidR="002C0605">
        <w:rPr>
          <w:lang w:val="en-GB" w:eastAsia="en-GB"/>
        </w:rPr>
        <w:t xml:space="preserve"> (2007)</w:t>
      </w:r>
      <w:r w:rsidR="00A32E6B">
        <w:rPr>
          <w:lang w:val="en-GB" w:eastAsia="en-GB"/>
        </w:rPr>
        <w:t>,</w:t>
      </w:r>
      <w:r w:rsidRPr="00332518">
        <w:rPr>
          <w:lang w:val="en-GB" w:eastAsia="en-GB"/>
        </w:rPr>
        <w:t xml:space="preserve"> </w:t>
      </w:r>
      <w:r w:rsidR="00C638BD">
        <w:rPr>
          <w:i/>
          <w:lang w:val="en-GB" w:eastAsia="en-GB"/>
        </w:rPr>
        <w:t>Challenges faced by s</w:t>
      </w:r>
      <w:r w:rsidR="001553BB">
        <w:rPr>
          <w:i/>
          <w:lang w:val="en-GB" w:eastAsia="en-GB"/>
        </w:rPr>
        <w:t>taff and students at tertiary level in flexible learning e</w:t>
      </w:r>
      <w:r w:rsidRPr="00C4208D">
        <w:rPr>
          <w:i/>
          <w:lang w:val="en-GB" w:eastAsia="en-GB"/>
        </w:rPr>
        <w:t xml:space="preserve">nvironment: </w:t>
      </w:r>
      <w:r w:rsidRPr="00C638BD">
        <w:rPr>
          <w:i/>
          <w:lang w:val="en-GB" w:eastAsia="en-GB"/>
        </w:rPr>
        <w:t>An institutional study</w:t>
      </w:r>
      <w:r w:rsidR="00A32E6B">
        <w:rPr>
          <w:lang w:val="en-GB" w:eastAsia="en-GB"/>
        </w:rPr>
        <w:t>, Master’s thesis,</w:t>
      </w:r>
      <w:r w:rsidRPr="00332518">
        <w:rPr>
          <w:lang w:val="en-GB" w:eastAsia="en-GB"/>
        </w:rPr>
        <w:t xml:space="preserve"> </w:t>
      </w:r>
      <w:r w:rsidR="00F74A6C">
        <w:rPr>
          <w:lang w:val="en-GB" w:eastAsia="en-GB"/>
        </w:rPr>
        <w:t>Unitec New Zealand,</w:t>
      </w:r>
      <w:r w:rsidR="00F74A6C" w:rsidRPr="00332518">
        <w:rPr>
          <w:lang w:val="en-GB" w:eastAsia="en-GB"/>
        </w:rPr>
        <w:t xml:space="preserve"> </w:t>
      </w:r>
      <w:r w:rsidRPr="00332518">
        <w:rPr>
          <w:lang w:val="en-GB" w:eastAsia="en-GB"/>
        </w:rPr>
        <w:t>Auckland</w:t>
      </w:r>
      <w:r w:rsidR="00A32E6B">
        <w:rPr>
          <w:lang w:val="en-GB" w:eastAsia="en-GB"/>
        </w:rPr>
        <w:t>,</w:t>
      </w:r>
      <w:r w:rsidRPr="00332518">
        <w:rPr>
          <w:lang w:val="en-GB" w:eastAsia="en-GB"/>
        </w:rPr>
        <w:t xml:space="preserve"> </w:t>
      </w:r>
      <w:r w:rsidR="00A32E6B">
        <w:rPr>
          <w:lang w:val="en-GB" w:eastAsia="en-GB"/>
        </w:rPr>
        <w:t>r</w:t>
      </w:r>
      <w:r w:rsidR="00BB513B" w:rsidRPr="00332518">
        <w:rPr>
          <w:lang w:val="en-GB" w:eastAsia="en-GB"/>
        </w:rPr>
        <w:t xml:space="preserve">etrieved from </w:t>
      </w:r>
      <w:hyperlink r:id="rId107" w:history="1">
        <w:r w:rsidR="00BB513B" w:rsidRPr="00332518">
          <w:rPr>
            <w:rStyle w:val="Hyperlink"/>
            <w:iCs/>
            <w:szCs w:val="22"/>
            <w:lang w:val="en-GB" w:eastAsia="en-GB"/>
          </w:rPr>
          <w:t>http://unitec.researchbank.ac.nz/bitstream/handle/10652/1278/fulltext.pdf?sequence=1</w:t>
        </w:r>
      </w:hyperlink>
      <w:r w:rsidR="00BB513B" w:rsidRPr="00332518">
        <w:rPr>
          <w:lang w:val="en-GB" w:eastAsia="en-GB"/>
        </w:rPr>
        <w:t xml:space="preserve">  </w:t>
      </w:r>
    </w:p>
    <w:p w:rsidR="00517CA7" w:rsidRPr="007221BF" w:rsidRDefault="00517CA7" w:rsidP="00A32E6B">
      <w:pPr>
        <w:pStyle w:val="Referencetext"/>
        <w:rPr>
          <w:lang w:val="en-GB" w:eastAsia="en-GB"/>
        </w:rPr>
      </w:pPr>
      <w:r>
        <w:rPr>
          <w:lang w:val="en-GB" w:eastAsia="en-GB"/>
        </w:rPr>
        <w:t>S</w:t>
      </w:r>
      <w:r w:rsidRPr="007221BF">
        <w:rPr>
          <w:lang w:val="en-GB" w:eastAsia="en-GB"/>
        </w:rPr>
        <w:t xml:space="preserve">mith, G. </w:t>
      </w:r>
      <w:r w:rsidR="00123043">
        <w:rPr>
          <w:lang w:val="en-GB" w:eastAsia="en-GB"/>
        </w:rPr>
        <w:t>G.</w:t>
      </w:r>
      <w:r w:rsidR="002C0605">
        <w:rPr>
          <w:lang w:val="en-GB" w:eastAsia="en-GB"/>
        </w:rPr>
        <w:t>,</w:t>
      </w:r>
      <w:r w:rsidR="00123043">
        <w:rPr>
          <w:lang w:val="en-GB" w:eastAsia="en-GB"/>
        </w:rPr>
        <w:t xml:space="preserve"> </w:t>
      </w:r>
      <w:r w:rsidR="00830F99">
        <w:rPr>
          <w:lang w:val="en-GB" w:eastAsia="en-GB"/>
        </w:rPr>
        <w:t>and</w:t>
      </w:r>
      <w:r w:rsidR="00123043">
        <w:rPr>
          <w:lang w:val="en-GB" w:eastAsia="en-GB"/>
        </w:rPr>
        <w:t xml:space="preserve"> Ferguson, D.</w:t>
      </w:r>
      <w:r w:rsidR="002C0605">
        <w:rPr>
          <w:lang w:val="en-GB" w:eastAsia="en-GB"/>
        </w:rPr>
        <w:t xml:space="preserve"> (2005)</w:t>
      </w:r>
      <w:r w:rsidR="00A32E6B">
        <w:rPr>
          <w:lang w:val="en-GB" w:eastAsia="en-GB"/>
        </w:rPr>
        <w:t>,</w:t>
      </w:r>
      <w:r w:rsidRPr="007221BF">
        <w:rPr>
          <w:lang w:val="en-GB" w:eastAsia="en-GB"/>
        </w:rPr>
        <w:t xml:space="preserve"> </w:t>
      </w:r>
      <w:r w:rsidRPr="00A32E6B">
        <w:rPr>
          <w:i/>
          <w:lang w:val="en-GB" w:eastAsia="en-GB"/>
        </w:rPr>
        <w:t>Student attrition in mathematics e-learning</w:t>
      </w:r>
      <w:r w:rsidR="00A32E6B">
        <w:rPr>
          <w:lang w:val="en-GB" w:eastAsia="en-GB"/>
        </w:rPr>
        <w:t>,</w:t>
      </w:r>
      <w:r w:rsidRPr="007221BF">
        <w:rPr>
          <w:i/>
          <w:lang w:val="en-GB" w:eastAsia="en-GB"/>
        </w:rPr>
        <w:t xml:space="preserve"> </w:t>
      </w:r>
      <w:r w:rsidRPr="00A32E6B">
        <w:rPr>
          <w:lang w:val="en-GB" w:eastAsia="en-GB"/>
        </w:rPr>
        <w:t>Australasian Journal o</w:t>
      </w:r>
      <w:r w:rsidR="0021360F" w:rsidRPr="00A32E6B">
        <w:rPr>
          <w:lang w:val="en-GB" w:eastAsia="en-GB"/>
        </w:rPr>
        <w:t>f Educational Technology, 21</w:t>
      </w:r>
      <w:r w:rsidR="00474F9A" w:rsidRPr="00A32E6B">
        <w:rPr>
          <w:lang w:val="en-GB" w:eastAsia="en-GB"/>
        </w:rPr>
        <w:t>(3)</w:t>
      </w:r>
      <w:r w:rsidR="00A32E6B">
        <w:rPr>
          <w:lang w:val="en-GB" w:eastAsia="en-GB"/>
        </w:rPr>
        <w:t>, r</w:t>
      </w:r>
      <w:r w:rsidR="00BB513B" w:rsidRPr="007221BF">
        <w:rPr>
          <w:lang w:val="en-GB" w:eastAsia="en-GB"/>
        </w:rPr>
        <w:t xml:space="preserve">etrieved from </w:t>
      </w:r>
      <w:hyperlink r:id="rId108" w:history="1">
        <w:r w:rsidR="00BB513B" w:rsidRPr="007221BF">
          <w:rPr>
            <w:rStyle w:val="Hyperlink"/>
            <w:iCs/>
            <w:szCs w:val="22"/>
            <w:lang w:val="en-GB" w:eastAsia="en-GB"/>
          </w:rPr>
          <w:t>http://www.ascilite.org.au/ajet/ajet21/smith.html</w:t>
        </w:r>
      </w:hyperlink>
    </w:p>
    <w:p w:rsidR="00517CA7" w:rsidRDefault="00123043" w:rsidP="00E96077">
      <w:pPr>
        <w:pStyle w:val="Referencetext"/>
      </w:pPr>
      <w:r>
        <w:t>Smyth, R.</w:t>
      </w:r>
      <w:r w:rsidR="002C0605">
        <w:t xml:space="preserve"> (2012)</w:t>
      </w:r>
      <w:r w:rsidR="00A32E6B">
        <w:t>,</w:t>
      </w:r>
      <w:r w:rsidR="00517CA7">
        <w:t xml:space="preserve"> </w:t>
      </w:r>
      <w:r w:rsidR="00517CA7">
        <w:rPr>
          <w:i/>
        </w:rPr>
        <w:t xml:space="preserve">20 </w:t>
      </w:r>
      <w:r w:rsidR="00517CA7" w:rsidRPr="00C638BD">
        <w:rPr>
          <w:i/>
        </w:rPr>
        <w:t>years in the life of a small tertiary education system</w:t>
      </w:r>
      <w:r w:rsidR="00474F9A">
        <w:rPr>
          <w:i/>
        </w:rPr>
        <w:t>.</w:t>
      </w:r>
      <w:r w:rsidR="00AA43AE">
        <w:rPr>
          <w:i/>
        </w:rPr>
        <w:t xml:space="preserve"> </w:t>
      </w:r>
      <w:r w:rsidR="00474F9A">
        <w:t>P</w:t>
      </w:r>
      <w:r w:rsidR="00487988">
        <w:t>aper presented at the 2012 General C</w:t>
      </w:r>
      <w:r w:rsidR="00517CA7">
        <w:t>onference of the OECD unit Institutional Management in Higher E</w:t>
      </w:r>
      <w:r w:rsidR="009A4CAF">
        <w:t>ducation, Paris</w:t>
      </w:r>
      <w:r w:rsidR="00517CA7">
        <w:t xml:space="preserve"> </w:t>
      </w:r>
    </w:p>
    <w:p w:rsidR="00517CA7" w:rsidRDefault="00123043" w:rsidP="00E96077">
      <w:pPr>
        <w:pStyle w:val="Referencetext"/>
        <w:rPr>
          <w:lang w:val="en-GB" w:eastAsia="en-GB"/>
        </w:rPr>
      </w:pPr>
      <w:r>
        <w:rPr>
          <w:lang w:val="en-GB" w:eastAsia="en-GB"/>
        </w:rPr>
        <w:t xml:space="preserve">Stacey, E., </w:t>
      </w:r>
      <w:r w:rsidR="00830F99">
        <w:rPr>
          <w:lang w:val="en-GB" w:eastAsia="en-GB"/>
        </w:rPr>
        <w:t>and</w:t>
      </w:r>
      <w:r>
        <w:rPr>
          <w:lang w:val="en-GB" w:eastAsia="en-GB"/>
        </w:rPr>
        <w:t xml:space="preserve"> Gerbic, P.</w:t>
      </w:r>
      <w:r w:rsidR="002C0605">
        <w:rPr>
          <w:lang w:val="en-GB" w:eastAsia="en-GB"/>
        </w:rPr>
        <w:t xml:space="preserve"> (2007)</w:t>
      </w:r>
      <w:r w:rsidR="00A32E6B">
        <w:rPr>
          <w:lang w:val="en-GB" w:eastAsia="en-GB"/>
        </w:rPr>
        <w:t>,</w:t>
      </w:r>
      <w:r w:rsidR="00517CA7" w:rsidRPr="007221BF">
        <w:rPr>
          <w:lang w:val="en-GB" w:eastAsia="en-GB"/>
        </w:rPr>
        <w:t xml:space="preserve"> </w:t>
      </w:r>
      <w:r w:rsidR="00517CA7" w:rsidRPr="00123043">
        <w:rPr>
          <w:lang w:val="en-GB" w:eastAsia="en-GB"/>
        </w:rPr>
        <w:t xml:space="preserve">Teaching </w:t>
      </w:r>
      <w:r w:rsidR="00517CA7" w:rsidRPr="00A32E6B">
        <w:rPr>
          <w:i/>
          <w:lang w:val="en-GB" w:eastAsia="en-GB"/>
        </w:rPr>
        <w:t>for blended learning</w:t>
      </w:r>
      <w:r w:rsidR="00AC5BCD" w:rsidRPr="00A32E6B">
        <w:rPr>
          <w:i/>
          <w:lang w:val="en-GB" w:eastAsia="en-GB"/>
        </w:rPr>
        <w:t>: r</w:t>
      </w:r>
      <w:r w:rsidR="00517CA7" w:rsidRPr="00A32E6B">
        <w:rPr>
          <w:i/>
          <w:lang w:val="en-GB" w:eastAsia="en-GB"/>
        </w:rPr>
        <w:t xml:space="preserve">esearch perspectives from </w:t>
      </w:r>
      <w:r w:rsidR="00A32E6B">
        <w:rPr>
          <w:i/>
          <w:lang w:val="en-GB" w:eastAsia="en-GB"/>
        </w:rPr>
        <w:t xml:space="preserve"> </w:t>
      </w:r>
      <w:r w:rsidR="00517CA7" w:rsidRPr="00A32E6B">
        <w:rPr>
          <w:i/>
          <w:lang w:val="en-GB" w:eastAsia="en-GB"/>
        </w:rPr>
        <w:t>on-campus and distance students</w:t>
      </w:r>
      <w:r w:rsidR="00A32E6B">
        <w:rPr>
          <w:lang w:val="en-GB" w:eastAsia="en-GB"/>
        </w:rPr>
        <w:t>,</w:t>
      </w:r>
      <w:r w:rsidR="00517CA7" w:rsidRPr="007221BF">
        <w:rPr>
          <w:lang w:val="en-GB" w:eastAsia="en-GB"/>
        </w:rPr>
        <w:t xml:space="preserve"> </w:t>
      </w:r>
      <w:r w:rsidR="00517CA7" w:rsidRPr="00A32E6B">
        <w:rPr>
          <w:lang w:val="en-GB" w:eastAsia="en-GB"/>
        </w:rPr>
        <w:t>Education and Informati</w:t>
      </w:r>
      <w:r w:rsidR="009A4CAF" w:rsidRPr="00A32E6B">
        <w:rPr>
          <w:lang w:val="en-GB" w:eastAsia="en-GB"/>
        </w:rPr>
        <w:t>on Technologies, 12(3)</w:t>
      </w:r>
    </w:p>
    <w:p w:rsidR="00517CA7" w:rsidRDefault="00517CA7" w:rsidP="00E96077">
      <w:pPr>
        <w:pStyle w:val="Referencetext"/>
        <w:rPr>
          <w:lang w:val="en-GB" w:eastAsia="en-GB"/>
        </w:rPr>
      </w:pPr>
      <w:r w:rsidRPr="00E56736">
        <w:rPr>
          <w:lang w:val="en-GB" w:eastAsia="en-GB"/>
        </w:rPr>
        <w:t xml:space="preserve">Stodel, E. J., </w:t>
      </w:r>
      <w:r>
        <w:rPr>
          <w:lang w:val="en-GB" w:eastAsia="en-GB"/>
        </w:rPr>
        <w:t>Thom</w:t>
      </w:r>
      <w:r w:rsidR="00123043">
        <w:rPr>
          <w:lang w:val="en-GB" w:eastAsia="en-GB"/>
        </w:rPr>
        <w:t>pson, T.</w:t>
      </w:r>
      <w:r w:rsidR="00DC740E">
        <w:rPr>
          <w:lang w:val="en-GB" w:eastAsia="en-GB"/>
        </w:rPr>
        <w:t xml:space="preserve"> </w:t>
      </w:r>
      <w:r w:rsidR="00123043">
        <w:rPr>
          <w:lang w:val="en-GB" w:eastAsia="en-GB"/>
        </w:rPr>
        <w:t xml:space="preserve">L, </w:t>
      </w:r>
      <w:r w:rsidR="00830F99">
        <w:rPr>
          <w:lang w:val="en-GB" w:eastAsia="en-GB"/>
        </w:rPr>
        <w:t>and</w:t>
      </w:r>
      <w:r w:rsidR="00123043">
        <w:rPr>
          <w:lang w:val="en-GB" w:eastAsia="en-GB"/>
        </w:rPr>
        <w:t xml:space="preserve"> MacDonald, C. J.</w:t>
      </w:r>
      <w:r>
        <w:rPr>
          <w:lang w:val="en-GB" w:eastAsia="en-GB"/>
        </w:rPr>
        <w:t xml:space="preserve"> </w:t>
      </w:r>
      <w:r w:rsidR="002C0605">
        <w:rPr>
          <w:lang w:val="en-GB" w:eastAsia="en-GB"/>
        </w:rPr>
        <w:t>(2006)</w:t>
      </w:r>
      <w:r w:rsidR="00B06868">
        <w:rPr>
          <w:lang w:val="en-GB" w:eastAsia="en-GB"/>
        </w:rPr>
        <w:t>,</w:t>
      </w:r>
      <w:r w:rsidRPr="00E56736">
        <w:rPr>
          <w:lang w:val="en-GB" w:eastAsia="en-GB"/>
        </w:rPr>
        <w:t xml:space="preserve"> </w:t>
      </w:r>
      <w:r w:rsidR="00123043" w:rsidRPr="00B06868">
        <w:rPr>
          <w:i/>
          <w:lang w:val="en-GB" w:eastAsia="en-GB"/>
        </w:rPr>
        <w:t>Learners’ perspectives on what is missing from o</w:t>
      </w:r>
      <w:r w:rsidRPr="00B06868">
        <w:rPr>
          <w:i/>
          <w:lang w:val="en-GB" w:eastAsia="en-GB"/>
        </w:rPr>
        <w:t>nline</w:t>
      </w:r>
      <w:r w:rsidR="00123043" w:rsidRPr="00B06868">
        <w:rPr>
          <w:i/>
          <w:lang w:val="en-GB" w:eastAsia="en-GB"/>
        </w:rPr>
        <w:t xml:space="preserve"> l</w:t>
      </w:r>
      <w:r w:rsidRPr="00B06868">
        <w:rPr>
          <w:i/>
          <w:lang w:val="en-GB" w:eastAsia="en-GB"/>
        </w:rPr>
        <w:t>earning</w:t>
      </w:r>
      <w:r w:rsidR="00AC5BCD" w:rsidRPr="00B06868">
        <w:rPr>
          <w:i/>
          <w:lang w:val="en-GB" w:eastAsia="en-GB"/>
        </w:rPr>
        <w:t>: i</w:t>
      </w:r>
      <w:r w:rsidRPr="00B06868">
        <w:rPr>
          <w:i/>
          <w:lang w:val="en-GB" w:eastAsia="en-GB"/>
        </w:rPr>
        <w:t>nterpretations through the Community of Inquiry Framework</w:t>
      </w:r>
      <w:r w:rsidR="00B06868">
        <w:rPr>
          <w:lang w:val="en-GB" w:eastAsia="en-GB"/>
        </w:rPr>
        <w:t>,</w:t>
      </w:r>
      <w:r w:rsidRPr="00E56736">
        <w:rPr>
          <w:lang w:val="en-GB" w:eastAsia="en-GB"/>
        </w:rPr>
        <w:t xml:space="preserve"> </w:t>
      </w:r>
      <w:r w:rsidRPr="00B06868">
        <w:rPr>
          <w:lang w:val="en-GB" w:eastAsia="en-GB"/>
        </w:rPr>
        <w:t>International Review of Research in Open and Distance Learning, 7</w:t>
      </w:r>
      <w:r w:rsidR="00065596" w:rsidRPr="00B06868">
        <w:rPr>
          <w:lang w:val="en-GB" w:eastAsia="en-GB"/>
        </w:rPr>
        <w:t>(</w:t>
      </w:r>
      <w:r w:rsidRPr="00B06868">
        <w:rPr>
          <w:lang w:val="en-GB" w:eastAsia="en-GB"/>
        </w:rPr>
        <w:t>3</w:t>
      </w:r>
      <w:r w:rsidR="00065596" w:rsidRPr="00B06868">
        <w:rPr>
          <w:lang w:val="en-GB" w:eastAsia="en-GB"/>
        </w:rPr>
        <w:t>)</w:t>
      </w:r>
      <w:r w:rsidR="00B06868">
        <w:rPr>
          <w:lang w:val="en-GB" w:eastAsia="en-GB"/>
        </w:rPr>
        <w:t>, r</w:t>
      </w:r>
      <w:r w:rsidR="00BB513B" w:rsidRPr="00E56736">
        <w:rPr>
          <w:lang w:val="en-GB" w:eastAsia="en-GB"/>
        </w:rPr>
        <w:t xml:space="preserve">etrieved from </w:t>
      </w:r>
      <w:hyperlink r:id="rId109" w:history="1">
        <w:r w:rsidR="00BB513B" w:rsidRPr="00E56736">
          <w:rPr>
            <w:rStyle w:val="Hyperlink"/>
            <w:szCs w:val="22"/>
            <w:lang w:val="en-GB" w:eastAsia="en-GB"/>
          </w:rPr>
          <w:t>http://www.irrodl.org/index.php/irrodl/article/view/325/743</w:t>
        </w:r>
      </w:hyperlink>
      <w:r w:rsidR="00BB513B" w:rsidRPr="00E56736">
        <w:rPr>
          <w:lang w:val="en-GB" w:eastAsia="en-GB"/>
        </w:rPr>
        <w:t xml:space="preserve"> </w:t>
      </w:r>
    </w:p>
    <w:p w:rsidR="00517CA7" w:rsidRPr="00E56736" w:rsidRDefault="00BA128B" w:rsidP="00E96077">
      <w:pPr>
        <w:pStyle w:val="Referencetext"/>
      </w:pPr>
      <w:r>
        <w:rPr>
          <w:lang w:val="en-GB" w:eastAsia="en-GB"/>
        </w:rPr>
        <w:lastRenderedPageBreak/>
        <w:t>Sundararajan, B.</w:t>
      </w:r>
      <w:r w:rsidR="00BF052B">
        <w:rPr>
          <w:lang w:val="en-GB" w:eastAsia="en-GB"/>
        </w:rPr>
        <w:t xml:space="preserve"> (2009)</w:t>
      </w:r>
      <w:r w:rsidR="00B06868">
        <w:rPr>
          <w:lang w:val="en-GB" w:eastAsia="en-GB"/>
        </w:rPr>
        <w:t xml:space="preserve">, </w:t>
      </w:r>
      <w:r w:rsidR="00B06868" w:rsidRPr="00B06868">
        <w:rPr>
          <w:i/>
          <w:lang w:val="en-GB" w:eastAsia="en-GB"/>
        </w:rPr>
        <w:t>Impact</w:t>
      </w:r>
      <w:r w:rsidRPr="00B06868">
        <w:rPr>
          <w:i/>
          <w:lang w:val="en-GB" w:eastAsia="en-GB"/>
        </w:rPr>
        <w:t xml:space="preserve"> of communication patterns, network positions and social dynamics factors on learning among students in a CSCL e</w:t>
      </w:r>
      <w:r w:rsidR="00517CA7" w:rsidRPr="00B06868">
        <w:rPr>
          <w:i/>
          <w:lang w:val="en-GB" w:eastAsia="en-GB"/>
        </w:rPr>
        <w:t>nvironment</w:t>
      </w:r>
      <w:r w:rsidR="00B06868">
        <w:rPr>
          <w:lang w:val="en-GB" w:eastAsia="en-GB"/>
        </w:rPr>
        <w:t>,</w:t>
      </w:r>
      <w:r w:rsidR="00517CA7" w:rsidRPr="00E56736">
        <w:rPr>
          <w:lang w:val="en-GB" w:eastAsia="en-GB"/>
        </w:rPr>
        <w:t xml:space="preserve"> </w:t>
      </w:r>
      <w:r w:rsidR="00517CA7" w:rsidRPr="00B06868">
        <w:rPr>
          <w:lang w:val="en-GB" w:eastAsia="en-GB"/>
        </w:rPr>
        <w:t xml:space="preserve">Electronic Journal of </w:t>
      </w:r>
      <w:r w:rsidR="00B06868">
        <w:rPr>
          <w:lang w:val="en-GB" w:eastAsia="en-GB"/>
        </w:rPr>
        <w:t xml:space="preserve">    </w:t>
      </w:r>
      <w:r w:rsidR="00517CA7" w:rsidRPr="00B06868">
        <w:rPr>
          <w:lang w:val="en-GB" w:eastAsia="en-GB"/>
        </w:rPr>
        <w:t xml:space="preserve">e-Learning, </w:t>
      </w:r>
      <w:r w:rsidR="009A4CAF" w:rsidRPr="00B06868">
        <w:rPr>
          <w:lang w:val="en-GB" w:eastAsia="en-GB"/>
        </w:rPr>
        <w:t>7</w:t>
      </w:r>
      <w:r w:rsidR="00065596" w:rsidRPr="00B06868">
        <w:rPr>
          <w:lang w:val="en-GB" w:eastAsia="en-GB"/>
        </w:rPr>
        <w:t>(</w:t>
      </w:r>
      <w:r w:rsidR="009A4CAF" w:rsidRPr="00B06868">
        <w:rPr>
          <w:lang w:val="en-GB" w:eastAsia="en-GB"/>
        </w:rPr>
        <w:t>1</w:t>
      </w:r>
      <w:r w:rsidR="00065596" w:rsidRPr="00B06868">
        <w:rPr>
          <w:lang w:val="en-GB" w:eastAsia="en-GB"/>
        </w:rPr>
        <w:t>)</w:t>
      </w:r>
      <w:r w:rsidR="00517CA7" w:rsidRPr="00E56736">
        <w:rPr>
          <w:lang w:val="en-GB" w:eastAsia="en-GB"/>
        </w:rPr>
        <w:t xml:space="preserve"> </w:t>
      </w:r>
    </w:p>
    <w:p w:rsidR="00E60A6F" w:rsidRDefault="00AA6258" w:rsidP="005F37C4">
      <w:pPr>
        <w:pStyle w:val="Referencetext"/>
      </w:pPr>
      <w:r>
        <w:t>Tertiary Education Commission</w:t>
      </w:r>
      <w:r w:rsidR="00517CA7">
        <w:t xml:space="preserve"> (201</w:t>
      </w:r>
      <w:r w:rsidR="00E60A6F">
        <w:t>3</w:t>
      </w:r>
      <w:r w:rsidR="00FA39BD">
        <w:t>a</w:t>
      </w:r>
      <w:r w:rsidR="00BF052B">
        <w:t>)</w:t>
      </w:r>
      <w:r w:rsidR="005F37C4">
        <w:t>,</w:t>
      </w:r>
      <w:r w:rsidR="00517CA7">
        <w:t xml:space="preserve"> </w:t>
      </w:r>
      <w:r w:rsidR="00E60A6F">
        <w:rPr>
          <w:i/>
        </w:rPr>
        <w:t xml:space="preserve">Massey University </w:t>
      </w:r>
      <w:r w:rsidR="003922B7">
        <w:rPr>
          <w:i/>
        </w:rPr>
        <w:t>t</w:t>
      </w:r>
      <w:r w:rsidR="00517CA7">
        <w:rPr>
          <w:i/>
        </w:rPr>
        <w:t>ertiary</w:t>
      </w:r>
      <w:r w:rsidR="003922B7">
        <w:rPr>
          <w:i/>
        </w:rPr>
        <w:t xml:space="preserve"> education performance r</w:t>
      </w:r>
      <w:r w:rsidR="00474F9A">
        <w:rPr>
          <w:i/>
        </w:rPr>
        <w:t>eport.</w:t>
      </w:r>
      <w:r w:rsidR="00517CA7">
        <w:rPr>
          <w:i/>
        </w:rPr>
        <w:t xml:space="preserve"> </w:t>
      </w:r>
      <w:r w:rsidR="00517CA7" w:rsidRPr="003922B7">
        <w:t>Wellington</w:t>
      </w:r>
      <w:r w:rsidR="005F37C4">
        <w:t>,</w:t>
      </w:r>
      <w:r w:rsidR="003922B7">
        <w:t xml:space="preserve"> T</w:t>
      </w:r>
      <w:r w:rsidR="005F37C4">
        <w:t xml:space="preserve">ertiary </w:t>
      </w:r>
      <w:r w:rsidR="003922B7">
        <w:t>E</w:t>
      </w:r>
      <w:r w:rsidR="005F37C4">
        <w:t xml:space="preserve">ducation </w:t>
      </w:r>
      <w:r w:rsidR="003922B7">
        <w:t>C</w:t>
      </w:r>
      <w:r w:rsidR="005F37C4">
        <w:t>ommission, r</w:t>
      </w:r>
      <w:r w:rsidR="00517CA7" w:rsidRPr="003922B7">
        <w:t>etrieved</w:t>
      </w:r>
      <w:r w:rsidR="00517CA7">
        <w:t xml:space="preserve"> from </w:t>
      </w:r>
      <w:hyperlink r:id="rId110" w:history="1">
        <w:r w:rsidR="00E60A6F" w:rsidRPr="00186B61">
          <w:rPr>
            <w:rStyle w:val="Hyperlink"/>
          </w:rPr>
          <w:t>http://www.tec.govt.nz/Reports/2012/Massey-University.pdf</w:t>
        </w:r>
      </w:hyperlink>
    </w:p>
    <w:p w:rsidR="001E142E" w:rsidRDefault="00AA6258" w:rsidP="005F37C4">
      <w:pPr>
        <w:pStyle w:val="Referencetext"/>
      </w:pPr>
      <w:r>
        <w:t>Tertiary Education Commission</w:t>
      </w:r>
      <w:r w:rsidR="00BF052B">
        <w:t xml:space="preserve"> (2013</w:t>
      </w:r>
      <w:r w:rsidR="00FA39BD">
        <w:t>b</w:t>
      </w:r>
      <w:r w:rsidR="00BF052B">
        <w:t>)</w:t>
      </w:r>
      <w:r w:rsidR="005F37C4">
        <w:t>,</w:t>
      </w:r>
      <w:r w:rsidR="00E60A6F">
        <w:t xml:space="preserve"> </w:t>
      </w:r>
      <w:r w:rsidR="00E60A6F" w:rsidRPr="00E66E53">
        <w:rPr>
          <w:i/>
        </w:rPr>
        <w:t>The</w:t>
      </w:r>
      <w:r w:rsidR="00E60A6F">
        <w:rPr>
          <w:i/>
        </w:rPr>
        <w:t xml:space="preserve"> Open Polytechnic of New </w:t>
      </w:r>
      <w:r w:rsidR="00E66E53">
        <w:rPr>
          <w:i/>
        </w:rPr>
        <w:t>Zealand t</w:t>
      </w:r>
      <w:r w:rsidR="00E60A6F">
        <w:rPr>
          <w:i/>
        </w:rPr>
        <w:t>ertia</w:t>
      </w:r>
      <w:r w:rsidR="00E66E53">
        <w:rPr>
          <w:i/>
        </w:rPr>
        <w:t>ry education performance r</w:t>
      </w:r>
      <w:r w:rsidR="00474F9A">
        <w:rPr>
          <w:i/>
        </w:rPr>
        <w:t>eport</w:t>
      </w:r>
      <w:r w:rsidR="005F37C4">
        <w:t>,</w:t>
      </w:r>
      <w:r w:rsidR="00E60A6F">
        <w:rPr>
          <w:i/>
        </w:rPr>
        <w:t xml:space="preserve"> </w:t>
      </w:r>
      <w:r w:rsidR="00E60A6F">
        <w:t>Wellington</w:t>
      </w:r>
      <w:r w:rsidR="005F37C4">
        <w:t xml:space="preserve">, </w:t>
      </w:r>
      <w:r w:rsidR="00E66E53">
        <w:t>T</w:t>
      </w:r>
      <w:r w:rsidR="005F37C4">
        <w:t xml:space="preserve">ertiary </w:t>
      </w:r>
      <w:r w:rsidR="00E66E53">
        <w:t>E</w:t>
      </w:r>
      <w:r w:rsidR="005F37C4">
        <w:t xml:space="preserve">ducation </w:t>
      </w:r>
      <w:r w:rsidR="00E66E53">
        <w:t>C</w:t>
      </w:r>
      <w:r w:rsidR="005F37C4">
        <w:t>ommission, r</w:t>
      </w:r>
      <w:r w:rsidR="00E60A6F">
        <w:t xml:space="preserve">etrieved from </w:t>
      </w:r>
      <w:hyperlink r:id="rId111" w:history="1">
        <w:r w:rsidR="001E142E" w:rsidRPr="00186B61">
          <w:rPr>
            <w:rStyle w:val="Hyperlink"/>
          </w:rPr>
          <w:t>http://www.tec.govt.nz/Reports/2012/Open-Polytechnic.pdf</w:t>
        </w:r>
      </w:hyperlink>
    </w:p>
    <w:p w:rsidR="00517CA7" w:rsidRDefault="00517CA7" w:rsidP="00E96077">
      <w:pPr>
        <w:pStyle w:val="Referencetext"/>
        <w:rPr>
          <w:lang w:val="en-GB" w:eastAsia="en-GB"/>
        </w:rPr>
      </w:pPr>
      <w:r>
        <w:rPr>
          <w:lang w:val="en-GB" w:eastAsia="en-GB"/>
        </w:rPr>
        <w:t>T</w:t>
      </w:r>
      <w:r w:rsidR="00AA6258">
        <w:rPr>
          <w:lang w:val="en-GB" w:eastAsia="en-GB"/>
        </w:rPr>
        <w:t>hompson, J.</w:t>
      </w:r>
      <w:r w:rsidR="00BF052B">
        <w:rPr>
          <w:lang w:val="en-GB" w:eastAsia="en-GB"/>
        </w:rPr>
        <w:t xml:space="preserve"> (2008)</w:t>
      </w:r>
      <w:r w:rsidR="005F37C4">
        <w:rPr>
          <w:lang w:val="en-GB" w:eastAsia="en-GB"/>
        </w:rPr>
        <w:t>,</w:t>
      </w:r>
      <w:r w:rsidRPr="00E56736">
        <w:rPr>
          <w:lang w:val="en-GB" w:eastAsia="en-GB"/>
        </w:rPr>
        <w:t xml:space="preserve"> </w:t>
      </w:r>
      <w:r w:rsidRPr="00495935">
        <w:rPr>
          <w:i/>
          <w:lang w:val="en-GB" w:eastAsia="en-GB"/>
        </w:rPr>
        <w:t>Students</w:t>
      </w:r>
      <w:r w:rsidR="00C638BD">
        <w:rPr>
          <w:i/>
          <w:lang w:val="en-GB" w:eastAsia="en-GB"/>
        </w:rPr>
        <w:t>’ experiences using o</w:t>
      </w:r>
      <w:r w:rsidR="00AA6258">
        <w:rPr>
          <w:i/>
          <w:lang w:val="en-GB" w:eastAsia="en-GB"/>
        </w:rPr>
        <w:t>nl</w:t>
      </w:r>
      <w:r w:rsidR="00C638BD">
        <w:rPr>
          <w:i/>
          <w:lang w:val="en-GB" w:eastAsia="en-GB"/>
        </w:rPr>
        <w:t>ine support sites in NZ tertiary e</w:t>
      </w:r>
      <w:r w:rsidRPr="00495935">
        <w:rPr>
          <w:i/>
          <w:lang w:val="en-GB" w:eastAsia="en-GB"/>
        </w:rPr>
        <w:t>ducation</w:t>
      </w:r>
      <w:r w:rsidR="005F37C4">
        <w:rPr>
          <w:lang w:val="en-GB" w:eastAsia="en-GB"/>
        </w:rPr>
        <w:t xml:space="preserve">, Doctoral thesis, </w:t>
      </w:r>
      <w:r w:rsidR="00130BBB">
        <w:rPr>
          <w:lang w:val="en-GB" w:eastAsia="en-GB"/>
        </w:rPr>
        <w:t>Deakin University,</w:t>
      </w:r>
      <w:r w:rsidR="00130BBB" w:rsidRPr="00E56736">
        <w:rPr>
          <w:lang w:val="en-GB" w:eastAsia="en-GB"/>
        </w:rPr>
        <w:t xml:space="preserve"> </w:t>
      </w:r>
      <w:r w:rsidRPr="00E56736">
        <w:rPr>
          <w:lang w:val="en-GB" w:eastAsia="en-GB"/>
        </w:rPr>
        <w:t>Melbourne, Australia</w:t>
      </w:r>
    </w:p>
    <w:p w:rsidR="00517CA7" w:rsidRDefault="00AA6258" w:rsidP="00E96077">
      <w:pPr>
        <w:pStyle w:val="Referencetext"/>
      </w:pPr>
      <w:r>
        <w:t>Tyler-Smith, K.</w:t>
      </w:r>
      <w:r w:rsidR="00BF052B">
        <w:t xml:space="preserve"> (2006)</w:t>
      </w:r>
      <w:r w:rsidR="005F37C4">
        <w:t>,</w:t>
      </w:r>
      <w:r w:rsidR="00517CA7" w:rsidRPr="00E56736">
        <w:t xml:space="preserve"> </w:t>
      </w:r>
      <w:r w:rsidRPr="005F37C4">
        <w:rPr>
          <w:i/>
        </w:rPr>
        <w:t>Early a</w:t>
      </w:r>
      <w:r w:rsidR="00517CA7" w:rsidRPr="005F37C4">
        <w:rPr>
          <w:i/>
        </w:rPr>
        <w:t xml:space="preserve">ttrition among </w:t>
      </w:r>
      <w:r w:rsidRPr="005F37C4">
        <w:rPr>
          <w:i/>
        </w:rPr>
        <w:t xml:space="preserve">first time eLearners: </w:t>
      </w:r>
      <w:r w:rsidR="00AC5BCD" w:rsidRPr="005F37C4">
        <w:rPr>
          <w:i/>
        </w:rPr>
        <w:t>a</w:t>
      </w:r>
      <w:r w:rsidRPr="005F37C4">
        <w:rPr>
          <w:i/>
        </w:rPr>
        <w:t xml:space="preserve"> review of f</w:t>
      </w:r>
      <w:r w:rsidR="00517CA7" w:rsidRPr="005F37C4">
        <w:rPr>
          <w:i/>
        </w:rPr>
        <w:t>actors</w:t>
      </w:r>
      <w:r w:rsidRPr="005F37C4">
        <w:rPr>
          <w:i/>
        </w:rPr>
        <w:t xml:space="preserve"> that contribute to drop-out, withdrawal and non-completion rates of adult learners undertaking eLearning p</w:t>
      </w:r>
      <w:r w:rsidR="00973C37" w:rsidRPr="005F37C4">
        <w:rPr>
          <w:i/>
        </w:rPr>
        <w:t>rogrammes</w:t>
      </w:r>
      <w:r w:rsidR="005F37C4">
        <w:t>,</w:t>
      </w:r>
      <w:r w:rsidR="00517CA7" w:rsidRPr="00E56736">
        <w:t xml:space="preserve"> </w:t>
      </w:r>
      <w:r w:rsidR="00973C37" w:rsidRPr="00ED2F6B">
        <w:t>MERLOT</w:t>
      </w:r>
      <w:r w:rsidR="00973C37" w:rsidRPr="00AA6258">
        <w:rPr>
          <w:i/>
        </w:rPr>
        <w:t xml:space="preserve"> </w:t>
      </w:r>
      <w:r w:rsidR="00517CA7" w:rsidRPr="005F37C4">
        <w:t>Journal of Online Learning and Teaching</w:t>
      </w:r>
      <w:r w:rsidR="00ED2F6B">
        <w:t xml:space="preserve">, </w:t>
      </w:r>
      <w:r w:rsidR="00ED2F6B" w:rsidRPr="005F37C4">
        <w:t>2(2</w:t>
      </w:r>
      <w:r w:rsidR="005F37C4">
        <w:t>), r</w:t>
      </w:r>
      <w:r w:rsidR="00BB513B" w:rsidRPr="00E56736">
        <w:t xml:space="preserve">etrieved from </w:t>
      </w:r>
      <w:hyperlink r:id="rId112" w:history="1">
        <w:r w:rsidR="00BB513B" w:rsidRPr="00E56736">
          <w:rPr>
            <w:rStyle w:val="Hyperlink"/>
            <w:szCs w:val="22"/>
          </w:rPr>
          <w:t>http://jolt.merlot.org/Vol2_No2_TylerSmith.htm</w:t>
        </w:r>
      </w:hyperlink>
    </w:p>
    <w:p w:rsidR="00517CA7" w:rsidRPr="005F37C4" w:rsidRDefault="00517CA7" w:rsidP="00E96077">
      <w:pPr>
        <w:pStyle w:val="Referencetext"/>
        <w:rPr>
          <w:lang w:val="en-GB" w:eastAsia="en-GB"/>
        </w:rPr>
      </w:pPr>
      <w:r w:rsidRPr="00E56736">
        <w:rPr>
          <w:lang w:val="en-GB" w:eastAsia="en-GB"/>
        </w:rPr>
        <w:t>Uz</w:t>
      </w:r>
      <w:r>
        <w:rPr>
          <w:lang w:val="en-GB" w:eastAsia="en-GB"/>
        </w:rPr>
        <w:t>u</w:t>
      </w:r>
      <w:r w:rsidR="00AA6258">
        <w:rPr>
          <w:lang w:val="en-GB" w:eastAsia="en-GB"/>
        </w:rPr>
        <w:t>ner, S.</w:t>
      </w:r>
      <w:r w:rsidR="00BF052B">
        <w:rPr>
          <w:lang w:val="en-GB" w:eastAsia="en-GB"/>
        </w:rPr>
        <w:t xml:space="preserve"> (2009)</w:t>
      </w:r>
      <w:r w:rsidR="005F37C4">
        <w:rPr>
          <w:lang w:val="en-GB" w:eastAsia="en-GB"/>
        </w:rPr>
        <w:t>,</w:t>
      </w:r>
      <w:r w:rsidR="00AA6258" w:rsidRPr="005F37C4">
        <w:rPr>
          <w:i/>
          <w:lang w:val="en-GB" w:eastAsia="en-GB"/>
        </w:rPr>
        <w:t>Questions of culture in distance learning</w:t>
      </w:r>
      <w:r w:rsidR="00AC5BCD" w:rsidRPr="005F37C4">
        <w:rPr>
          <w:i/>
          <w:lang w:val="en-GB" w:eastAsia="en-GB"/>
        </w:rPr>
        <w:t>: a</w:t>
      </w:r>
      <w:r w:rsidR="00AA6258" w:rsidRPr="005F37C4">
        <w:rPr>
          <w:i/>
          <w:lang w:val="en-GB" w:eastAsia="en-GB"/>
        </w:rPr>
        <w:t xml:space="preserve"> research r</w:t>
      </w:r>
      <w:r w:rsidR="00474F9A" w:rsidRPr="005F37C4">
        <w:rPr>
          <w:i/>
          <w:lang w:val="en-GB" w:eastAsia="en-GB"/>
        </w:rPr>
        <w:t>eview</w:t>
      </w:r>
      <w:r w:rsidR="005F37C4">
        <w:rPr>
          <w:lang w:val="en-GB" w:eastAsia="en-GB"/>
        </w:rPr>
        <w:t>,</w:t>
      </w:r>
      <w:r w:rsidRPr="00E56736">
        <w:rPr>
          <w:lang w:val="en-GB" w:eastAsia="en-GB"/>
        </w:rPr>
        <w:t xml:space="preserve"> </w:t>
      </w:r>
      <w:r w:rsidRPr="005F37C4">
        <w:rPr>
          <w:lang w:val="en-GB" w:eastAsia="en-GB"/>
        </w:rPr>
        <w:t>International Review of Research in Open and Distance Learning, 10</w:t>
      </w:r>
      <w:r w:rsidR="00065596" w:rsidRPr="005F37C4">
        <w:rPr>
          <w:lang w:val="en-GB" w:eastAsia="en-GB"/>
        </w:rPr>
        <w:t>(</w:t>
      </w:r>
      <w:r w:rsidRPr="005F37C4">
        <w:rPr>
          <w:lang w:val="en-GB" w:eastAsia="en-GB"/>
        </w:rPr>
        <w:t>3</w:t>
      </w:r>
      <w:r w:rsidR="00065596" w:rsidRPr="005F37C4">
        <w:rPr>
          <w:lang w:val="en-GB" w:eastAsia="en-GB"/>
        </w:rPr>
        <w:t>)</w:t>
      </w:r>
    </w:p>
    <w:p w:rsidR="00E10573" w:rsidRDefault="00E10573" w:rsidP="005F37C4">
      <w:pPr>
        <w:pStyle w:val="Referencetext"/>
      </w:pPr>
      <w:r>
        <w:t>V</w:t>
      </w:r>
      <w:r w:rsidRPr="00E10573">
        <w:t>an Merriënboer</w:t>
      </w:r>
      <w:r>
        <w:t xml:space="preserve">, J. J. G., </w:t>
      </w:r>
      <w:r w:rsidR="00BA11F3">
        <w:t>and</w:t>
      </w:r>
      <w:r>
        <w:t xml:space="preserve"> Ayres, P. (2005)</w:t>
      </w:r>
      <w:r w:rsidR="005F37C4">
        <w:t>,</w:t>
      </w:r>
      <w:r w:rsidRPr="00C160F2">
        <w:t xml:space="preserve"> </w:t>
      </w:r>
      <w:r w:rsidRPr="005F37C4">
        <w:rPr>
          <w:i/>
        </w:rPr>
        <w:t>Research on cognitive load theory and its design implications for e-learning</w:t>
      </w:r>
      <w:r w:rsidR="005F37C4">
        <w:t xml:space="preserve">, </w:t>
      </w:r>
      <w:r w:rsidRPr="005F37C4">
        <w:t>Educational Technology Research and Development, 53(3)</w:t>
      </w:r>
    </w:p>
    <w:p w:rsidR="00517CA7" w:rsidRPr="00E56736" w:rsidRDefault="00AA6258" w:rsidP="005F37C4">
      <w:pPr>
        <w:pStyle w:val="Referencetext"/>
      </w:pPr>
      <w:r>
        <w:t xml:space="preserve">Walker, U., </w:t>
      </w:r>
      <w:r w:rsidR="00BA11F3">
        <w:t>and</w:t>
      </w:r>
      <w:r>
        <w:t xml:space="preserve"> vom Brocke, C.</w:t>
      </w:r>
      <w:r w:rsidR="00BF052B">
        <w:t xml:space="preserve"> (2009)</w:t>
      </w:r>
      <w:r w:rsidR="005F37C4">
        <w:t>,</w:t>
      </w:r>
      <w:r w:rsidR="00517CA7" w:rsidRPr="00E56736">
        <w:t xml:space="preserve"> </w:t>
      </w:r>
      <w:r w:rsidR="00517CA7" w:rsidRPr="0033420A">
        <w:rPr>
          <w:i/>
        </w:rPr>
        <w:t>Integrating content-based language learning and intercultural learning online: An international eGroups collaboration</w:t>
      </w:r>
      <w:r w:rsidR="00474F9A">
        <w:rPr>
          <w:i/>
        </w:rPr>
        <w:t>.</w:t>
      </w:r>
      <w:r w:rsidR="00517CA7" w:rsidRPr="00E56736">
        <w:t xml:space="preserve"> </w:t>
      </w:r>
      <w:r w:rsidR="00474F9A">
        <w:t>P</w:t>
      </w:r>
      <w:r w:rsidR="00517CA7" w:rsidRPr="00E56736">
        <w:t>aper presented at CLESOL 2008, Auckland, New Zealand</w:t>
      </w:r>
      <w:r w:rsidR="005F37C4">
        <w:t>, r</w:t>
      </w:r>
      <w:r w:rsidR="00BB513B" w:rsidRPr="00E56736">
        <w:t xml:space="preserve">etrieved from </w:t>
      </w:r>
      <w:hyperlink r:id="rId113" w:history="1">
        <w:r w:rsidR="00BB513B" w:rsidRPr="00E56736">
          <w:rPr>
            <w:rStyle w:val="Hyperlink"/>
            <w:szCs w:val="22"/>
          </w:rPr>
          <w:t>http://muir.massey.ac.nz/bitstream/handle/10179/1591/Walker</w:t>
        </w:r>
        <w:r w:rsidR="00BB513B">
          <w:rPr>
            <w:rStyle w:val="Hyperlink"/>
            <w:szCs w:val="22"/>
          </w:rPr>
          <w:t>percent</w:t>
        </w:r>
        <w:r w:rsidR="00BB513B" w:rsidRPr="00E56736">
          <w:rPr>
            <w:rStyle w:val="Hyperlink"/>
            <w:szCs w:val="22"/>
          </w:rPr>
          <w:t>20</w:t>
        </w:r>
        <w:r w:rsidR="00BB513B">
          <w:rPr>
            <w:rStyle w:val="Hyperlink"/>
            <w:szCs w:val="22"/>
          </w:rPr>
          <w:t>percent</w:t>
        </w:r>
        <w:r w:rsidR="00BB513B" w:rsidRPr="00E56736">
          <w:rPr>
            <w:rStyle w:val="Hyperlink"/>
            <w:szCs w:val="22"/>
          </w:rPr>
          <w:t>20vom</w:t>
        </w:r>
        <w:r w:rsidR="00BB513B">
          <w:rPr>
            <w:rStyle w:val="Hyperlink"/>
            <w:szCs w:val="22"/>
          </w:rPr>
          <w:t>percent</w:t>
        </w:r>
        <w:r w:rsidR="00BB513B" w:rsidRPr="00E56736">
          <w:rPr>
            <w:rStyle w:val="Hyperlink"/>
            <w:szCs w:val="22"/>
          </w:rPr>
          <w:t>20Brocke</w:t>
        </w:r>
        <w:r w:rsidR="00BB513B">
          <w:rPr>
            <w:rStyle w:val="Hyperlink"/>
            <w:szCs w:val="22"/>
          </w:rPr>
          <w:t>percent</w:t>
        </w:r>
        <w:r w:rsidR="00BB513B" w:rsidRPr="00E56736">
          <w:rPr>
            <w:rStyle w:val="Hyperlink"/>
            <w:szCs w:val="22"/>
          </w:rPr>
          <w:t>20Clesol</w:t>
        </w:r>
        <w:r w:rsidR="00BB513B">
          <w:rPr>
            <w:rStyle w:val="Hyperlink"/>
            <w:szCs w:val="22"/>
          </w:rPr>
          <w:t>percent</w:t>
        </w:r>
        <w:r w:rsidR="00BB513B" w:rsidRPr="00E56736">
          <w:rPr>
            <w:rStyle w:val="Hyperlink"/>
            <w:szCs w:val="22"/>
          </w:rPr>
          <w:t>20Proceedings</w:t>
        </w:r>
        <w:r w:rsidR="00BB513B">
          <w:rPr>
            <w:rStyle w:val="Hyperlink"/>
            <w:szCs w:val="22"/>
          </w:rPr>
          <w:t>percent</w:t>
        </w:r>
        <w:r w:rsidR="00BB513B" w:rsidRPr="00E56736">
          <w:rPr>
            <w:rStyle w:val="Hyperlink"/>
            <w:szCs w:val="22"/>
          </w:rPr>
          <w:t>2009.pdf?sequence=3</w:t>
        </w:r>
      </w:hyperlink>
      <w:r w:rsidR="00BB513B" w:rsidRPr="00E56736">
        <w:t xml:space="preserve"> </w:t>
      </w:r>
    </w:p>
    <w:p w:rsidR="00517CA7" w:rsidRDefault="00AA6258" w:rsidP="005F37C4">
      <w:pPr>
        <w:pStyle w:val="Referencetext"/>
      </w:pPr>
      <w:r>
        <w:t>Wensvoort, M.</w:t>
      </w:r>
      <w:r w:rsidR="00BF052B">
        <w:t xml:space="preserve"> (2011)</w:t>
      </w:r>
      <w:r w:rsidR="005F37C4">
        <w:t>,</w:t>
      </w:r>
      <w:r w:rsidR="00517CA7">
        <w:t xml:space="preserve"> </w:t>
      </w:r>
      <w:r w:rsidR="00517CA7" w:rsidRPr="000953AB">
        <w:rPr>
          <w:i/>
        </w:rPr>
        <w:t xml:space="preserve">Achievement in </w:t>
      </w:r>
      <w:r w:rsidR="00C638BD">
        <w:rPr>
          <w:i/>
        </w:rPr>
        <w:t>f</w:t>
      </w:r>
      <w:r w:rsidR="00517CA7">
        <w:rPr>
          <w:i/>
        </w:rPr>
        <w:t xml:space="preserve">ormal </w:t>
      </w:r>
      <w:r w:rsidR="00C638BD">
        <w:rPr>
          <w:i/>
        </w:rPr>
        <w:t>tertiary e</w:t>
      </w:r>
      <w:r w:rsidR="00517CA7" w:rsidRPr="000953AB">
        <w:rPr>
          <w:i/>
        </w:rPr>
        <w:t>ducation</w:t>
      </w:r>
      <w:r w:rsidR="005F37C4">
        <w:t>,</w:t>
      </w:r>
      <w:r w:rsidR="00474F9A">
        <w:t xml:space="preserve"> Wellington</w:t>
      </w:r>
      <w:r w:rsidR="005F37C4">
        <w:t>,</w:t>
      </w:r>
      <w:r w:rsidR="00517CA7">
        <w:t xml:space="preserve"> Ministry of Education</w:t>
      </w:r>
      <w:r w:rsidR="005F37C4">
        <w:t>, r</w:t>
      </w:r>
      <w:r w:rsidR="00517CA7">
        <w:t xml:space="preserve">etrieved from </w:t>
      </w:r>
      <w:hyperlink r:id="rId114" w:history="1">
        <w:r w:rsidR="00517CA7" w:rsidRPr="00AF3B82">
          <w:rPr>
            <w:rStyle w:val="Hyperlink"/>
          </w:rPr>
          <w:t>http://www.educationcounts.govt.nz/__data/assets/pdf_file/0007/88288/Achivement-in-formal-tertiary-education.pdf</w:t>
        </w:r>
      </w:hyperlink>
      <w:r w:rsidR="00517CA7">
        <w:t xml:space="preserve"> </w:t>
      </w:r>
    </w:p>
    <w:p w:rsidR="00517CA7" w:rsidRPr="0040496D" w:rsidRDefault="00517CA7" w:rsidP="00E96077">
      <w:pPr>
        <w:pStyle w:val="Referencetext"/>
      </w:pPr>
      <w:r w:rsidRPr="0040496D">
        <w:t>Westberry, N.</w:t>
      </w:r>
      <w:r w:rsidR="00AA6258">
        <w:t xml:space="preserve"> C.</w:t>
      </w:r>
      <w:r w:rsidR="00BF052B">
        <w:t xml:space="preserve"> (2009)</w:t>
      </w:r>
      <w:r w:rsidR="005F37C4">
        <w:t>,</w:t>
      </w:r>
      <w:r w:rsidRPr="0040496D">
        <w:t xml:space="preserve"> </w:t>
      </w:r>
      <w:r w:rsidRPr="004C1767">
        <w:rPr>
          <w:i/>
        </w:rPr>
        <w:t>An activity theory analysis of social epistemologies within tertiary-level eLearning environments</w:t>
      </w:r>
      <w:r w:rsidR="001720C5">
        <w:t>, Doctoral</w:t>
      </w:r>
      <w:r w:rsidR="005F37C4">
        <w:t xml:space="preserve"> thes</w:t>
      </w:r>
      <w:r w:rsidR="001720C5">
        <w:t>is</w:t>
      </w:r>
      <w:r w:rsidR="005F37C4">
        <w:t xml:space="preserve">, </w:t>
      </w:r>
      <w:r w:rsidR="00576DA7">
        <w:t>University of Waikato,</w:t>
      </w:r>
      <w:r w:rsidR="00576DA7" w:rsidRPr="0040496D">
        <w:t xml:space="preserve"> </w:t>
      </w:r>
      <w:r w:rsidRPr="0040496D">
        <w:t>Hamilton, New Zealand</w:t>
      </w:r>
      <w:r w:rsidR="005F37C4">
        <w:t>,</w:t>
      </w:r>
      <w:r w:rsidRPr="0040496D">
        <w:t xml:space="preserve"> </w:t>
      </w:r>
      <w:r w:rsidR="005F37C4">
        <w:t>r</w:t>
      </w:r>
      <w:r w:rsidR="00BB513B" w:rsidRPr="0040496D">
        <w:t xml:space="preserve">etrieved from </w:t>
      </w:r>
      <w:hyperlink r:id="rId115" w:history="1">
        <w:r w:rsidR="00BB513B" w:rsidRPr="0040496D">
          <w:rPr>
            <w:rStyle w:val="Hyperlink"/>
            <w:szCs w:val="22"/>
          </w:rPr>
          <w:t>http://researchcommons.waikato.ac.nz/bitstream/10289/4184/3/thesis.pdf</w:t>
        </w:r>
      </w:hyperlink>
      <w:r w:rsidR="00BB513B" w:rsidRPr="0040496D">
        <w:t xml:space="preserve">  </w:t>
      </w:r>
    </w:p>
    <w:p w:rsidR="001720C5" w:rsidRDefault="00AA6258" w:rsidP="001720C5">
      <w:pPr>
        <w:pStyle w:val="Referencetext"/>
      </w:pPr>
      <w:r>
        <w:t xml:space="preserve">Wilson, D., </w:t>
      </w:r>
      <w:r w:rsidR="00BA11F3">
        <w:t>and</w:t>
      </w:r>
      <w:r>
        <w:t xml:space="preserve"> Sayles, F.</w:t>
      </w:r>
      <w:r w:rsidR="00BF052B">
        <w:t xml:space="preserve"> (2007)</w:t>
      </w:r>
      <w:r w:rsidR="001720C5">
        <w:t>,</w:t>
      </w:r>
      <w:r w:rsidR="00517CA7" w:rsidRPr="0040496D">
        <w:t xml:space="preserve"> </w:t>
      </w:r>
      <w:r w:rsidR="00517CA7" w:rsidRPr="00495935">
        <w:rPr>
          <w:i/>
        </w:rPr>
        <w:t>The use of technology to create an interactive learning environment for internal and distance students</w:t>
      </w:r>
      <w:r w:rsidR="00474F9A">
        <w:rPr>
          <w:i/>
        </w:rPr>
        <w:t>.</w:t>
      </w:r>
      <w:r w:rsidR="0021360F">
        <w:rPr>
          <w:i/>
        </w:rPr>
        <w:t xml:space="preserve"> </w:t>
      </w:r>
      <w:r w:rsidR="00474F9A">
        <w:t>P</w:t>
      </w:r>
      <w:r w:rsidR="00517CA7" w:rsidRPr="0040496D">
        <w:t>aper presented at 62nd Australasian Law Teachers Association Conference, Perth, Australia</w:t>
      </w:r>
      <w:r w:rsidR="00BB513B" w:rsidRPr="0040496D">
        <w:t xml:space="preserve"> </w:t>
      </w:r>
    </w:p>
    <w:p w:rsidR="00517CA7" w:rsidRDefault="00517CA7" w:rsidP="001720C5">
      <w:pPr>
        <w:pStyle w:val="Referencetext"/>
      </w:pPr>
      <w:r>
        <w:t>Wojciechowski</w:t>
      </w:r>
      <w:r w:rsidR="009A4CAF">
        <w:t xml:space="preserve">, A., </w:t>
      </w:r>
      <w:r w:rsidR="00BA11F3">
        <w:t>and</w:t>
      </w:r>
      <w:r w:rsidR="009A4CAF">
        <w:t xml:space="preserve"> Palmer, L. B.</w:t>
      </w:r>
      <w:r>
        <w:t xml:space="preserve"> (2005</w:t>
      </w:r>
      <w:r w:rsidR="00BF052B">
        <w:t>)</w:t>
      </w:r>
      <w:r w:rsidR="001720C5">
        <w:t>,</w:t>
      </w:r>
      <w:r w:rsidRPr="009A4CAF">
        <w:t xml:space="preserve"> </w:t>
      </w:r>
      <w:r w:rsidR="009A4CAF" w:rsidRPr="001720C5">
        <w:rPr>
          <w:i/>
        </w:rPr>
        <w:t>Individual student c</w:t>
      </w:r>
      <w:r w:rsidRPr="001720C5">
        <w:rPr>
          <w:i/>
        </w:rPr>
        <w:t>haracteristics</w:t>
      </w:r>
      <w:r w:rsidR="00AC5BCD" w:rsidRPr="001720C5">
        <w:rPr>
          <w:i/>
        </w:rPr>
        <w:t>: c</w:t>
      </w:r>
      <w:r w:rsidRPr="001720C5">
        <w:rPr>
          <w:i/>
        </w:rPr>
        <w:t>an</w:t>
      </w:r>
      <w:r w:rsidR="009A4CAF" w:rsidRPr="001720C5">
        <w:rPr>
          <w:i/>
        </w:rPr>
        <w:t xml:space="preserve"> any be predictors of success in online c</w:t>
      </w:r>
      <w:r w:rsidRPr="001720C5">
        <w:rPr>
          <w:i/>
        </w:rPr>
        <w:t>lasses?</w:t>
      </w:r>
      <w:r>
        <w:rPr>
          <w:i/>
        </w:rPr>
        <w:t xml:space="preserve"> </w:t>
      </w:r>
      <w:r w:rsidRPr="001720C5">
        <w:t>Online Journal of Distance Learning Administration, 8</w:t>
      </w:r>
      <w:r w:rsidR="00065596" w:rsidRPr="001720C5">
        <w:t>(</w:t>
      </w:r>
      <w:r w:rsidRPr="001720C5">
        <w:t>2</w:t>
      </w:r>
      <w:r w:rsidR="00065596" w:rsidRPr="001720C5">
        <w:t>)</w:t>
      </w:r>
      <w:r w:rsidR="001720C5">
        <w:t>, r</w:t>
      </w:r>
      <w:r>
        <w:t xml:space="preserve">etrieved from </w:t>
      </w:r>
      <w:hyperlink r:id="rId116" w:history="1">
        <w:r w:rsidRPr="00C724D1">
          <w:rPr>
            <w:rStyle w:val="Hyperlink"/>
          </w:rPr>
          <w:t>http://www.westga.edu/~distance/ojdla/summer82/wojciechowski82.htm</w:t>
        </w:r>
      </w:hyperlink>
      <w:r>
        <w:t xml:space="preserve"> </w:t>
      </w:r>
    </w:p>
    <w:p w:rsidR="00517CA7" w:rsidRPr="001C426D" w:rsidRDefault="009A4CAF" w:rsidP="001720C5">
      <w:pPr>
        <w:pStyle w:val="Referencetext"/>
        <w:rPr>
          <w:lang w:val="en-GB" w:eastAsia="en-GB"/>
        </w:rPr>
      </w:pPr>
      <w:r>
        <w:rPr>
          <w:lang w:val="en-GB" w:eastAsia="en-GB"/>
        </w:rPr>
        <w:t>Wu, S.</w:t>
      </w:r>
      <w:r w:rsidR="00BF052B">
        <w:rPr>
          <w:lang w:val="en-GB" w:eastAsia="en-GB"/>
        </w:rPr>
        <w:t xml:space="preserve"> (2010)</w:t>
      </w:r>
      <w:r w:rsidR="001720C5">
        <w:rPr>
          <w:lang w:val="en-GB" w:eastAsia="en-GB"/>
        </w:rPr>
        <w:t>,</w:t>
      </w:r>
      <w:r w:rsidR="00517CA7" w:rsidRPr="001C426D">
        <w:rPr>
          <w:lang w:val="en-GB" w:eastAsia="en-GB"/>
        </w:rPr>
        <w:t xml:space="preserve"> </w:t>
      </w:r>
      <w:r w:rsidR="00C638BD">
        <w:rPr>
          <w:i/>
          <w:lang w:val="en-GB" w:eastAsia="en-GB"/>
        </w:rPr>
        <w:t>Supporting collocation l</w:t>
      </w:r>
      <w:r w:rsidR="00517CA7" w:rsidRPr="0021360F">
        <w:rPr>
          <w:i/>
          <w:lang w:val="en-GB" w:eastAsia="en-GB"/>
        </w:rPr>
        <w:t>earning</w:t>
      </w:r>
      <w:r w:rsidR="001720C5">
        <w:rPr>
          <w:lang w:val="en-GB" w:eastAsia="en-GB"/>
        </w:rPr>
        <w:t xml:space="preserve">, </w:t>
      </w:r>
      <w:r w:rsidR="001720C5" w:rsidRPr="001C426D">
        <w:rPr>
          <w:lang w:val="en-GB" w:eastAsia="en-GB"/>
        </w:rPr>
        <w:t>Doctoral</w:t>
      </w:r>
      <w:r w:rsidR="001720C5">
        <w:rPr>
          <w:lang w:val="en-GB" w:eastAsia="en-GB"/>
        </w:rPr>
        <w:t xml:space="preserve"> thesis, </w:t>
      </w:r>
      <w:r w:rsidR="00283D08">
        <w:rPr>
          <w:lang w:val="en-GB" w:eastAsia="en-GB"/>
        </w:rPr>
        <w:t xml:space="preserve">University of Waikato, </w:t>
      </w:r>
      <w:r w:rsidR="00517CA7" w:rsidRPr="001C426D">
        <w:rPr>
          <w:lang w:val="en-GB" w:eastAsia="en-GB"/>
        </w:rPr>
        <w:t>Hamilton, New Zealand</w:t>
      </w:r>
      <w:r w:rsidR="001720C5">
        <w:rPr>
          <w:lang w:val="en-GB" w:eastAsia="en-GB"/>
        </w:rPr>
        <w:t>, r</w:t>
      </w:r>
      <w:r w:rsidR="00BB513B">
        <w:rPr>
          <w:lang w:val="en-GB" w:eastAsia="en-GB"/>
        </w:rPr>
        <w:t xml:space="preserve">etrieved from </w:t>
      </w:r>
      <w:hyperlink r:id="rId117" w:history="1">
        <w:r w:rsidR="00BB513B" w:rsidRPr="008468D6">
          <w:rPr>
            <w:rStyle w:val="Hyperlink"/>
            <w:lang w:val="en-GB" w:eastAsia="en-GB"/>
          </w:rPr>
          <w:t>http://researchcommons.waikato.ac.nz/bitstream/handle/10289/4885/thesis.pdf?sequence=3</w:t>
        </w:r>
      </w:hyperlink>
      <w:r w:rsidR="00BB513B">
        <w:rPr>
          <w:lang w:val="en-GB" w:eastAsia="en-GB"/>
        </w:rPr>
        <w:t xml:space="preserve"> </w:t>
      </w:r>
    </w:p>
    <w:p w:rsidR="00517CA7" w:rsidRPr="001C426D" w:rsidRDefault="00517CA7" w:rsidP="00E96077">
      <w:pPr>
        <w:pStyle w:val="Referencetext"/>
        <w:rPr>
          <w:lang w:val="en-GB" w:eastAsia="en-GB"/>
        </w:rPr>
      </w:pPr>
      <w:r w:rsidRPr="001C426D">
        <w:rPr>
          <w:lang w:val="en-GB" w:eastAsia="en-GB"/>
        </w:rPr>
        <w:lastRenderedPageBreak/>
        <w:t>Zhang, D., Zhao, J. L., Zhou, L.</w:t>
      </w:r>
      <w:r w:rsidR="004113B5">
        <w:rPr>
          <w:lang w:val="en-GB" w:eastAsia="en-GB"/>
        </w:rPr>
        <w:t>,</w:t>
      </w:r>
      <w:r w:rsidRPr="001C426D">
        <w:rPr>
          <w:lang w:val="en-GB" w:eastAsia="en-GB"/>
        </w:rPr>
        <w:t xml:space="preserve"> </w:t>
      </w:r>
      <w:r w:rsidR="00EE7BAE">
        <w:rPr>
          <w:lang w:val="en-GB" w:eastAsia="en-GB"/>
        </w:rPr>
        <w:t>and</w:t>
      </w:r>
      <w:r w:rsidRPr="001C426D">
        <w:rPr>
          <w:lang w:val="en-GB" w:eastAsia="en-GB"/>
        </w:rPr>
        <w:t xml:space="preserve"> Nunamaker</w:t>
      </w:r>
      <w:r w:rsidR="009A4CAF">
        <w:rPr>
          <w:lang w:val="en-GB" w:eastAsia="en-GB"/>
        </w:rPr>
        <w:t>, J. F.</w:t>
      </w:r>
      <w:r w:rsidRPr="001C426D">
        <w:rPr>
          <w:lang w:val="en-GB" w:eastAsia="en-GB"/>
        </w:rPr>
        <w:t xml:space="preserve"> </w:t>
      </w:r>
      <w:r w:rsidR="00BD05F3">
        <w:rPr>
          <w:lang w:val="en-GB" w:eastAsia="en-GB"/>
        </w:rPr>
        <w:t>Jr</w:t>
      </w:r>
      <w:r w:rsidR="00EE7BAE">
        <w:rPr>
          <w:lang w:val="en-GB" w:eastAsia="en-GB"/>
        </w:rPr>
        <w:t>.</w:t>
      </w:r>
      <w:r w:rsidR="00BD05F3">
        <w:rPr>
          <w:lang w:val="en-GB" w:eastAsia="en-GB"/>
        </w:rPr>
        <w:t xml:space="preserve"> </w:t>
      </w:r>
      <w:r w:rsidR="00BF052B">
        <w:rPr>
          <w:lang w:val="en-GB" w:eastAsia="en-GB"/>
        </w:rPr>
        <w:t>(2004)</w:t>
      </w:r>
      <w:r w:rsidR="001720C5">
        <w:rPr>
          <w:lang w:val="en-GB" w:eastAsia="en-GB"/>
        </w:rPr>
        <w:t>,</w:t>
      </w:r>
      <w:r w:rsidRPr="001C426D">
        <w:rPr>
          <w:lang w:val="en-GB" w:eastAsia="en-GB"/>
        </w:rPr>
        <w:t xml:space="preserve"> </w:t>
      </w:r>
      <w:r w:rsidRPr="001720C5">
        <w:rPr>
          <w:i/>
          <w:lang w:val="en-GB" w:eastAsia="en-GB"/>
        </w:rPr>
        <w:t xml:space="preserve">Can </w:t>
      </w:r>
      <w:r w:rsidR="008F13FD" w:rsidRPr="001720C5">
        <w:rPr>
          <w:i/>
          <w:lang w:val="en-GB" w:eastAsia="en-GB"/>
        </w:rPr>
        <w:t>e-l</w:t>
      </w:r>
      <w:r w:rsidRPr="001720C5">
        <w:rPr>
          <w:i/>
          <w:lang w:val="en-GB" w:eastAsia="en-GB"/>
        </w:rPr>
        <w:t>earning</w:t>
      </w:r>
      <w:r w:rsidR="009A4CAF" w:rsidRPr="001720C5">
        <w:rPr>
          <w:i/>
          <w:lang w:val="en-GB" w:eastAsia="en-GB"/>
        </w:rPr>
        <w:t xml:space="preserve"> replace classroom l</w:t>
      </w:r>
      <w:r w:rsidRPr="001720C5">
        <w:rPr>
          <w:i/>
          <w:lang w:val="en-GB" w:eastAsia="en-GB"/>
        </w:rPr>
        <w:t>earning?</w:t>
      </w:r>
      <w:r w:rsidRPr="001C426D">
        <w:rPr>
          <w:lang w:val="en-GB" w:eastAsia="en-GB"/>
        </w:rPr>
        <w:t xml:space="preserve"> </w:t>
      </w:r>
      <w:r w:rsidRPr="001720C5">
        <w:rPr>
          <w:lang w:val="en-GB" w:eastAsia="en-GB"/>
        </w:rPr>
        <w:t xml:space="preserve">Communications of the </w:t>
      </w:r>
      <w:r w:rsidR="00283EF7" w:rsidRPr="001720C5">
        <w:rPr>
          <w:lang w:val="en-GB" w:eastAsia="en-GB"/>
        </w:rPr>
        <w:t>ACM</w:t>
      </w:r>
      <w:r w:rsidRPr="009A4CAF">
        <w:rPr>
          <w:i/>
          <w:lang w:val="en-GB" w:eastAsia="en-GB"/>
        </w:rPr>
        <w:t>,</w:t>
      </w:r>
      <w:r w:rsidRPr="001C426D">
        <w:rPr>
          <w:lang w:val="en-GB" w:eastAsia="en-GB"/>
        </w:rPr>
        <w:t xml:space="preserve"> </w:t>
      </w:r>
      <w:r w:rsidRPr="00065596">
        <w:rPr>
          <w:i/>
          <w:lang w:val="en-GB" w:eastAsia="en-GB"/>
        </w:rPr>
        <w:t>47</w:t>
      </w:r>
      <w:r w:rsidR="00065596">
        <w:rPr>
          <w:lang w:val="en-GB" w:eastAsia="en-GB"/>
        </w:rPr>
        <w:t>(</w:t>
      </w:r>
      <w:r w:rsidRPr="001C426D">
        <w:rPr>
          <w:lang w:val="en-GB" w:eastAsia="en-GB"/>
        </w:rPr>
        <w:t>5</w:t>
      </w:r>
      <w:r w:rsidR="00065596">
        <w:rPr>
          <w:lang w:val="en-GB" w:eastAsia="en-GB"/>
        </w:rPr>
        <w:t>)</w:t>
      </w:r>
    </w:p>
    <w:p w:rsidR="000C5942" w:rsidRPr="000045D2" w:rsidRDefault="000C5942" w:rsidP="00517CA7">
      <w:pPr>
        <w:pStyle w:val="Appendix"/>
        <w:numPr>
          <w:ilvl w:val="0"/>
          <w:numId w:val="0"/>
        </w:numPr>
        <w:sectPr w:rsidR="000C5942" w:rsidRPr="000045D2" w:rsidSect="00832F8A">
          <w:headerReference w:type="even" r:id="rId118"/>
          <w:headerReference w:type="default" r:id="rId119"/>
          <w:footerReference w:type="even" r:id="rId120"/>
          <w:footerReference w:type="default" r:id="rId121"/>
          <w:headerReference w:type="first" r:id="rId122"/>
          <w:pgSz w:w="11906" w:h="16838" w:code="9"/>
          <w:pgMar w:top="1418" w:right="1701" w:bottom="1418" w:left="1701" w:header="709" w:footer="709" w:gutter="0"/>
          <w:pgNumType w:start="1"/>
          <w:cols w:space="708"/>
          <w:docGrid w:linePitch="360"/>
        </w:sectPr>
      </w:pPr>
    </w:p>
    <w:p w:rsidR="000C5942" w:rsidRDefault="000C5942" w:rsidP="00F0613C">
      <w:pPr>
        <w:pStyle w:val="BodyText"/>
      </w:pPr>
    </w:p>
    <w:sectPr w:rsidR="000C5942" w:rsidSect="00832F8A">
      <w:headerReference w:type="even" r:id="rId123"/>
      <w:headerReference w:type="default" r:id="rId124"/>
      <w:footerReference w:type="even" r:id="rId125"/>
      <w:footerReference w:type="default" r:id="rId126"/>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B93" w:rsidRDefault="004B1B93" w:rsidP="00326930">
      <w:r>
        <w:separator/>
      </w:r>
    </w:p>
  </w:endnote>
  <w:endnote w:type="continuationSeparator" w:id="0">
    <w:p w:rsidR="004B1B93" w:rsidRDefault="004B1B93"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804971" w:rsidP="00B5104A">
    <w:pPr>
      <w:framePr w:wrap="around" w:vAnchor="text" w:hAnchor="margin" w:xAlign="outside" w:y="1"/>
      <w:rPr>
        <w:rStyle w:val="PageNumber"/>
      </w:rPr>
    </w:pPr>
    <w:r>
      <w:rPr>
        <w:rStyle w:val="PageNumber"/>
      </w:rPr>
      <w:fldChar w:fldCharType="begin"/>
    </w:r>
    <w:r w:rsidR="004B1B93">
      <w:rPr>
        <w:rStyle w:val="PageNumber"/>
      </w:rPr>
      <w:instrText xml:space="preserve">PAGE  </w:instrText>
    </w:r>
    <w:r>
      <w:rPr>
        <w:rStyle w:val="PageNumber"/>
      </w:rPr>
      <w:fldChar w:fldCharType="separate"/>
    </w:r>
    <w:r w:rsidR="005B36E2">
      <w:rPr>
        <w:rStyle w:val="PageNumber"/>
        <w:noProof/>
      </w:rPr>
      <w:t>56</w:t>
    </w:r>
    <w:r>
      <w:rPr>
        <w:rStyle w:val="PageNumber"/>
      </w:rPr>
      <w:fldChar w:fldCharType="end"/>
    </w:r>
  </w:p>
  <w:p w:rsidR="004B1B93" w:rsidRDefault="004B1B93" w:rsidP="00FF204C">
    <w:pPr>
      <w:pStyle w:val="FooterEvenPage"/>
      <w:rPr>
        <w:b/>
      </w:rPr>
    </w:pPr>
    <w:r>
      <w:t>Extramural students</w:t>
    </w:r>
    <w:r w:rsidRPr="002907D0">
      <w:t xml:space="preserve">   </w:t>
    </w:r>
    <w:r>
      <w:t xml:space="preserve"> </w:t>
    </w:r>
    <w:r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804971" w:rsidP="00B5104A">
    <w:pPr>
      <w:framePr w:wrap="around" w:vAnchor="text" w:hAnchor="margin" w:xAlign="outside" w:y="1"/>
      <w:rPr>
        <w:rStyle w:val="PageNumber"/>
      </w:rPr>
    </w:pPr>
    <w:r>
      <w:rPr>
        <w:rStyle w:val="PageNumber"/>
      </w:rPr>
      <w:fldChar w:fldCharType="begin"/>
    </w:r>
    <w:r w:rsidR="004B1B93">
      <w:rPr>
        <w:rStyle w:val="PageNumber"/>
      </w:rPr>
      <w:instrText xml:space="preserve">PAGE  </w:instrText>
    </w:r>
    <w:r>
      <w:rPr>
        <w:rStyle w:val="PageNumber"/>
      </w:rPr>
      <w:fldChar w:fldCharType="separate"/>
    </w:r>
    <w:r w:rsidR="005B36E2">
      <w:rPr>
        <w:rStyle w:val="PageNumber"/>
        <w:noProof/>
      </w:rPr>
      <w:t>3</w:t>
    </w:r>
    <w:r>
      <w:rPr>
        <w:rStyle w:val="PageNumber"/>
      </w:rPr>
      <w:fldChar w:fldCharType="end"/>
    </w:r>
  </w:p>
  <w:p w:rsidR="004B1B93" w:rsidRPr="004A2E4F" w:rsidRDefault="004B1B93" w:rsidP="004A2E4F">
    <w:pPr>
      <w:pStyle w:val="FooterOddPage"/>
    </w:pPr>
    <w:r>
      <w:t>Extramural students</w:t>
    </w:r>
    <w:r w:rsidRPr="004A2E4F">
      <w:t xml:space="preserve">    </w:t>
    </w:r>
    <w:r w:rsidRPr="009930F4">
      <w:rPr>
        <w:b/>
      </w:rPr>
      <w:t xml:space="preserve"> 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Pr="00897DD0" w:rsidRDefault="004B1B93"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Pr="0010602C" w:rsidRDefault="004B1B93"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B93" w:rsidRPr="00CC3EDB" w:rsidRDefault="004B1B93" w:rsidP="00326930">
      <w:pPr>
        <w:rPr>
          <w:color w:val="347FB9"/>
        </w:rPr>
      </w:pPr>
      <w:r w:rsidRPr="00CC3EDB">
        <w:rPr>
          <w:color w:val="347FB9"/>
        </w:rPr>
        <w:separator/>
      </w:r>
    </w:p>
  </w:footnote>
  <w:footnote w:type="continuationSeparator" w:id="0">
    <w:p w:rsidR="004B1B93" w:rsidRPr="0069109A" w:rsidRDefault="004B1B93" w:rsidP="00326930">
      <w:pPr>
        <w:rPr>
          <w:color w:val="347FB9"/>
        </w:rPr>
      </w:pPr>
      <w:r w:rsidRPr="0069109A">
        <w:rPr>
          <w:color w:val="347FB9"/>
        </w:rPr>
        <w:continuationSeparator/>
      </w:r>
    </w:p>
  </w:footnote>
  <w:footnote w:id="1">
    <w:p w:rsidR="004B1B93" w:rsidRDefault="004B1B93" w:rsidP="00307A7F">
      <w:pPr>
        <w:pStyle w:val="FootnoteText"/>
      </w:pPr>
      <w:r>
        <w:rPr>
          <w:rStyle w:val="FootnoteReference"/>
        </w:rPr>
        <w:footnoteRef/>
      </w:r>
      <w:r>
        <w:t xml:space="preserve"> Other researchers supporting this view include Hramiak, 2007; Rovai, Ponton, Wighting, and Baker, 2007; Sheriffdeen, 2007; Stacey and Gerbic, 2007; Wilson and Sayles, 2007; Coldwell, Craig, Paterson, and Mustard, 2008; Johnson, Hornik, and Salas, 2008; Lamond and White, 2008; Nichols, 2008; Thompson, 2008; Ke and Xie, 2009; Kelly and Stevens, 2009; Rhode, 2009; Uzuner, 2009; Abdous and Yen, 2010; Boyle, Kwon, Ross, and Simpson, 2010; Brooks, 2010; Ferguson and DeFelice, 2010; Hartnett, 2010; Khoo, 2010; Ross, 2010. </w:t>
      </w:r>
    </w:p>
  </w:footnote>
  <w:footnote w:id="2">
    <w:p w:rsidR="004B1B93" w:rsidRDefault="004B1B93" w:rsidP="00A65E2F">
      <w:pPr>
        <w:pStyle w:val="FootnoteText"/>
      </w:pPr>
      <w:r>
        <w:rPr>
          <w:rStyle w:val="FootnoteReference"/>
        </w:rPr>
        <w:footnoteRef/>
      </w:r>
      <w:r>
        <w:t xml:space="preserve"> Other researchers supporting this view include Sheriffdeen, 2007; Stacey and Gerbic, 2007; Wilson and Sayles, 2007; </w:t>
      </w:r>
      <w:r w:rsidRPr="00137DAB">
        <w:t>Coldwell et al., 2008</w:t>
      </w:r>
      <w:r>
        <w:t xml:space="preserve">; Lamond and White, 2008; Nichols, 2008; Nora and Snyder, 2008; Thompson, 2008; Kelly and Stevens, 2009; Uzuner, 2009; Westberry, 2009; Abdous and Yen, 2010; Brooks, 2010; Hartnett, 2010; Khoo, 2010; Lynch and Paasuke, 2010. </w:t>
      </w:r>
    </w:p>
  </w:footnote>
  <w:footnote w:id="3">
    <w:p w:rsidR="004B1B93" w:rsidRDefault="004B1B93">
      <w:pPr>
        <w:pStyle w:val="FootnoteText"/>
      </w:pPr>
      <w:r>
        <w:rPr>
          <w:rStyle w:val="FootnoteReference"/>
        </w:rPr>
        <w:footnoteRef/>
      </w:r>
      <w:r>
        <w:t xml:space="preserve"> Traditional methods of delivery refers to face-to-face in intramural courses and paper-based in extramural courses.</w:t>
      </w:r>
    </w:p>
  </w:footnote>
  <w:footnote w:id="4">
    <w:p w:rsidR="004B1B93" w:rsidRDefault="004B1B93" w:rsidP="00564FD9">
      <w:pPr>
        <w:pStyle w:val="FootnoteText"/>
      </w:pPr>
      <w:r>
        <w:rPr>
          <w:rStyle w:val="FootnoteReference"/>
        </w:rPr>
        <w:footnoteRef/>
      </w:r>
      <w:r>
        <w:t xml:space="preserve"> 1.0 EFTS represents a full-</w:t>
      </w:r>
      <w:r w:rsidRPr="00AF0CC0">
        <w:t>time full</w:t>
      </w:r>
      <w:r>
        <w:t xml:space="preserve">-year load for a student. The EFTS factor of a course is a number between 0 and 1 that gives the proportion of a full-time full-year load represented by that course. A course with an EFTS factor of 0.25 requires a quarter of a full-time full-year load. Note </w:t>
      </w:r>
      <w:r w:rsidRPr="00AF0CC0">
        <w:t>that, in</w:t>
      </w:r>
      <w:r>
        <w:t xml:space="preserve"> using EFTS-weighted rates, we are not taking account of the number of students in the course, simply the size of the course.</w:t>
      </w:r>
    </w:p>
    <w:p w:rsidR="004B1B93" w:rsidRDefault="004B1B93" w:rsidP="00564FD9">
      <w:pPr>
        <w:pStyle w:val="FootnoteText"/>
      </w:pPr>
    </w:p>
  </w:footnote>
  <w:footnote w:id="5">
    <w:p w:rsidR="004B1B93" w:rsidRPr="007D1C36" w:rsidRDefault="004B1B93" w:rsidP="007D1C36">
      <w:pPr>
        <w:rPr>
          <w:i/>
          <w:szCs w:val="22"/>
        </w:rPr>
      </w:pPr>
      <w:r w:rsidRPr="00A06483">
        <w:rPr>
          <w:rStyle w:val="FootnoteReference"/>
          <w:sz w:val="14"/>
          <w:szCs w:val="14"/>
        </w:rPr>
        <w:footnoteRef/>
      </w:r>
      <w:r>
        <w:t xml:space="preserve"> </w:t>
      </w:r>
      <w:r w:rsidRPr="007D1C36">
        <w:rPr>
          <w:sz w:val="14"/>
          <w:szCs w:val="14"/>
        </w:rPr>
        <w:t>The report’s completion rates were calculated as follows: Let sample completion rate at level</w:t>
      </w:r>
      <w:r w:rsidRPr="007D1C36">
        <w:rPr>
          <w:sz w:val="14"/>
          <w:szCs w:val="14"/>
          <w:vertAlign w:val="subscript"/>
        </w:rPr>
        <w:t xml:space="preserve"> </w:t>
      </w:r>
      <w:r w:rsidRPr="007D1C36">
        <w:rPr>
          <w:sz w:val="14"/>
          <w:szCs w:val="14"/>
        </w:rPr>
        <w:t>= CR</w:t>
      </w:r>
      <w:r w:rsidRPr="007D1C36">
        <w:rPr>
          <w:sz w:val="14"/>
          <w:szCs w:val="14"/>
          <w:vertAlign w:val="subscript"/>
        </w:rPr>
        <w:t xml:space="preserve">k. </w:t>
      </w:r>
      <w:r w:rsidRPr="007D1C36">
        <w:rPr>
          <w:sz w:val="14"/>
          <w:szCs w:val="14"/>
        </w:rPr>
        <w:t>Let number enrolled in the sample at level</w:t>
      </w:r>
      <w:r w:rsidRPr="007D1C36">
        <w:rPr>
          <w:sz w:val="14"/>
          <w:szCs w:val="14"/>
          <w:vertAlign w:val="subscript"/>
        </w:rPr>
        <w:t xml:space="preserve"> </w:t>
      </w:r>
      <w:r w:rsidRPr="007D1C36">
        <w:rPr>
          <w:sz w:val="14"/>
          <w:szCs w:val="14"/>
        </w:rPr>
        <w:t>= N</w:t>
      </w:r>
      <w:r w:rsidRPr="007D1C36">
        <w:rPr>
          <w:sz w:val="14"/>
          <w:szCs w:val="14"/>
          <w:vertAlign w:val="subscript"/>
        </w:rPr>
        <w:t xml:space="preserve">k. </w:t>
      </w:r>
      <w:r w:rsidRPr="007D1C36">
        <w:rPr>
          <w:sz w:val="14"/>
          <w:szCs w:val="14"/>
        </w:rPr>
        <w:t>Then the overall completion rate = [ΣCR</w:t>
      </w:r>
      <w:r w:rsidRPr="007D1C36">
        <w:rPr>
          <w:sz w:val="14"/>
          <w:szCs w:val="14"/>
          <w:vertAlign w:val="subscript"/>
        </w:rPr>
        <w:t>k</w:t>
      </w:r>
      <w:r w:rsidRPr="007D1C36">
        <w:rPr>
          <w:sz w:val="14"/>
          <w:szCs w:val="14"/>
        </w:rPr>
        <w:t>* N</w:t>
      </w:r>
      <w:r w:rsidRPr="007D1C36">
        <w:rPr>
          <w:sz w:val="14"/>
          <w:szCs w:val="14"/>
          <w:vertAlign w:val="subscript"/>
        </w:rPr>
        <w:t>k</w:t>
      </w:r>
      <w:r w:rsidRPr="007D1C36">
        <w:rPr>
          <w:sz w:val="14"/>
          <w:szCs w:val="14"/>
        </w:rPr>
        <w:t>] / ΣN</w:t>
      </w:r>
      <w:r w:rsidRPr="007D1C36">
        <w:rPr>
          <w:sz w:val="14"/>
          <w:szCs w:val="14"/>
          <w:vertAlign w:val="subscript"/>
        </w:rPr>
        <w:t xml:space="preserve">k. </w:t>
      </w:r>
      <w:r w:rsidRPr="007D1C36">
        <w:rPr>
          <w:sz w:val="14"/>
          <w:szCs w:val="14"/>
        </w:rPr>
        <w:t>If across the whole system, the number enrolled at level</w:t>
      </w:r>
      <w:r w:rsidRPr="007D1C36">
        <w:rPr>
          <w:sz w:val="14"/>
          <w:szCs w:val="14"/>
          <w:vertAlign w:val="subscript"/>
        </w:rPr>
        <w:t xml:space="preserve">k </w:t>
      </w:r>
      <w:r w:rsidRPr="007D1C36">
        <w:rPr>
          <w:sz w:val="14"/>
          <w:szCs w:val="14"/>
        </w:rPr>
        <w:t>= M</w:t>
      </w:r>
      <w:r w:rsidRPr="007D1C36">
        <w:rPr>
          <w:sz w:val="14"/>
          <w:szCs w:val="14"/>
          <w:vertAlign w:val="subscript"/>
        </w:rPr>
        <w:t>k,</w:t>
      </w:r>
      <w:r w:rsidRPr="007D1C36">
        <w:rPr>
          <w:sz w:val="14"/>
          <w:szCs w:val="14"/>
        </w:rPr>
        <w:t xml:space="preserve"> then the adjusted completion rate is [ΣCR</w:t>
      </w:r>
      <w:r w:rsidRPr="007D1C36">
        <w:rPr>
          <w:sz w:val="14"/>
          <w:szCs w:val="14"/>
          <w:vertAlign w:val="subscript"/>
        </w:rPr>
        <w:t>k</w:t>
      </w:r>
      <w:r w:rsidRPr="007D1C36">
        <w:rPr>
          <w:sz w:val="14"/>
          <w:szCs w:val="14"/>
        </w:rPr>
        <w:t>* M</w:t>
      </w:r>
      <w:r w:rsidRPr="007D1C36">
        <w:rPr>
          <w:sz w:val="14"/>
          <w:szCs w:val="14"/>
          <w:vertAlign w:val="subscript"/>
        </w:rPr>
        <w:t>k</w:t>
      </w:r>
      <w:r w:rsidRPr="007D1C36">
        <w:rPr>
          <w:sz w:val="14"/>
          <w:szCs w:val="14"/>
        </w:rPr>
        <w:t>] / ΣM</w:t>
      </w:r>
      <w:r w:rsidRPr="007D1C36">
        <w:rPr>
          <w:sz w:val="14"/>
          <w:szCs w:val="14"/>
          <w:vertAlign w:val="subscript"/>
        </w:rPr>
        <w:t>k.</w:t>
      </w:r>
      <w:r w:rsidRPr="007D1C36">
        <w:rPr>
          <w:szCs w:val="22"/>
          <w:vertAlign w:val="subscript"/>
        </w:rPr>
        <w:t xml:space="preserve">  </w:t>
      </w:r>
    </w:p>
    <w:p w:rsidR="004B1B93" w:rsidRPr="00A06483" w:rsidRDefault="004B1B93" w:rsidP="002A5780">
      <w:pPr>
        <w:rPr>
          <w:i/>
          <w:sz w:val="14"/>
          <w:szCs w:val="14"/>
        </w:rPr>
      </w:pPr>
    </w:p>
    <w:p w:rsidR="004B1B93" w:rsidRPr="00097F8F" w:rsidRDefault="004B1B93" w:rsidP="002A5780">
      <w:pPr>
        <w:rPr>
          <w:i/>
        </w:rPr>
      </w:pPr>
    </w:p>
    <w:p w:rsidR="004B1B93" w:rsidRPr="00097F8F" w:rsidRDefault="004B1B93" w:rsidP="002A5780">
      <w:pPr>
        <w:rPr>
          <w:i/>
        </w:rPr>
      </w:pPr>
    </w:p>
    <w:p w:rsidR="004B1B93" w:rsidRPr="00097F8F" w:rsidRDefault="004B1B93" w:rsidP="002A5780">
      <w:pPr>
        <w:rPr>
          <w:i/>
          <w:vertAlign w:val="subscript"/>
        </w:rPr>
      </w:pPr>
    </w:p>
    <w:p w:rsidR="004B1B93" w:rsidRPr="00097F8F" w:rsidRDefault="004B1B93" w:rsidP="002A5780">
      <w:pPr>
        <w:rPr>
          <w:i/>
          <w:vertAlign w:val="subscript"/>
        </w:rPr>
      </w:pPr>
    </w:p>
    <w:p w:rsidR="004B1B93" w:rsidRDefault="004B1B93" w:rsidP="002A5780">
      <w:pPr>
        <w:pStyle w:val="FootnoteText"/>
      </w:pPr>
    </w:p>
  </w:footnote>
  <w:footnote w:id="6">
    <w:p w:rsidR="004B1B93" w:rsidRDefault="004B1B93" w:rsidP="003C3056">
      <w:pPr>
        <w:pStyle w:val="FootnoteText"/>
      </w:pPr>
      <w:r>
        <w:rPr>
          <w:rStyle w:val="FootnoteReference"/>
        </w:rPr>
        <w:footnoteRef/>
      </w:r>
      <w:r>
        <w:t xml:space="preserve"> Other researchers supporting this view include Levy, 2007; </w:t>
      </w:r>
      <w:r w:rsidRPr="00744103">
        <w:t>Rovai et al.,</w:t>
      </w:r>
      <w:r>
        <w:t xml:space="preserve"> 2007; Sheriffdeen, 2007; Wilson and Sayles, 2007; Barnard, Paton, and Lan, 2008; Berenson, Boyles, and Weaver, 2008; Nichols, 2008; Nora and Snyder, 2008; Barnard-Brak, Lan, and Paton, 2010; Fillion, Limayem, Laferriere, and Mantha, 2009; Hartnett, 2010; Khoo, 2010; Ross, 2010; Westberry, 2009; </w:t>
      </w:r>
      <w:r w:rsidRPr="00744103">
        <w:rPr>
          <w:lang w:val="en-GB" w:eastAsia="en-GB"/>
        </w:rPr>
        <w:t>Brown et al.,</w:t>
      </w:r>
      <w:r>
        <w:rPr>
          <w:lang w:val="en-GB" w:eastAsia="en-GB"/>
        </w:rPr>
        <w:t xml:space="preserve"> 2012.</w:t>
      </w:r>
    </w:p>
  </w:footnote>
  <w:footnote w:id="7">
    <w:p w:rsidR="004B1B93" w:rsidRDefault="004B1B93">
      <w:pPr>
        <w:pStyle w:val="FootnoteText"/>
      </w:pPr>
      <w:r>
        <w:rPr>
          <w:rStyle w:val="FootnoteReference"/>
        </w:rPr>
        <w:footnoteRef/>
      </w:r>
      <w:r>
        <w:t xml:space="preserve"> Evidence for this view is also found in </w:t>
      </w:r>
      <w:r w:rsidRPr="000F6341">
        <w:t>Schlosser</w:t>
      </w:r>
      <w:r>
        <w:t>,</w:t>
      </w:r>
      <w:r w:rsidRPr="000F6341">
        <w:t xml:space="preserve"> C.</w:t>
      </w:r>
      <w:r>
        <w:t xml:space="preserve"> A. and Anderson, 1994; Garrison, 2000; Palloff and Pratt, 2003; Schlosse</w:t>
      </w:r>
      <w:r w:rsidRPr="000F6341">
        <w:t>r</w:t>
      </w:r>
      <w:r>
        <w:t>,</w:t>
      </w:r>
      <w:r w:rsidRPr="000F6341">
        <w:t xml:space="preserve"> L. A</w:t>
      </w:r>
      <w:r>
        <w:t>. and Simonson, 2010; Bay of Plenty Polytechnic (</w:t>
      </w:r>
      <w:r w:rsidRPr="00744103">
        <w:t>BoPP</w:t>
      </w:r>
      <w:r>
        <w:t>), 2012; Engler, 2012; Guiney, 2013a; Massey University, 2012; Nelson Marlborough Institute of Technology (</w:t>
      </w:r>
      <w:r w:rsidRPr="00744103">
        <w:t>NMIT</w:t>
      </w:r>
      <w:r>
        <w:t xml:space="preserve">), 2012; </w:t>
      </w:r>
      <w:r w:rsidRPr="000F6341">
        <w:t>The</w:t>
      </w:r>
      <w:r>
        <w:t xml:space="preserve"> Open Polytechnic of New Zealand, 2012.</w:t>
      </w:r>
    </w:p>
  </w:footnote>
  <w:footnote w:id="8">
    <w:p w:rsidR="004B1B93" w:rsidRDefault="004B1B93">
      <w:pPr>
        <w:pStyle w:val="FootnoteText"/>
      </w:pPr>
      <w:r>
        <w:rPr>
          <w:rStyle w:val="FootnoteReference"/>
        </w:rPr>
        <w:footnoteRef/>
      </w:r>
      <w:r>
        <w:t xml:space="preserve"> </w:t>
      </w:r>
      <w:r w:rsidRPr="00DA23BA">
        <w:rPr>
          <w:szCs w:val="14"/>
        </w:rPr>
        <w:t xml:space="preserve">Defined here as </w:t>
      </w:r>
      <w:r w:rsidRPr="00DA23BA">
        <w:rPr>
          <w:szCs w:val="14"/>
          <w:lang w:val="en-AU"/>
        </w:rPr>
        <w:t>an individual’s belief about whether or not they have the capabilities to successfully complete a task.</w:t>
      </w:r>
      <w:r>
        <w:rPr>
          <w:sz w:val="16"/>
          <w:szCs w:val="16"/>
          <w:lang w:val="en-AU"/>
        </w:rPr>
        <w:t xml:space="preserve"> </w:t>
      </w:r>
    </w:p>
  </w:footnote>
  <w:footnote w:id="9">
    <w:p w:rsidR="004B1B93" w:rsidRDefault="004B1B93">
      <w:pPr>
        <w:pStyle w:val="FootnoteText"/>
      </w:pPr>
      <w:r>
        <w:rPr>
          <w:rStyle w:val="FootnoteReference"/>
        </w:rPr>
        <w:footnoteRef/>
      </w:r>
      <w:r>
        <w:t xml:space="preserve"> Other researchers supporting this view include Deka and McMurry, 2006; Wilson and Sayles, 2007; </w:t>
      </w:r>
      <w:r w:rsidRPr="00744103">
        <w:t>Barnard et al.,</w:t>
      </w:r>
      <w:r>
        <w:t xml:space="preserve"> 2008; Berenson et al., 2008; Coldwell et al., 2008; Johnson et al., 2008; Müller, 2008; Artino and Stephens, 2009; Pratt, 2009; Sundararajan, 2009; Hartnett, 2010; Ross, 2010.</w:t>
      </w:r>
    </w:p>
  </w:footnote>
  <w:footnote w:id="10">
    <w:p w:rsidR="004B1B93" w:rsidRDefault="004B1B93">
      <w:pPr>
        <w:pStyle w:val="FootnoteText"/>
      </w:pPr>
      <w:r>
        <w:rPr>
          <w:rStyle w:val="FootnoteReference"/>
        </w:rPr>
        <w:footnoteRef/>
      </w:r>
      <w:r>
        <w:t xml:space="preserve"> Evidence for this view is also found in Gee, 1990; Palloff and Pratt, 2003; Packham et al., 2004; Wojciechowski and Palmer, 2005; Guiney, 2011, Massey University, </w:t>
      </w:r>
      <w:r w:rsidRPr="00DA23BA">
        <w:t xml:space="preserve">2012; </w:t>
      </w:r>
      <w:r w:rsidRPr="004E1F84">
        <w:t>T</w:t>
      </w:r>
      <w:r w:rsidRPr="00DA23BA">
        <w:t>he</w:t>
      </w:r>
      <w:r>
        <w:t xml:space="preserve"> Open Polytechnic of New Zealand, 2012.</w:t>
      </w:r>
    </w:p>
  </w:footnote>
  <w:footnote w:id="11">
    <w:p w:rsidR="004B1B93" w:rsidRDefault="004B1B93" w:rsidP="00055326">
      <w:pPr>
        <w:pStyle w:val="FootnoteText"/>
      </w:pPr>
      <w:r>
        <w:rPr>
          <w:rStyle w:val="FootnoteReference"/>
        </w:rPr>
        <w:footnoteRef/>
      </w:r>
      <w:r>
        <w:t xml:space="preserve"> Refer to </w:t>
      </w:r>
      <w:hyperlink r:id="rId1" w:history="1">
        <w:r w:rsidRPr="00A34E2C">
          <w:rPr>
            <w:rStyle w:val="Hyperlink"/>
          </w:rPr>
          <w:t>http://www.minedu.govt.nz/NZEducation/EducationPolicies/TertiaryEducation/ELearning/WhatIsELearning.aspx</w:t>
        </w:r>
      </w:hyperlink>
      <w:r>
        <w:t xml:space="preserve"> for more details on tertiary e-learning.</w:t>
      </w:r>
    </w:p>
  </w:footnote>
  <w:footnote w:id="12">
    <w:p w:rsidR="004B1B93" w:rsidRDefault="004B1B93" w:rsidP="00A45BED">
      <w:pPr>
        <w:pStyle w:val="FootnoteText"/>
      </w:pPr>
      <w:r>
        <w:rPr>
          <w:rStyle w:val="FootnoteReference"/>
        </w:rPr>
        <w:footnoteRef/>
      </w:r>
      <w:r>
        <w:t xml:space="preserve"> Other researchers supporting this view of the importance of institutions, teachers and students in contributing to the success of learners in extramural e-learning courses include Anderson and Simpson, 2004; NZCER, 2004; </w:t>
      </w:r>
      <w:r w:rsidRPr="004113B5">
        <w:t>Zhang</w:t>
      </w:r>
      <w:r>
        <w:t>, Zhao, Zhou, and Nunamaker</w:t>
      </w:r>
      <w:r w:rsidRPr="004113B5">
        <w:t>,</w:t>
      </w:r>
      <w:r>
        <w:t xml:space="preserve"> 2004; Davies and Graff, 2005; v</w:t>
      </w:r>
      <w:r w:rsidRPr="00C160F2">
        <w:t>an Merriënboer</w:t>
      </w:r>
      <w:r>
        <w:t xml:space="preserve"> and Ayres, 2005; </w:t>
      </w:r>
      <w:r w:rsidRPr="00C160F2">
        <w:t xml:space="preserve"> </w:t>
      </w:r>
      <w:r>
        <w:t xml:space="preserve">Oh and Lim, 2005; Paas, Tuovinen, </w:t>
      </w:r>
      <w:r>
        <w:rPr>
          <w:iCs/>
          <w:lang w:val="en-GB" w:eastAsia="en-GB"/>
        </w:rPr>
        <w:t xml:space="preserve">van Merriënboer, </w:t>
      </w:r>
      <w:r>
        <w:t xml:space="preserve">and Darabi, 2005; Smith and Ferguson, 2005; </w:t>
      </w:r>
      <w:r w:rsidRPr="00226328">
        <w:t>Giddings et al.,</w:t>
      </w:r>
      <w:r>
        <w:t xml:space="preserve"> 2006; Kickul and Kickul, 2006; Sto</w:t>
      </w:r>
      <w:r w:rsidRPr="00226328">
        <w:t>del et al</w:t>
      </w:r>
      <w:r>
        <w:t xml:space="preserve">., 2006;  Tyler-Smith, 2006; Negash, Wilcox, and Emerson, 2007; Sheriffdeen, 2007; Stacey and Gerbic, 2007; Gardener, 2008; Lamond and White, 2008; </w:t>
      </w:r>
      <w:r w:rsidRPr="00226328">
        <w:t>McGrath</w:t>
      </w:r>
      <w:r>
        <w:t xml:space="preserve">, Mackey, and Davis, 2008; Müller, 2008; Nesbit, 2008; Nichols, 2008; Nora and Snyder, 2008; Santhanam, Sasidharan, and Webster, 2008; Cartner and Hallas, 2009; Ke and Xie, 2009; Kushnir, 2009; </w:t>
      </w:r>
      <w:r w:rsidRPr="00226328">
        <w:t>Walker and vom Brocke, 2009</w:t>
      </w:r>
      <w:r>
        <w:t>; Westberry, 2009; Blyth, Loke, and Swan,  2010; Brooks, 2010; Ellis and Goodyear, 2010; Hartnett, 2010; Khoo, 2010; Loke, Lokman, Winikoff, McDonald, Wass, Purvis, Zeng, Matthaei, and Vlugter, 2010; Naughto</w:t>
      </w:r>
      <w:r w:rsidRPr="00FA308C">
        <w:t>n</w:t>
      </w:r>
      <w:r>
        <w:t>, Roder, and Smeed, 2010; Wu, 2010.</w:t>
      </w:r>
    </w:p>
  </w:footnote>
  <w:footnote w:id="13">
    <w:p w:rsidR="004B1B93" w:rsidRDefault="004B1B93" w:rsidP="00F85BF8">
      <w:pPr>
        <w:pStyle w:val="FootnoteText"/>
      </w:pPr>
      <w:r>
        <w:rPr>
          <w:rStyle w:val="FootnoteReference"/>
        </w:rPr>
        <w:footnoteRef/>
      </w:r>
      <w:r>
        <w:t xml:space="preserve"> Other researchers supporting this view include Deka and McMurry, 2006; Wilson and Sayles, 2007; Barnard et al., 2008; Berenson et al., 2008; Coldwell et al., 2008; Johnson et al., 2008; Müller, 2008; Artino and Stephens, 2009; Pratt, 2009; Sundararajan, 2009; Hartnett, 2010; Ross, 2010.</w:t>
      </w:r>
    </w:p>
  </w:footnote>
  <w:footnote w:id="14">
    <w:p w:rsidR="004B1B93" w:rsidRDefault="004B1B93" w:rsidP="0030523A">
      <w:pPr>
        <w:pStyle w:val="FootnoteText"/>
      </w:pPr>
      <w:r>
        <w:rPr>
          <w:rStyle w:val="FootnoteReference"/>
        </w:rPr>
        <w:footnoteRef/>
      </w:r>
      <w:r>
        <w:t xml:space="preserve"> According to an estimate from the Southern Institute of Technology.</w:t>
      </w:r>
    </w:p>
  </w:footnote>
  <w:footnote w:id="15">
    <w:p w:rsidR="004B1B93" w:rsidRDefault="004B1B93" w:rsidP="003078A0">
      <w:pPr>
        <w:pStyle w:val="FootnoteText"/>
      </w:pPr>
      <w:r>
        <w:rPr>
          <w:rStyle w:val="FootnoteReference"/>
        </w:rPr>
        <w:footnoteRef/>
      </w:r>
      <w:r>
        <w:t xml:space="preserve"> New Zealand Standard Classification of Education (NZSCED) Specification, Education Counts website, Ministry of Education, Wellington, which refers to the broad fields of study and not individual disciplines or subjects within them.  </w:t>
      </w:r>
    </w:p>
  </w:footnote>
  <w:footnote w:id="16">
    <w:p w:rsidR="004B1B93" w:rsidRDefault="004B1B93" w:rsidP="009A4F93">
      <w:pPr>
        <w:pStyle w:val="FootnoteText"/>
      </w:pPr>
      <w:r>
        <w:rPr>
          <w:rStyle w:val="FootnoteReference"/>
        </w:rPr>
        <w:footnoteRef/>
      </w:r>
      <w:r>
        <w:t xml:space="preserve"> NZSCED Specification, Education Counts website, Ministry of Education, Wellington, which refers to the broad fields of study and not individual disciplines or subjects within them.  </w:t>
      </w:r>
    </w:p>
  </w:footnote>
  <w:footnote w:id="17">
    <w:p w:rsidR="004B1B93" w:rsidRDefault="004B1B93" w:rsidP="00807C02">
      <w:pPr>
        <w:pStyle w:val="FootnoteText"/>
      </w:pPr>
      <w:r>
        <w:rPr>
          <w:rStyle w:val="FootnoteReference"/>
        </w:rPr>
        <w:footnoteRef/>
      </w:r>
      <w:r>
        <w:t xml:space="preserve"> NZSCED Specification, Education Counts website, Ministry of Education, Wellington, which refers to the broad fields of study and not individual disciplines or subjects within them.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62850" cy="10696575"/>
          <wp:effectExtent l="19050" t="0" r="0" b="0"/>
          <wp:wrapNone/>
          <wp:docPr id="1" name="Picture 22" descr="08-learners-front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learners-front_200"/>
                  <pic:cNvPicPr>
                    <a:picLocks noChangeAspect="1" noChangeArrowheads="1"/>
                  </pic:cNvPicPr>
                </pic:nvPicPr>
                <pic:blipFill>
                  <a:blip r:embed="rId1"/>
                  <a:srcRect/>
                  <a:stretch>
                    <a:fillRect/>
                  </a:stretch>
                </pic:blipFill>
                <pic:spPr bwMode="auto">
                  <a:xfrm>
                    <a:off x="0" y="0"/>
                    <a:ext cx="7562850" cy="1069657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r>
      <w:rPr>
        <w:noProof/>
        <w:lang w:eastAsia="en-NZ"/>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7576185" cy="10695305"/>
          <wp:effectExtent l="19050" t="0" r="5715" b="0"/>
          <wp:wrapNone/>
          <wp:docPr id="2" name="Picture 24" descr="08-learner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learner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93" w:rsidRDefault="004B1B93">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81900" cy="10692765"/>
          <wp:effectExtent l="19050" t="0" r="0" b="0"/>
          <wp:wrapNone/>
          <wp:docPr id="3" name="Picture 23" descr="08-learner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learners-back_200"/>
                  <pic:cNvPicPr>
                    <a:picLocks noChangeAspect="1" noChangeArrowheads="1"/>
                  </pic:cNvPicPr>
                </pic:nvPicPr>
                <pic:blipFill>
                  <a:blip r:embed="rId1"/>
                  <a:srcRect/>
                  <a:stretch>
                    <a:fillRect/>
                  </a:stretch>
                </pic:blipFill>
                <pic:spPr bwMode="auto">
                  <a:xfrm>
                    <a:off x="0" y="0"/>
                    <a:ext cx="7581900" cy="1069276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BE2EF00"/>
    <w:lvl w:ilvl="0">
      <w:start w:val="1"/>
      <w:numFmt w:val="bullet"/>
      <w:lvlText w:val=""/>
      <w:lvlJc w:val="left"/>
      <w:pPr>
        <w:tabs>
          <w:tab w:val="num" w:pos="360"/>
        </w:tabs>
        <w:ind w:left="360" w:hanging="360"/>
      </w:pPr>
      <w:rPr>
        <w:rFonts w:ascii="Symbol" w:hAnsi="Symbol" w:hint="default"/>
      </w:rPr>
    </w:lvl>
  </w:abstractNum>
  <w:abstractNum w:abstractNumId="1">
    <w:nsid w:val="0410147E"/>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
    <w:nsid w:val="05A06CB2"/>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
    <w:nsid w:val="0F0035C8"/>
    <w:multiLevelType w:val="hybridMultilevel"/>
    <w:tmpl w:val="63984522"/>
    <w:lvl w:ilvl="0" w:tplc="14090001">
      <w:start w:val="1"/>
      <w:numFmt w:val="bullet"/>
      <w:lvlText w:val=""/>
      <w:lvlJc w:val="left"/>
      <w:pPr>
        <w:ind w:left="924" w:hanging="360"/>
      </w:pPr>
      <w:rPr>
        <w:rFonts w:ascii="Symbol" w:hAnsi="Symbol" w:hint="default"/>
      </w:rPr>
    </w:lvl>
    <w:lvl w:ilvl="1" w:tplc="14090003" w:tentative="1">
      <w:start w:val="1"/>
      <w:numFmt w:val="bullet"/>
      <w:lvlText w:val="o"/>
      <w:lvlJc w:val="left"/>
      <w:pPr>
        <w:ind w:left="1644" w:hanging="360"/>
      </w:pPr>
      <w:rPr>
        <w:rFonts w:ascii="Courier New" w:hAnsi="Courier New" w:cs="Courier New" w:hint="default"/>
      </w:rPr>
    </w:lvl>
    <w:lvl w:ilvl="2" w:tplc="14090005" w:tentative="1">
      <w:start w:val="1"/>
      <w:numFmt w:val="bullet"/>
      <w:lvlText w:val=""/>
      <w:lvlJc w:val="left"/>
      <w:pPr>
        <w:ind w:left="2364" w:hanging="360"/>
      </w:pPr>
      <w:rPr>
        <w:rFonts w:ascii="Wingdings" w:hAnsi="Wingdings" w:hint="default"/>
      </w:rPr>
    </w:lvl>
    <w:lvl w:ilvl="3" w:tplc="14090001" w:tentative="1">
      <w:start w:val="1"/>
      <w:numFmt w:val="bullet"/>
      <w:lvlText w:val=""/>
      <w:lvlJc w:val="left"/>
      <w:pPr>
        <w:ind w:left="3084" w:hanging="360"/>
      </w:pPr>
      <w:rPr>
        <w:rFonts w:ascii="Symbol" w:hAnsi="Symbol" w:hint="default"/>
      </w:rPr>
    </w:lvl>
    <w:lvl w:ilvl="4" w:tplc="14090003" w:tentative="1">
      <w:start w:val="1"/>
      <w:numFmt w:val="bullet"/>
      <w:lvlText w:val="o"/>
      <w:lvlJc w:val="left"/>
      <w:pPr>
        <w:ind w:left="3804" w:hanging="360"/>
      </w:pPr>
      <w:rPr>
        <w:rFonts w:ascii="Courier New" w:hAnsi="Courier New" w:cs="Courier New" w:hint="default"/>
      </w:rPr>
    </w:lvl>
    <w:lvl w:ilvl="5" w:tplc="14090005" w:tentative="1">
      <w:start w:val="1"/>
      <w:numFmt w:val="bullet"/>
      <w:lvlText w:val=""/>
      <w:lvlJc w:val="left"/>
      <w:pPr>
        <w:ind w:left="4524" w:hanging="360"/>
      </w:pPr>
      <w:rPr>
        <w:rFonts w:ascii="Wingdings" w:hAnsi="Wingdings" w:hint="default"/>
      </w:rPr>
    </w:lvl>
    <w:lvl w:ilvl="6" w:tplc="14090001" w:tentative="1">
      <w:start w:val="1"/>
      <w:numFmt w:val="bullet"/>
      <w:lvlText w:val=""/>
      <w:lvlJc w:val="left"/>
      <w:pPr>
        <w:ind w:left="5244" w:hanging="360"/>
      </w:pPr>
      <w:rPr>
        <w:rFonts w:ascii="Symbol" w:hAnsi="Symbol" w:hint="default"/>
      </w:rPr>
    </w:lvl>
    <w:lvl w:ilvl="7" w:tplc="14090003" w:tentative="1">
      <w:start w:val="1"/>
      <w:numFmt w:val="bullet"/>
      <w:lvlText w:val="o"/>
      <w:lvlJc w:val="left"/>
      <w:pPr>
        <w:ind w:left="5964" w:hanging="360"/>
      </w:pPr>
      <w:rPr>
        <w:rFonts w:ascii="Courier New" w:hAnsi="Courier New" w:cs="Courier New" w:hint="default"/>
      </w:rPr>
    </w:lvl>
    <w:lvl w:ilvl="8" w:tplc="14090005" w:tentative="1">
      <w:start w:val="1"/>
      <w:numFmt w:val="bullet"/>
      <w:lvlText w:val=""/>
      <w:lvlJc w:val="left"/>
      <w:pPr>
        <w:ind w:left="6684" w:hanging="360"/>
      </w:pPr>
      <w:rPr>
        <w:rFonts w:ascii="Wingdings" w:hAnsi="Wingdings" w:hint="default"/>
      </w:rPr>
    </w:lvl>
  </w:abstractNum>
  <w:abstractNum w:abstractNumId="4">
    <w:nsid w:val="16322D2E"/>
    <w:multiLevelType w:val="hybridMultilevel"/>
    <w:tmpl w:val="20407DDC"/>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5">
    <w:nsid w:val="1E4E3AAB"/>
    <w:multiLevelType w:val="hybridMultilevel"/>
    <w:tmpl w:val="588C6DEA"/>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6">
    <w:nsid w:val="21B1329C"/>
    <w:multiLevelType w:val="hybridMultilevel"/>
    <w:tmpl w:val="799E38D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7">
    <w:nsid w:val="21E44FF2"/>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8">
    <w:nsid w:val="25184451"/>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9">
    <w:nsid w:val="27547666"/>
    <w:multiLevelType w:val="hybridMultilevel"/>
    <w:tmpl w:val="9566FED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0">
    <w:nsid w:val="29431927"/>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
    <w:nsid w:val="39233FC1"/>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2">
    <w:nsid w:val="3CB80C95"/>
    <w:multiLevelType w:val="multilevel"/>
    <w:tmpl w:val="84D6A60C"/>
    <w:lvl w:ilvl="0">
      <w:start w:val="1"/>
      <w:numFmt w:val="decimal"/>
      <w:pStyle w:val="ListPara"/>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3">
    <w:nsid w:val="3DC4541C"/>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4">
    <w:nsid w:val="3FFA209B"/>
    <w:multiLevelType w:val="multilevel"/>
    <w:tmpl w:val="655ABCD0"/>
    <w:lvl w:ilvl="0">
      <w:start w:val="1"/>
      <w:numFmt w:val="upperLetter"/>
      <w:pStyle w:val="Appendix"/>
      <w:lvlText w:val="Appendix %1 "/>
      <w:lvlJc w:val="left"/>
      <w:pPr>
        <w:tabs>
          <w:tab w:val="num" w:pos="3148"/>
        </w:tabs>
        <w:ind w:left="3148" w:hanging="2155"/>
      </w:pPr>
      <w:rPr>
        <w:rFonts w:cs="Times New Roman" w:hint="default"/>
      </w:rPr>
    </w:lvl>
    <w:lvl w:ilvl="1">
      <w:start w:val="1"/>
      <w:numFmt w:val="decimal"/>
      <w:pStyle w:val="AppendixSub"/>
      <w:lvlText w:val="%1.%2"/>
      <w:lvlJc w:val="left"/>
      <w:pPr>
        <w:tabs>
          <w:tab w:val="num" w:pos="567"/>
        </w:tabs>
        <w:ind w:left="567" w:hanging="567"/>
      </w:pPr>
      <w:rPr>
        <w:rFonts w:cs="Times New Roman" w:hint="default"/>
      </w:rPr>
    </w:lvl>
    <w:lvl w:ilvl="2">
      <w:start w:val="1"/>
      <w:numFmt w:val="decimal"/>
      <w:lvlText w:val="%1.%2.%3"/>
      <w:lvlJc w:val="left"/>
      <w:pPr>
        <w:tabs>
          <w:tab w:val="num" w:pos="1418"/>
        </w:tabs>
        <w:ind w:left="1418" w:hanging="851"/>
      </w:pPr>
      <w:rPr>
        <w:rFonts w:cs="Times New Roman" w:hint="default"/>
      </w:rPr>
    </w:lvl>
    <w:lvl w:ilvl="3">
      <w:start w:val="1"/>
      <w:numFmt w:val="lowerRoman"/>
      <w:lvlText w:val="(%4)"/>
      <w:lvlJc w:val="left"/>
      <w:pPr>
        <w:tabs>
          <w:tab w:val="num" w:pos="2268"/>
        </w:tabs>
        <w:ind w:left="2268" w:hanging="567"/>
      </w:pPr>
      <w:rPr>
        <w:rFonts w:cs="Times New Roman"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5">
    <w:nsid w:val="408611A0"/>
    <w:multiLevelType w:val="hybridMultilevel"/>
    <w:tmpl w:val="82B4956A"/>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6">
    <w:nsid w:val="40FD6CC2"/>
    <w:multiLevelType w:val="hybridMultilevel"/>
    <w:tmpl w:val="1734944C"/>
    <w:lvl w:ilvl="0" w:tplc="0809000F">
      <w:start w:val="1"/>
      <w:numFmt w:val="decimal"/>
      <w:lvlText w:val="%1."/>
      <w:lvlJc w:val="left"/>
      <w:pPr>
        <w:tabs>
          <w:tab w:val="num" w:pos="710"/>
        </w:tabs>
        <w:ind w:left="710" w:hanging="360"/>
      </w:pPr>
      <w:rPr>
        <w:rFonts w:cs="Times New Roman"/>
      </w:rPr>
    </w:lvl>
    <w:lvl w:ilvl="1" w:tplc="08090019">
      <w:start w:val="1"/>
      <w:numFmt w:val="lowerLetter"/>
      <w:lvlText w:val="%2."/>
      <w:lvlJc w:val="left"/>
      <w:pPr>
        <w:tabs>
          <w:tab w:val="num" w:pos="1430"/>
        </w:tabs>
        <w:ind w:left="1430" w:hanging="360"/>
      </w:pPr>
      <w:rPr>
        <w:rFonts w:cs="Times New Roman"/>
      </w:rPr>
    </w:lvl>
    <w:lvl w:ilvl="2" w:tplc="0809001B">
      <w:start w:val="1"/>
      <w:numFmt w:val="lowerRoman"/>
      <w:lvlText w:val="%3."/>
      <w:lvlJc w:val="right"/>
      <w:pPr>
        <w:tabs>
          <w:tab w:val="num" w:pos="2150"/>
        </w:tabs>
        <w:ind w:left="2150" w:hanging="180"/>
      </w:pPr>
      <w:rPr>
        <w:rFonts w:cs="Times New Roman"/>
      </w:rPr>
    </w:lvl>
    <w:lvl w:ilvl="3" w:tplc="0809000F">
      <w:start w:val="1"/>
      <w:numFmt w:val="decimal"/>
      <w:lvlText w:val="%4."/>
      <w:lvlJc w:val="left"/>
      <w:pPr>
        <w:tabs>
          <w:tab w:val="num" w:pos="2870"/>
        </w:tabs>
        <w:ind w:left="2870" w:hanging="360"/>
      </w:pPr>
      <w:rPr>
        <w:rFonts w:cs="Times New Roman"/>
      </w:rPr>
    </w:lvl>
    <w:lvl w:ilvl="4" w:tplc="08090019">
      <w:start w:val="1"/>
      <w:numFmt w:val="lowerLetter"/>
      <w:lvlText w:val="%5."/>
      <w:lvlJc w:val="left"/>
      <w:pPr>
        <w:tabs>
          <w:tab w:val="num" w:pos="3590"/>
        </w:tabs>
        <w:ind w:left="3590" w:hanging="360"/>
      </w:pPr>
      <w:rPr>
        <w:rFonts w:cs="Times New Roman"/>
      </w:rPr>
    </w:lvl>
    <w:lvl w:ilvl="5" w:tplc="0809001B">
      <w:start w:val="1"/>
      <w:numFmt w:val="lowerRoman"/>
      <w:lvlText w:val="%6."/>
      <w:lvlJc w:val="right"/>
      <w:pPr>
        <w:tabs>
          <w:tab w:val="num" w:pos="4310"/>
        </w:tabs>
        <w:ind w:left="4310" w:hanging="180"/>
      </w:pPr>
      <w:rPr>
        <w:rFonts w:cs="Times New Roman"/>
      </w:rPr>
    </w:lvl>
    <w:lvl w:ilvl="6" w:tplc="0809000F">
      <w:start w:val="1"/>
      <w:numFmt w:val="decimal"/>
      <w:lvlText w:val="%7."/>
      <w:lvlJc w:val="left"/>
      <w:pPr>
        <w:tabs>
          <w:tab w:val="num" w:pos="5030"/>
        </w:tabs>
        <w:ind w:left="5030" w:hanging="360"/>
      </w:pPr>
      <w:rPr>
        <w:rFonts w:cs="Times New Roman"/>
      </w:rPr>
    </w:lvl>
    <w:lvl w:ilvl="7" w:tplc="08090019">
      <w:start w:val="1"/>
      <w:numFmt w:val="lowerLetter"/>
      <w:lvlText w:val="%8."/>
      <w:lvlJc w:val="left"/>
      <w:pPr>
        <w:tabs>
          <w:tab w:val="num" w:pos="5750"/>
        </w:tabs>
        <w:ind w:left="5750" w:hanging="360"/>
      </w:pPr>
      <w:rPr>
        <w:rFonts w:cs="Times New Roman"/>
      </w:rPr>
    </w:lvl>
    <w:lvl w:ilvl="8" w:tplc="0809001B">
      <w:start w:val="1"/>
      <w:numFmt w:val="lowerRoman"/>
      <w:lvlText w:val="%9."/>
      <w:lvlJc w:val="right"/>
      <w:pPr>
        <w:tabs>
          <w:tab w:val="num" w:pos="6470"/>
        </w:tabs>
        <w:ind w:left="6470" w:hanging="180"/>
      </w:pPr>
      <w:rPr>
        <w:rFonts w:cs="Times New Roman"/>
      </w:rPr>
    </w:lvl>
  </w:abstractNum>
  <w:abstractNum w:abstractNumId="17">
    <w:nsid w:val="4185532A"/>
    <w:multiLevelType w:val="hybridMultilevel"/>
    <w:tmpl w:val="C1E0434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8">
    <w:nsid w:val="41C743DC"/>
    <w:multiLevelType w:val="hybridMultilevel"/>
    <w:tmpl w:val="829AED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44D27730"/>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0">
    <w:nsid w:val="4C483AFE"/>
    <w:multiLevelType w:val="hybridMultilevel"/>
    <w:tmpl w:val="2536E556"/>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1">
    <w:nsid w:val="4C9C4ADE"/>
    <w:multiLevelType w:val="hybridMultilevel"/>
    <w:tmpl w:val="E0E4325C"/>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2">
    <w:nsid w:val="4EC81851"/>
    <w:multiLevelType w:val="hybridMultilevel"/>
    <w:tmpl w:val="D5302B4A"/>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1127466"/>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4">
    <w:nsid w:val="52486A8C"/>
    <w:multiLevelType w:val="hybridMultilevel"/>
    <w:tmpl w:val="6E2E32B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5">
    <w:nsid w:val="54DF3134"/>
    <w:multiLevelType w:val="hybridMultilevel"/>
    <w:tmpl w:val="51360C36"/>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6">
    <w:nsid w:val="56D163F4"/>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7">
    <w:nsid w:val="5DE319D3"/>
    <w:multiLevelType w:val="hybridMultilevel"/>
    <w:tmpl w:val="B558712E"/>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8">
    <w:nsid w:val="67CE0B74"/>
    <w:multiLevelType w:val="hybridMultilevel"/>
    <w:tmpl w:val="3368723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9">
    <w:nsid w:val="6AFE5507"/>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0">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nsid w:val="6DDD761B"/>
    <w:multiLevelType w:val="multilevel"/>
    <w:tmpl w:val="336E6796"/>
    <w:lvl w:ilvl="0">
      <w:start w:val="1"/>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6379"/>
        </w:tabs>
        <w:ind w:left="6379" w:hanging="567"/>
      </w:pPr>
      <w:rPr>
        <w:rFonts w:cs="Times New Roman" w:hint="default"/>
        <w:b w:val="0"/>
        <w:i w:val="0"/>
        <w:sz w:val="28"/>
      </w:rPr>
    </w:lvl>
    <w:lvl w:ilvl="2">
      <w:start w:val="1"/>
      <w:numFmt w:val="decimal"/>
      <w:lvlRestart w:val="0"/>
      <w:pStyle w:val="Heading2a"/>
      <w:lvlText w:val="%1.%3"/>
      <w:lvlJc w:val="left"/>
      <w:pPr>
        <w:tabs>
          <w:tab w:val="num" w:pos="567"/>
        </w:tabs>
        <w:ind w:left="567" w:hanging="567"/>
      </w:pPr>
      <w:rPr>
        <w:rFonts w:cs="Times New Roman" w:hint="default"/>
      </w:rPr>
    </w:lvl>
    <w:lvl w:ilvl="3">
      <w:start w:val="1"/>
      <w:numFmt w:val="lowerRoman"/>
      <w:lvlText w:val="(%4)"/>
      <w:lvlJc w:val="left"/>
      <w:pPr>
        <w:tabs>
          <w:tab w:val="num" w:pos="2268"/>
        </w:tabs>
        <w:ind w:left="2268" w:hanging="567"/>
      </w:pPr>
      <w:rPr>
        <w:rFonts w:cs="Times New Roman"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2">
    <w:nsid w:val="6E1B48AD"/>
    <w:multiLevelType w:val="hybridMultilevel"/>
    <w:tmpl w:val="E14CB70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3">
    <w:nsid w:val="726841C5"/>
    <w:multiLevelType w:val="hybridMultilevel"/>
    <w:tmpl w:val="63AEA190"/>
    <w:lvl w:ilvl="0" w:tplc="5EC05AA2">
      <w:start w:val="1"/>
      <w:numFmt w:val="decimal"/>
      <w:lvlText w:val="%1."/>
      <w:lvlJc w:val="left"/>
      <w:pPr>
        <w:ind w:left="1080" w:hanging="360"/>
      </w:pPr>
      <w:rPr>
        <w:rFonts w:cs="Times New Roman" w:hint="default"/>
      </w:rPr>
    </w:lvl>
    <w:lvl w:ilvl="1" w:tplc="14090019" w:tentative="1">
      <w:start w:val="1"/>
      <w:numFmt w:val="lowerLetter"/>
      <w:lvlText w:val="%2."/>
      <w:lvlJc w:val="left"/>
      <w:pPr>
        <w:ind w:left="1800" w:hanging="360"/>
      </w:pPr>
      <w:rPr>
        <w:rFonts w:cs="Times New Roman"/>
      </w:rPr>
    </w:lvl>
    <w:lvl w:ilvl="2" w:tplc="1409001B" w:tentative="1">
      <w:start w:val="1"/>
      <w:numFmt w:val="lowerRoman"/>
      <w:lvlText w:val="%3."/>
      <w:lvlJc w:val="right"/>
      <w:pPr>
        <w:ind w:left="2520" w:hanging="180"/>
      </w:pPr>
      <w:rPr>
        <w:rFonts w:cs="Times New Roman"/>
      </w:rPr>
    </w:lvl>
    <w:lvl w:ilvl="3" w:tplc="1409000F" w:tentative="1">
      <w:start w:val="1"/>
      <w:numFmt w:val="decimal"/>
      <w:lvlText w:val="%4."/>
      <w:lvlJc w:val="left"/>
      <w:pPr>
        <w:ind w:left="3240" w:hanging="360"/>
      </w:pPr>
      <w:rPr>
        <w:rFonts w:cs="Times New Roman"/>
      </w:rPr>
    </w:lvl>
    <w:lvl w:ilvl="4" w:tplc="14090019" w:tentative="1">
      <w:start w:val="1"/>
      <w:numFmt w:val="lowerLetter"/>
      <w:lvlText w:val="%5."/>
      <w:lvlJc w:val="left"/>
      <w:pPr>
        <w:ind w:left="3960" w:hanging="360"/>
      </w:pPr>
      <w:rPr>
        <w:rFonts w:cs="Times New Roman"/>
      </w:rPr>
    </w:lvl>
    <w:lvl w:ilvl="5" w:tplc="1409001B" w:tentative="1">
      <w:start w:val="1"/>
      <w:numFmt w:val="lowerRoman"/>
      <w:lvlText w:val="%6."/>
      <w:lvlJc w:val="right"/>
      <w:pPr>
        <w:ind w:left="4680" w:hanging="180"/>
      </w:pPr>
      <w:rPr>
        <w:rFonts w:cs="Times New Roman"/>
      </w:rPr>
    </w:lvl>
    <w:lvl w:ilvl="6" w:tplc="1409000F" w:tentative="1">
      <w:start w:val="1"/>
      <w:numFmt w:val="decimal"/>
      <w:lvlText w:val="%7."/>
      <w:lvlJc w:val="left"/>
      <w:pPr>
        <w:ind w:left="5400" w:hanging="360"/>
      </w:pPr>
      <w:rPr>
        <w:rFonts w:cs="Times New Roman"/>
      </w:rPr>
    </w:lvl>
    <w:lvl w:ilvl="7" w:tplc="14090019" w:tentative="1">
      <w:start w:val="1"/>
      <w:numFmt w:val="lowerLetter"/>
      <w:lvlText w:val="%8."/>
      <w:lvlJc w:val="left"/>
      <w:pPr>
        <w:ind w:left="6120" w:hanging="360"/>
      </w:pPr>
      <w:rPr>
        <w:rFonts w:cs="Times New Roman"/>
      </w:rPr>
    </w:lvl>
    <w:lvl w:ilvl="8" w:tplc="1409001B" w:tentative="1">
      <w:start w:val="1"/>
      <w:numFmt w:val="lowerRoman"/>
      <w:lvlText w:val="%9."/>
      <w:lvlJc w:val="right"/>
      <w:pPr>
        <w:ind w:left="6840" w:hanging="180"/>
      </w:pPr>
      <w:rPr>
        <w:rFonts w:cs="Times New Roman"/>
      </w:rPr>
    </w:lvl>
  </w:abstractNum>
  <w:abstractNum w:abstractNumId="34">
    <w:nsid w:val="73444A9C"/>
    <w:multiLevelType w:val="hybridMultilevel"/>
    <w:tmpl w:val="829AED7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5">
    <w:nsid w:val="747153E6"/>
    <w:multiLevelType w:val="hybridMultilevel"/>
    <w:tmpl w:val="E1FAB9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6">
    <w:nsid w:val="756F6C90"/>
    <w:multiLevelType w:val="hybridMultilevel"/>
    <w:tmpl w:val="588C6DEA"/>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7">
    <w:nsid w:val="774023B7"/>
    <w:multiLevelType w:val="hybridMultilevel"/>
    <w:tmpl w:val="80388854"/>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8">
    <w:nsid w:val="78633388"/>
    <w:multiLevelType w:val="hybridMultilevel"/>
    <w:tmpl w:val="B8DC73D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9">
    <w:nsid w:val="7D4B7D4C"/>
    <w:multiLevelType w:val="hybridMultilevel"/>
    <w:tmpl w:val="02D27D0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0">
    <w:nsid w:val="7D8108B6"/>
    <w:multiLevelType w:val="hybridMultilevel"/>
    <w:tmpl w:val="D264E752"/>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31"/>
  </w:num>
  <w:num w:numId="4">
    <w:abstractNumId w:val="22"/>
  </w:num>
  <w:num w:numId="5">
    <w:abstractNumId w:val="14"/>
  </w:num>
  <w:num w:numId="6">
    <w:abstractNumId w:val="0"/>
  </w:num>
  <w:num w:numId="7">
    <w:abstractNumId w:val="12"/>
  </w:num>
  <w:num w:numId="8">
    <w:abstractNumId w:val="6"/>
  </w:num>
  <w:num w:numId="9">
    <w:abstractNumId w:val="9"/>
  </w:num>
  <w:num w:numId="10">
    <w:abstractNumId w:val="20"/>
  </w:num>
  <w:num w:numId="11">
    <w:abstractNumId w:val="21"/>
  </w:num>
  <w:num w:numId="12">
    <w:abstractNumId w:val="25"/>
  </w:num>
  <w:num w:numId="13">
    <w:abstractNumId w:val="15"/>
  </w:num>
  <w:num w:numId="14">
    <w:abstractNumId w:val="24"/>
  </w:num>
  <w:num w:numId="15">
    <w:abstractNumId w:val="34"/>
  </w:num>
  <w:num w:numId="16">
    <w:abstractNumId w:val="32"/>
  </w:num>
  <w:num w:numId="17">
    <w:abstractNumId w:val="17"/>
  </w:num>
  <w:num w:numId="18">
    <w:abstractNumId w:val="38"/>
  </w:num>
  <w:num w:numId="19">
    <w:abstractNumId w:val="26"/>
  </w:num>
  <w:num w:numId="20">
    <w:abstractNumId w:val="37"/>
  </w:num>
  <w:num w:numId="21">
    <w:abstractNumId w:val="7"/>
  </w:num>
  <w:num w:numId="22">
    <w:abstractNumId w:val="33"/>
  </w:num>
  <w:num w:numId="23">
    <w:abstractNumId w:val="23"/>
  </w:num>
  <w:num w:numId="24">
    <w:abstractNumId w:val="11"/>
  </w:num>
  <w:num w:numId="25">
    <w:abstractNumId w:val="2"/>
  </w:num>
  <w:num w:numId="26">
    <w:abstractNumId w:val="19"/>
  </w:num>
  <w:num w:numId="27">
    <w:abstractNumId w:val="27"/>
  </w:num>
  <w:num w:numId="28">
    <w:abstractNumId w:val="13"/>
  </w:num>
  <w:num w:numId="29">
    <w:abstractNumId w:val="35"/>
  </w:num>
  <w:num w:numId="30">
    <w:abstractNumId w:val="29"/>
  </w:num>
  <w:num w:numId="31">
    <w:abstractNumId w:val="8"/>
  </w:num>
  <w:num w:numId="32">
    <w:abstractNumId w:val="10"/>
  </w:num>
  <w:num w:numId="33">
    <w:abstractNumId w:val="4"/>
  </w:num>
  <w:num w:numId="34">
    <w:abstractNumId w:val="39"/>
  </w:num>
  <w:num w:numId="35">
    <w:abstractNumId w:val="1"/>
  </w:num>
  <w:num w:numId="36">
    <w:abstractNumId w:val="18"/>
  </w:num>
  <w:num w:numId="37">
    <w:abstractNumId w:val="3"/>
  </w:num>
  <w:num w:numId="38">
    <w:abstractNumId w:val="16"/>
  </w:num>
  <w:num w:numId="39">
    <w:abstractNumId w:val="30"/>
  </w:num>
  <w:num w:numId="40">
    <w:abstractNumId w:val="40"/>
  </w:num>
  <w:num w:numId="41">
    <w:abstractNumId w:val="36"/>
  </w:num>
  <w:num w:numId="42">
    <w:abstractNumId w:val="5"/>
  </w:num>
  <w:num w:numId="43">
    <w:abstractNumId w:val="2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stylePaneFormatFilter w:val="3001"/>
  <w:defaultTabStop w:val="567"/>
  <w:evenAndOddHeaders/>
  <w:noPunctuationKerning/>
  <w:characterSpacingControl w:val="doNotCompress"/>
  <w:hdrShapeDefaults>
    <o:shapedefaults v:ext="edit" spidmax="16385"/>
  </w:hdrShapeDefaults>
  <w:footnotePr>
    <w:footnote w:id="-1"/>
    <w:footnote w:id="0"/>
  </w:footnotePr>
  <w:endnotePr>
    <w:endnote w:id="-1"/>
    <w:endnote w:id="0"/>
  </w:endnotePr>
  <w:compat/>
  <w:rsids>
    <w:rsidRoot w:val="003640E0"/>
    <w:rsid w:val="00000089"/>
    <w:rsid w:val="00000400"/>
    <w:rsid w:val="00000B3E"/>
    <w:rsid w:val="00000CEB"/>
    <w:rsid w:val="00001B56"/>
    <w:rsid w:val="00002E64"/>
    <w:rsid w:val="00002EE4"/>
    <w:rsid w:val="00003451"/>
    <w:rsid w:val="00003735"/>
    <w:rsid w:val="000045D2"/>
    <w:rsid w:val="0000475C"/>
    <w:rsid w:val="00004C3D"/>
    <w:rsid w:val="0000550C"/>
    <w:rsid w:val="00005A95"/>
    <w:rsid w:val="00005D07"/>
    <w:rsid w:val="00006066"/>
    <w:rsid w:val="000112AF"/>
    <w:rsid w:val="00011D25"/>
    <w:rsid w:val="000124F0"/>
    <w:rsid w:val="000125EC"/>
    <w:rsid w:val="0001316C"/>
    <w:rsid w:val="0001325A"/>
    <w:rsid w:val="000142E9"/>
    <w:rsid w:val="0001435D"/>
    <w:rsid w:val="000145EB"/>
    <w:rsid w:val="00015837"/>
    <w:rsid w:val="000161BA"/>
    <w:rsid w:val="000162BB"/>
    <w:rsid w:val="00016773"/>
    <w:rsid w:val="000209FD"/>
    <w:rsid w:val="00020B6E"/>
    <w:rsid w:val="00022887"/>
    <w:rsid w:val="00022E38"/>
    <w:rsid w:val="00023295"/>
    <w:rsid w:val="000245A8"/>
    <w:rsid w:val="00024815"/>
    <w:rsid w:val="0002498E"/>
    <w:rsid w:val="000269E4"/>
    <w:rsid w:val="00031B8F"/>
    <w:rsid w:val="000327C8"/>
    <w:rsid w:val="0003328E"/>
    <w:rsid w:val="000332F6"/>
    <w:rsid w:val="00033764"/>
    <w:rsid w:val="00033C03"/>
    <w:rsid w:val="00034180"/>
    <w:rsid w:val="00035523"/>
    <w:rsid w:val="000356E9"/>
    <w:rsid w:val="00036452"/>
    <w:rsid w:val="000366C3"/>
    <w:rsid w:val="00036E54"/>
    <w:rsid w:val="000378F9"/>
    <w:rsid w:val="0004043A"/>
    <w:rsid w:val="000404A8"/>
    <w:rsid w:val="0004053E"/>
    <w:rsid w:val="00041172"/>
    <w:rsid w:val="00041AFF"/>
    <w:rsid w:val="00042107"/>
    <w:rsid w:val="0004219F"/>
    <w:rsid w:val="00042747"/>
    <w:rsid w:val="00042954"/>
    <w:rsid w:val="00042AFC"/>
    <w:rsid w:val="00042E23"/>
    <w:rsid w:val="000456E1"/>
    <w:rsid w:val="00045A6B"/>
    <w:rsid w:val="00045DE1"/>
    <w:rsid w:val="00050125"/>
    <w:rsid w:val="00050722"/>
    <w:rsid w:val="00051FA3"/>
    <w:rsid w:val="000525BF"/>
    <w:rsid w:val="00052C91"/>
    <w:rsid w:val="000531CD"/>
    <w:rsid w:val="00053781"/>
    <w:rsid w:val="000547D0"/>
    <w:rsid w:val="00054C70"/>
    <w:rsid w:val="00055326"/>
    <w:rsid w:val="00055734"/>
    <w:rsid w:val="000570E3"/>
    <w:rsid w:val="0005739B"/>
    <w:rsid w:val="00057AD2"/>
    <w:rsid w:val="00057B81"/>
    <w:rsid w:val="00060094"/>
    <w:rsid w:val="0006235E"/>
    <w:rsid w:val="00062829"/>
    <w:rsid w:val="0006322D"/>
    <w:rsid w:val="00064A10"/>
    <w:rsid w:val="00065596"/>
    <w:rsid w:val="00065B09"/>
    <w:rsid w:val="00066500"/>
    <w:rsid w:val="000671B3"/>
    <w:rsid w:val="000708F6"/>
    <w:rsid w:val="0007091B"/>
    <w:rsid w:val="00070C0C"/>
    <w:rsid w:val="00072166"/>
    <w:rsid w:val="000731A5"/>
    <w:rsid w:val="0007355F"/>
    <w:rsid w:val="00075F4F"/>
    <w:rsid w:val="00076920"/>
    <w:rsid w:val="0007727F"/>
    <w:rsid w:val="000774ED"/>
    <w:rsid w:val="00080A94"/>
    <w:rsid w:val="00080C97"/>
    <w:rsid w:val="0008165F"/>
    <w:rsid w:val="0008265F"/>
    <w:rsid w:val="00083139"/>
    <w:rsid w:val="00083B66"/>
    <w:rsid w:val="000850EB"/>
    <w:rsid w:val="00085158"/>
    <w:rsid w:val="000854DE"/>
    <w:rsid w:val="000861C4"/>
    <w:rsid w:val="000861F5"/>
    <w:rsid w:val="00086420"/>
    <w:rsid w:val="000902F4"/>
    <w:rsid w:val="0009176C"/>
    <w:rsid w:val="000953AB"/>
    <w:rsid w:val="00095C32"/>
    <w:rsid w:val="00096C89"/>
    <w:rsid w:val="000A177F"/>
    <w:rsid w:val="000A1A2D"/>
    <w:rsid w:val="000A20D3"/>
    <w:rsid w:val="000A46EE"/>
    <w:rsid w:val="000A63B7"/>
    <w:rsid w:val="000A643C"/>
    <w:rsid w:val="000A6D7C"/>
    <w:rsid w:val="000A74CF"/>
    <w:rsid w:val="000B137E"/>
    <w:rsid w:val="000B1B19"/>
    <w:rsid w:val="000B3EAE"/>
    <w:rsid w:val="000B3F8A"/>
    <w:rsid w:val="000B3FCE"/>
    <w:rsid w:val="000B402D"/>
    <w:rsid w:val="000B43B5"/>
    <w:rsid w:val="000B50CE"/>
    <w:rsid w:val="000B561B"/>
    <w:rsid w:val="000B6829"/>
    <w:rsid w:val="000B6D50"/>
    <w:rsid w:val="000B7204"/>
    <w:rsid w:val="000B736B"/>
    <w:rsid w:val="000B79F6"/>
    <w:rsid w:val="000B7AAA"/>
    <w:rsid w:val="000C0D4F"/>
    <w:rsid w:val="000C1806"/>
    <w:rsid w:val="000C1DE3"/>
    <w:rsid w:val="000C2278"/>
    <w:rsid w:val="000C22CD"/>
    <w:rsid w:val="000C25B1"/>
    <w:rsid w:val="000C2B1F"/>
    <w:rsid w:val="000C2BAC"/>
    <w:rsid w:val="000C3909"/>
    <w:rsid w:val="000C44B1"/>
    <w:rsid w:val="000C4952"/>
    <w:rsid w:val="000C49F6"/>
    <w:rsid w:val="000C507F"/>
    <w:rsid w:val="000C5942"/>
    <w:rsid w:val="000C5F9B"/>
    <w:rsid w:val="000C6BDA"/>
    <w:rsid w:val="000C7334"/>
    <w:rsid w:val="000C7E3F"/>
    <w:rsid w:val="000C7F02"/>
    <w:rsid w:val="000D0B22"/>
    <w:rsid w:val="000D0B90"/>
    <w:rsid w:val="000D0D61"/>
    <w:rsid w:val="000D0E32"/>
    <w:rsid w:val="000D1079"/>
    <w:rsid w:val="000D1CA9"/>
    <w:rsid w:val="000D220D"/>
    <w:rsid w:val="000D240F"/>
    <w:rsid w:val="000D27F3"/>
    <w:rsid w:val="000D292B"/>
    <w:rsid w:val="000D413A"/>
    <w:rsid w:val="000D5834"/>
    <w:rsid w:val="000D63A2"/>
    <w:rsid w:val="000D6E84"/>
    <w:rsid w:val="000E05CC"/>
    <w:rsid w:val="000E0A90"/>
    <w:rsid w:val="000E1F75"/>
    <w:rsid w:val="000E2493"/>
    <w:rsid w:val="000E2CB0"/>
    <w:rsid w:val="000E2F19"/>
    <w:rsid w:val="000E38C5"/>
    <w:rsid w:val="000E4648"/>
    <w:rsid w:val="000E4F7A"/>
    <w:rsid w:val="000E54D1"/>
    <w:rsid w:val="000E59D1"/>
    <w:rsid w:val="000E6289"/>
    <w:rsid w:val="000E6C56"/>
    <w:rsid w:val="000E6EE5"/>
    <w:rsid w:val="000E7427"/>
    <w:rsid w:val="000E779D"/>
    <w:rsid w:val="000E79E5"/>
    <w:rsid w:val="000F0941"/>
    <w:rsid w:val="000F0EAA"/>
    <w:rsid w:val="000F20F2"/>
    <w:rsid w:val="000F2288"/>
    <w:rsid w:val="000F305D"/>
    <w:rsid w:val="000F354C"/>
    <w:rsid w:val="000F6341"/>
    <w:rsid w:val="000F6BB0"/>
    <w:rsid w:val="000F6FC2"/>
    <w:rsid w:val="000F7021"/>
    <w:rsid w:val="000F781C"/>
    <w:rsid w:val="000F785C"/>
    <w:rsid w:val="00100CC1"/>
    <w:rsid w:val="00101289"/>
    <w:rsid w:val="001012C4"/>
    <w:rsid w:val="001015B6"/>
    <w:rsid w:val="00101CE7"/>
    <w:rsid w:val="00102C3B"/>
    <w:rsid w:val="001038A7"/>
    <w:rsid w:val="0010415A"/>
    <w:rsid w:val="00104555"/>
    <w:rsid w:val="00104FE2"/>
    <w:rsid w:val="001051CA"/>
    <w:rsid w:val="0010570D"/>
    <w:rsid w:val="00105BF2"/>
    <w:rsid w:val="0010602C"/>
    <w:rsid w:val="00106AE7"/>
    <w:rsid w:val="00110426"/>
    <w:rsid w:val="001106AA"/>
    <w:rsid w:val="00110E8C"/>
    <w:rsid w:val="00111E8D"/>
    <w:rsid w:val="00111E92"/>
    <w:rsid w:val="00112378"/>
    <w:rsid w:val="00114C1A"/>
    <w:rsid w:val="001159D1"/>
    <w:rsid w:val="00115CED"/>
    <w:rsid w:val="0011626F"/>
    <w:rsid w:val="00116922"/>
    <w:rsid w:val="00116E80"/>
    <w:rsid w:val="001203C0"/>
    <w:rsid w:val="00121004"/>
    <w:rsid w:val="001213B6"/>
    <w:rsid w:val="00123043"/>
    <w:rsid w:val="001239EC"/>
    <w:rsid w:val="00124C66"/>
    <w:rsid w:val="001250AA"/>
    <w:rsid w:val="0012565F"/>
    <w:rsid w:val="001257CB"/>
    <w:rsid w:val="00125ACC"/>
    <w:rsid w:val="00126447"/>
    <w:rsid w:val="00127943"/>
    <w:rsid w:val="001279CC"/>
    <w:rsid w:val="00127A18"/>
    <w:rsid w:val="00127A8E"/>
    <w:rsid w:val="00127B10"/>
    <w:rsid w:val="0013046F"/>
    <w:rsid w:val="001306B5"/>
    <w:rsid w:val="00130BBB"/>
    <w:rsid w:val="001326BB"/>
    <w:rsid w:val="00133539"/>
    <w:rsid w:val="0013419B"/>
    <w:rsid w:val="00134BC0"/>
    <w:rsid w:val="00134F19"/>
    <w:rsid w:val="0013525B"/>
    <w:rsid w:val="00135BD6"/>
    <w:rsid w:val="00135FF6"/>
    <w:rsid w:val="0013676A"/>
    <w:rsid w:val="001372AA"/>
    <w:rsid w:val="001375A7"/>
    <w:rsid w:val="00137DAB"/>
    <w:rsid w:val="00137F9B"/>
    <w:rsid w:val="001407E7"/>
    <w:rsid w:val="001414D9"/>
    <w:rsid w:val="00142747"/>
    <w:rsid w:val="00142855"/>
    <w:rsid w:val="001442A3"/>
    <w:rsid w:val="00144486"/>
    <w:rsid w:val="00144B2A"/>
    <w:rsid w:val="001451E0"/>
    <w:rsid w:val="00145E62"/>
    <w:rsid w:val="00146102"/>
    <w:rsid w:val="00146B54"/>
    <w:rsid w:val="001502E2"/>
    <w:rsid w:val="00151B34"/>
    <w:rsid w:val="001525DC"/>
    <w:rsid w:val="001526A1"/>
    <w:rsid w:val="00152937"/>
    <w:rsid w:val="00152C1F"/>
    <w:rsid w:val="00152D38"/>
    <w:rsid w:val="001553BB"/>
    <w:rsid w:val="00155AD0"/>
    <w:rsid w:val="0015629A"/>
    <w:rsid w:val="0015689D"/>
    <w:rsid w:val="001571BD"/>
    <w:rsid w:val="001609E9"/>
    <w:rsid w:val="00160A58"/>
    <w:rsid w:val="00161B19"/>
    <w:rsid w:val="00161EE9"/>
    <w:rsid w:val="001620B7"/>
    <w:rsid w:val="0016279D"/>
    <w:rsid w:val="00162BCF"/>
    <w:rsid w:val="00163C2B"/>
    <w:rsid w:val="0016417A"/>
    <w:rsid w:val="00164714"/>
    <w:rsid w:val="00164E77"/>
    <w:rsid w:val="001659D7"/>
    <w:rsid w:val="00165A7A"/>
    <w:rsid w:val="00165EFA"/>
    <w:rsid w:val="00167304"/>
    <w:rsid w:val="001675CB"/>
    <w:rsid w:val="00167B97"/>
    <w:rsid w:val="00171F54"/>
    <w:rsid w:val="001720C5"/>
    <w:rsid w:val="001726DA"/>
    <w:rsid w:val="00172B18"/>
    <w:rsid w:val="001738EC"/>
    <w:rsid w:val="001740F6"/>
    <w:rsid w:val="0017481B"/>
    <w:rsid w:val="00175229"/>
    <w:rsid w:val="001760EE"/>
    <w:rsid w:val="00176403"/>
    <w:rsid w:val="00176AA5"/>
    <w:rsid w:val="00177D52"/>
    <w:rsid w:val="001811ED"/>
    <w:rsid w:val="001814C4"/>
    <w:rsid w:val="00181695"/>
    <w:rsid w:val="00181CC3"/>
    <w:rsid w:val="001839B6"/>
    <w:rsid w:val="001852FF"/>
    <w:rsid w:val="00187F3E"/>
    <w:rsid w:val="00190230"/>
    <w:rsid w:val="001908FC"/>
    <w:rsid w:val="001912D3"/>
    <w:rsid w:val="00191C86"/>
    <w:rsid w:val="001920BE"/>
    <w:rsid w:val="00193811"/>
    <w:rsid w:val="001938AC"/>
    <w:rsid w:val="001940C2"/>
    <w:rsid w:val="00195954"/>
    <w:rsid w:val="00196377"/>
    <w:rsid w:val="00196C62"/>
    <w:rsid w:val="00196F1E"/>
    <w:rsid w:val="001A050A"/>
    <w:rsid w:val="001A0BB0"/>
    <w:rsid w:val="001A3152"/>
    <w:rsid w:val="001A36C8"/>
    <w:rsid w:val="001A4B87"/>
    <w:rsid w:val="001A5E5B"/>
    <w:rsid w:val="001A5F38"/>
    <w:rsid w:val="001B1078"/>
    <w:rsid w:val="001B2317"/>
    <w:rsid w:val="001B24D0"/>
    <w:rsid w:val="001B3281"/>
    <w:rsid w:val="001B33CE"/>
    <w:rsid w:val="001B3414"/>
    <w:rsid w:val="001B633B"/>
    <w:rsid w:val="001B6A3E"/>
    <w:rsid w:val="001B6CB0"/>
    <w:rsid w:val="001C1C11"/>
    <w:rsid w:val="001C35BE"/>
    <w:rsid w:val="001C378B"/>
    <w:rsid w:val="001C39F5"/>
    <w:rsid w:val="001C3C1E"/>
    <w:rsid w:val="001C3D1B"/>
    <w:rsid w:val="001C45C8"/>
    <w:rsid w:val="001C499E"/>
    <w:rsid w:val="001C546B"/>
    <w:rsid w:val="001C6542"/>
    <w:rsid w:val="001C7C34"/>
    <w:rsid w:val="001C7DAF"/>
    <w:rsid w:val="001D00AF"/>
    <w:rsid w:val="001D25BA"/>
    <w:rsid w:val="001D4FA4"/>
    <w:rsid w:val="001D568B"/>
    <w:rsid w:val="001D62A4"/>
    <w:rsid w:val="001E0F6F"/>
    <w:rsid w:val="001E110D"/>
    <w:rsid w:val="001E142E"/>
    <w:rsid w:val="001E1E0B"/>
    <w:rsid w:val="001E26E7"/>
    <w:rsid w:val="001E28E1"/>
    <w:rsid w:val="001E2AFC"/>
    <w:rsid w:val="001E313F"/>
    <w:rsid w:val="001E5F13"/>
    <w:rsid w:val="001E74A4"/>
    <w:rsid w:val="001E7617"/>
    <w:rsid w:val="001F04B4"/>
    <w:rsid w:val="001F0681"/>
    <w:rsid w:val="001F089C"/>
    <w:rsid w:val="001F0E59"/>
    <w:rsid w:val="001F12F2"/>
    <w:rsid w:val="001F153E"/>
    <w:rsid w:val="001F23B8"/>
    <w:rsid w:val="001F2917"/>
    <w:rsid w:val="001F40AE"/>
    <w:rsid w:val="001F4238"/>
    <w:rsid w:val="001F482D"/>
    <w:rsid w:val="001F49A8"/>
    <w:rsid w:val="001F4C19"/>
    <w:rsid w:val="001F55DE"/>
    <w:rsid w:val="001F6A3F"/>
    <w:rsid w:val="001F6BE7"/>
    <w:rsid w:val="001F6D0A"/>
    <w:rsid w:val="001F6E6A"/>
    <w:rsid w:val="001F7831"/>
    <w:rsid w:val="001F78AA"/>
    <w:rsid w:val="001F7F9F"/>
    <w:rsid w:val="002002E8"/>
    <w:rsid w:val="00200691"/>
    <w:rsid w:val="00200A18"/>
    <w:rsid w:val="002017C1"/>
    <w:rsid w:val="00201A55"/>
    <w:rsid w:val="00202AC7"/>
    <w:rsid w:val="00202C7E"/>
    <w:rsid w:val="00202E95"/>
    <w:rsid w:val="002039E7"/>
    <w:rsid w:val="00204BFF"/>
    <w:rsid w:val="00205E0E"/>
    <w:rsid w:val="0020663F"/>
    <w:rsid w:val="00206F00"/>
    <w:rsid w:val="00207BF6"/>
    <w:rsid w:val="00207DD7"/>
    <w:rsid w:val="00207F77"/>
    <w:rsid w:val="002102A1"/>
    <w:rsid w:val="00210B55"/>
    <w:rsid w:val="00210EBB"/>
    <w:rsid w:val="00210F7A"/>
    <w:rsid w:val="00210FE5"/>
    <w:rsid w:val="002112CB"/>
    <w:rsid w:val="00211D14"/>
    <w:rsid w:val="00211E74"/>
    <w:rsid w:val="002127FF"/>
    <w:rsid w:val="00213501"/>
    <w:rsid w:val="0021355D"/>
    <w:rsid w:val="0021360F"/>
    <w:rsid w:val="002165DB"/>
    <w:rsid w:val="00217633"/>
    <w:rsid w:val="00220CE7"/>
    <w:rsid w:val="00221733"/>
    <w:rsid w:val="00222C10"/>
    <w:rsid w:val="00223A0D"/>
    <w:rsid w:val="002241DB"/>
    <w:rsid w:val="002247B4"/>
    <w:rsid w:val="00225248"/>
    <w:rsid w:val="00225706"/>
    <w:rsid w:val="0022573E"/>
    <w:rsid w:val="00226328"/>
    <w:rsid w:val="00226588"/>
    <w:rsid w:val="00227529"/>
    <w:rsid w:val="00230051"/>
    <w:rsid w:val="002304E2"/>
    <w:rsid w:val="00230FEA"/>
    <w:rsid w:val="00231D05"/>
    <w:rsid w:val="0023308E"/>
    <w:rsid w:val="002344F2"/>
    <w:rsid w:val="00235B2A"/>
    <w:rsid w:val="0023695F"/>
    <w:rsid w:val="00237332"/>
    <w:rsid w:val="0023771E"/>
    <w:rsid w:val="00237DFA"/>
    <w:rsid w:val="002401FA"/>
    <w:rsid w:val="002403F9"/>
    <w:rsid w:val="00241566"/>
    <w:rsid w:val="002432EB"/>
    <w:rsid w:val="002435F1"/>
    <w:rsid w:val="00243E8A"/>
    <w:rsid w:val="002448AC"/>
    <w:rsid w:val="00245712"/>
    <w:rsid w:val="00245DE0"/>
    <w:rsid w:val="00246160"/>
    <w:rsid w:val="002465B3"/>
    <w:rsid w:val="00246A3C"/>
    <w:rsid w:val="00246D46"/>
    <w:rsid w:val="002509B3"/>
    <w:rsid w:val="00250F08"/>
    <w:rsid w:val="002520BE"/>
    <w:rsid w:val="002529EC"/>
    <w:rsid w:val="00253DD5"/>
    <w:rsid w:val="00253F09"/>
    <w:rsid w:val="00254190"/>
    <w:rsid w:val="00254234"/>
    <w:rsid w:val="00254FE2"/>
    <w:rsid w:val="00257469"/>
    <w:rsid w:val="002574E2"/>
    <w:rsid w:val="00257B80"/>
    <w:rsid w:val="0026032F"/>
    <w:rsid w:val="00260A86"/>
    <w:rsid w:val="002616DC"/>
    <w:rsid w:val="00261D86"/>
    <w:rsid w:val="00262479"/>
    <w:rsid w:val="0026253B"/>
    <w:rsid w:val="002625FD"/>
    <w:rsid w:val="00264C0A"/>
    <w:rsid w:val="00265003"/>
    <w:rsid w:val="002671FB"/>
    <w:rsid w:val="00271D80"/>
    <w:rsid w:val="00271DC6"/>
    <w:rsid w:val="00272026"/>
    <w:rsid w:val="0027263C"/>
    <w:rsid w:val="00273405"/>
    <w:rsid w:val="002739F7"/>
    <w:rsid w:val="00273B4B"/>
    <w:rsid w:val="00273CBF"/>
    <w:rsid w:val="00273D58"/>
    <w:rsid w:val="00274F20"/>
    <w:rsid w:val="00276F33"/>
    <w:rsid w:val="00280E28"/>
    <w:rsid w:val="00280F79"/>
    <w:rsid w:val="00282F27"/>
    <w:rsid w:val="00283843"/>
    <w:rsid w:val="00283D08"/>
    <w:rsid w:val="00283EF7"/>
    <w:rsid w:val="0028577C"/>
    <w:rsid w:val="00285D99"/>
    <w:rsid w:val="00286763"/>
    <w:rsid w:val="00286A6C"/>
    <w:rsid w:val="00286E87"/>
    <w:rsid w:val="0028787D"/>
    <w:rsid w:val="00287B45"/>
    <w:rsid w:val="00287F55"/>
    <w:rsid w:val="00287F99"/>
    <w:rsid w:val="002901E1"/>
    <w:rsid w:val="002907D0"/>
    <w:rsid w:val="00291178"/>
    <w:rsid w:val="002923AC"/>
    <w:rsid w:val="00293103"/>
    <w:rsid w:val="00293CBF"/>
    <w:rsid w:val="00293D9B"/>
    <w:rsid w:val="00294CBE"/>
    <w:rsid w:val="00295C9B"/>
    <w:rsid w:val="0029669F"/>
    <w:rsid w:val="00297516"/>
    <w:rsid w:val="002977C0"/>
    <w:rsid w:val="00297C96"/>
    <w:rsid w:val="002A1C51"/>
    <w:rsid w:val="002A26EB"/>
    <w:rsid w:val="002A2FBD"/>
    <w:rsid w:val="002A3C01"/>
    <w:rsid w:val="002A3F9B"/>
    <w:rsid w:val="002A4608"/>
    <w:rsid w:val="002A50CC"/>
    <w:rsid w:val="002A5780"/>
    <w:rsid w:val="002A6356"/>
    <w:rsid w:val="002A6FCF"/>
    <w:rsid w:val="002A767C"/>
    <w:rsid w:val="002B087B"/>
    <w:rsid w:val="002B0CB4"/>
    <w:rsid w:val="002B1185"/>
    <w:rsid w:val="002B1979"/>
    <w:rsid w:val="002B1E35"/>
    <w:rsid w:val="002B20D6"/>
    <w:rsid w:val="002B2A7E"/>
    <w:rsid w:val="002B358A"/>
    <w:rsid w:val="002B4437"/>
    <w:rsid w:val="002B66E6"/>
    <w:rsid w:val="002B7CEA"/>
    <w:rsid w:val="002C045D"/>
    <w:rsid w:val="002C0605"/>
    <w:rsid w:val="002C0A23"/>
    <w:rsid w:val="002C0D74"/>
    <w:rsid w:val="002C0EB7"/>
    <w:rsid w:val="002C22AC"/>
    <w:rsid w:val="002C3815"/>
    <w:rsid w:val="002C432E"/>
    <w:rsid w:val="002C5DC8"/>
    <w:rsid w:val="002C6860"/>
    <w:rsid w:val="002C6901"/>
    <w:rsid w:val="002C7194"/>
    <w:rsid w:val="002C7BF2"/>
    <w:rsid w:val="002D03C6"/>
    <w:rsid w:val="002D0DB2"/>
    <w:rsid w:val="002D14D1"/>
    <w:rsid w:val="002D21E0"/>
    <w:rsid w:val="002D25B1"/>
    <w:rsid w:val="002D2792"/>
    <w:rsid w:val="002D3439"/>
    <w:rsid w:val="002D38B0"/>
    <w:rsid w:val="002D41C9"/>
    <w:rsid w:val="002D462E"/>
    <w:rsid w:val="002D4C8D"/>
    <w:rsid w:val="002D7C9B"/>
    <w:rsid w:val="002D7CC9"/>
    <w:rsid w:val="002E13C5"/>
    <w:rsid w:val="002E384C"/>
    <w:rsid w:val="002E3A15"/>
    <w:rsid w:val="002E3B48"/>
    <w:rsid w:val="002E4C92"/>
    <w:rsid w:val="002E5119"/>
    <w:rsid w:val="002E5569"/>
    <w:rsid w:val="002E5E8C"/>
    <w:rsid w:val="002E6694"/>
    <w:rsid w:val="002E6AEE"/>
    <w:rsid w:val="002E72F6"/>
    <w:rsid w:val="002E783E"/>
    <w:rsid w:val="002F0489"/>
    <w:rsid w:val="002F04AA"/>
    <w:rsid w:val="002F0877"/>
    <w:rsid w:val="002F0CCD"/>
    <w:rsid w:val="002F1592"/>
    <w:rsid w:val="002F1CB1"/>
    <w:rsid w:val="002F3637"/>
    <w:rsid w:val="002F3AC1"/>
    <w:rsid w:val="002F4245"/>
    <w:rsid w:val="002F49C5"/>
    <w:rsid w:val="002F53F3"/>
    <w:rsid w:val="002F677A"/>
    <w:rsid w:val="002F681E"/>
    <w:rsid w:val="002F692C"/>
    <w:rsid w:val="002F749B"/>
    <w:rsid w:val="002F7F68"/>
    <w:rsid w:val="00300A11"/>
    <w:rsid w:val="00300C2B"/>
    <w:rsid w:val="00301187"/>
    <w:rsid w:val="0030156D"/>
    <w:rsid w:val="0030181C"/>
    <w:rsid w:val="00301D0D"/>
    <w:rsid w:val="0030300D"/>
    <w:rsid w:val="00303131"/>
    <w:rsid w:val="003033D6"/>
    <w:rsid w:val="00303878"/>
    <w:rsid w:val="0030414B"/>
    <w:rsid w:val="00304F53"/>
    <w:rsid w:val="0030523A"/>
    <w:rsid w:val="003058B4"/>
    <w:rsid w:val="00305916"/>
    <w:rsid w:val="00306C9D"/>
    <w:rsid w:val="003078A0"/>
    <w:rsid w:val="00307A7F"/>
    <w:rsid w:val="00307E42"/>
    <w:rsid w:val="00311C8D"/>
    <w:rsid w:val="0031316A"/>
    <w:rsid w:val="0031470F"/>
    <w:rsid w:val="00315AFE"/>
    <w:rsid w:val="003160D8"/>
    <w:rsid w:val="003176CB"/>
    <w:rsid w:val="00317716"/>
    <w:rsid w:val="00317E15"/>
    <w:rsid w:val="003207C0"/>
    <w:rsid w:val="00321798"/>
    <w:rsid w:val="00321F20"/>
    <w:rsid w:val="0032268C"/>
    <w:rsid w:val="00322CFF"/>
    <w:rsid w:val="0032401F"/>
    <w:rsid w:val="003241AD"/>
    <w:rsid w:val="003243D0"/>
    <w:rsid w:val="00324860"/>
    <w:rsid w:val="00324BDE"/>
    <w:rsid w:val="003251AE"/>
    <w:rsid w:val="00325763"/>
    <w:rsid w:val="00326093"/>
    <w:rsid w:val="00326930"/>
    <w:rsid w:val="00326DAB"/>
    <w:rsid w:val="00330397"/>
    <w:rsid w:val="00331088"/>
    <w:rsid w:val="00331ADC"/>
    <w:rsid w:val="00331EA3"/>
    <w:rsid w:val="00333A05"/>
    <w:rsid w:val="00333DAB"/>
    <w:rsid w:val="003364A9"/>
    <w:rsid w:val="00337B40"/>
    <w:rsid w:val="00341027"/>
    <w:rsid w:val="003426E6"/>
    <w:rsid w:val="00343366"/>
    <w:rsid w:val="0034386F"/>
    <w:rsid w:val="00344754"/>
    <w:rsid w:val="00345B75"/>
    <w:rsid w:val="0034641C"/>
    <w:rsid w:val="003468B6"/>
    <w:rsid w:val="003475FC"/>
    <w:rsid w:val="003478E0"/>
    <w:rsid w:val="00347A84"/>
    <w:rsid w:val="00350803"/>
    <w:rsid w:val="00350877"/>
    <w:rsid w:val="0035147A"/>
    <w:rsid w:val="00351670"/>
    <w:rsid w:val="003518F8"/>
    <w:rsid w:val="00352436"/>
    <w:rsid w:val="00353AB0"/>
    <w:rsid w:val="00354364"/>
    <w:rsid w:val="00354407"/>
    <w:rsid w:val="00355D19"/>
    <w:rsid w:val="003575E2"/>
    <w:rsid w:val="0035796F"/>
    <w:rsid w:val="00357DF5"/>
    <w:rsid w:val="003608E1"/>
    <w:rsid w:val="00360969"/>
    <w:rsid w:val="00360A10"/>
    <w:rsid w:val="00360BF9"/>
    <w:rsid w:val="00360F97"/>
    <w:rsid w:val="00361A4C"/>
    <w:rsid w:val="00363132"/>
    <w:rsid w:val="0036364D"/>
    <w:rsid w:val="003638F4"/>
    <w:rsid w:val="00363A7A"/>
    <w:rsid w:val="003640E0"/>
    <w:rsid w:val="00364FB6"/>
    <w:rsid w:val="003664C2"/>
    <w:rsid w:val="00367878"/>
    <w:rsid w:val="003702AF"/>
    <w:rsid w:val="0037117E"/>
    <w:rsid w:val="00371E87"/>
    <w:rsid w:val="00372195"/>
    <w:rsid w:val="003721EA"/>
    <w:rsid w:val="003725A4"/>
    <w:rsid w:val="003727FF"/>
    <w:rsid w:val="00373EA6"/>
    <w:rsid w:val="003745ED"/>
    <w:rsid w:val="003747F9"/>
    <w:rsid w:val="00374A8C"/>
    <w:rsid w:val="003764F4"/>
    <w:rsid w:val="003778F3"/>
    <w:rsid w:val="00381376"/>
    <w:rsid w:val="0038148A"/>
    <w:rsid w:val="00381B81"/>
    <w:rsid w:val="003827E9"/>
    <w:rsid w:val="00383EB8"/>
    <w:rsid w:val="00384499"/>
    <w:rsid w:val="0038552C"/>
    <w:rsid w:val="00385EDE"/>
    <w:rsid w:val="003873A1"/>
    <w:rsid w:val="003876F0"/>
    <w:rsid w:val="00387A9B"/>
    <w:rsid w:val="00390996"/>
    <w:rsid w:val="00391453"/>
    <w:rsid w:val="00391754"/>
    <w:rsid w:val="00391B9D"/>
    <w:rsid w:val="003922B7"/>
    <w:rsid w:val="003925D9"/>
    <w:rsid w:val="00392B82"/>
    <w:rsid w:val="003930E6"/>
    <w:rsid w:val="00393217"/>
    <w:rsid w:val="003946AC"/>
    <w:rsid w:val="00394A4A"/>
    <w:rsid w:val="003954C4"/>
    <w:rsid w:val="00395FB0"/>
    <w:rsid w:val="003970ED"/>
    <w:rsid w:val="003A0705"/>
    <w:rsid w:val="003A0BEF"/>
    <w:rsid w:val="003A0DAC"/>
    <w:rsid w:val="003A14A5"/>
    <w:rsid w:val="003A182D"/>
    <w:rsid w:val="003A1C7B"/>
    <w:rsid w:val="003A2030"/>
    <w:rsid w:val="003A2556"/>
    <w:rsid w:val="003A2CB4"/>
    <w:rsid w:val="003A4B4B"/>
    <w:rsid w:val="003A4C64"/>
    <w:rsid w:val="003A5C6D"/>
    <w:rsid w:val="003A5FEE"/>
    <w:rsid w:val="003A696A"/>
    <w:rsid w:val="003A779E"/>
    <w:rsid w:val="003B0343"/>
    <w:rsid w:val="003B106E"/>
    <w:rsid w:val="003B108D"/>
    <w:rsid w:val="003B121F"/>
    <w:rsid w:val="003B2110"/>
    <w:rsid w:val="003B2DE1"/>
    <w:rsid w:val="003B3B27"/>
    <w:rsid w:val="003B4919"/>
    <w:rsid w:val="003B49F5"/>
    <w:rsid w:val="003B4F7E"/>
    <w:rsid w:val="003B5064"/>
    <w:rsid w:val="003B560A"/>
    <w:rsid w:val="003B7C3D"/>
    <w:rsid w:val="003C0050"/>
    <w:rsid w:val="003C0A4B"/>
    <w:rsid w:val="003C13DB"/>
    <w:rsid w:val="003C1CFF"/>
    <w:rsid w:val="003C221C"/>
    <w:rsid w:val="003C24FA"/>
    <w:rsid w:val="003C3056"/>
    <w:rsid w:val="003C31ED"/>
    <w:rsid w:val="003C3942"/>
    <w:rsid w:val="003C4801"/>
    <w:rsid w:val="003C5ED2"/>
    <w:rsid w:val="003C6045"/>
    <w:rsid w:val="003C60D1"/>
    <w:rsid w:val="003D0C0F"/>
    <w:rsid w:val="003D172F"/>
    <w:rsid w:val="003D2C08"/>
    <w:rsid w:val="003D2C6E"/>
    <w:rsid w:val="003D3A66"/>
    <w:rsid w:val="003D4147"/>
    <w:rsid w:val="003D4199"/>
    <w:rsid w:val="003D4259"/>
    <w:rsid w:val="003D4A90"/>
    <w:rsid w:val="003D4F94"/>
    <w:rsid w:val="003D5E07"/>
    <w:rsid w:val="003D6178"/>
    <w:rsid w:val="003D6CB2"/>
    <w:rsid w:val="003D72DB"/>
    <w:rsid w:val="003D7729"/>
    <w:rsid w:val="003E0063"/>
    <w:rsid w:val="003E1CFB"/>
    <w:rsid w:val="003E2540"/>
    <w:rsid w:val="003E28B7"/>
    <w:rsid w:val="003E2D2D"/>
    <w:rsid w:val="003E3C85"/>
    <w:rsid w:val="003E4471"/>
    <w:rsid w:val="003E4E5A"/>
    <w:rsid w:val="003E643C"/>
    <w:rsid w:val="003F090F"/>
    <w:rsid w:val="003F193E"/>
    <w:rsid w:val="003F2CC5"/>
    <w:rsid w:val="003F2EE6"/>
    <w:rsid w:val="003F4025"/>
    <w:rsid w:val="003F5322"/>
    <w:rsid w:val="003F540B"/>
    <w:rsid w:val="003F67DA"/>
    <w:rsid w:val="003F6896"/>
    <w:rsid w:val="003F690B"/>
    <w:rsid w:val="003F6978"/>
    <w:rsid w:val="003F6EA0"/>
    <w:rsid w:val="003F7A18"/>
    <w:rsid w:val="004005EA"/>
    <w:rsid w:val="00400AC4"/>
    <w:rsid w:val="004019FD"/>
    <w:rsid w:val="00404355"/>
    <w:rsid w:val="00404824"/>
    <w:rsid w:val="004056D2"/>
    <w:rsid w:val="004072D9"/>
    <w:rsid w:val="0040789B"/>
    <w:rsid w:val="00410302"/>
    <w:rsid w:val="00410769"/>
    <w:rsid w:val="00410B7A"/>
    <w:rsid w:val="004110EA"/>
    <w:rsid w:val="00411110"/>
    <w:rsid w:val="00411380"/>
    <w:rsid w:val="004113B5"/>
    <w:rsid w:val="00411B40"/>
    <w:rsid w:val="004131FC"/>
    <w:rsid w:val="00413CB4"/>
    <w:rsid w:val="004140B5"/>
    <w:rsid w:val="004147FE"/>
    <w:rsid w:val="00414B6B"/>
    <w:rsid w:val="0041643A"/>
    <w:rsid w:val="00416B62"/>
    <w:rsid w:val="00417CF4"/>
    <w:rsid w:val="004230DF"/>
    <w:rsid w:val="004232C6"/>
    <w:rsid w:val="00423A68"/>
    <w:rsid w:val="004251FC"/>
    <w:rsid w:val="00426A69"/>
    <w:rsid w:val="00427B24"/>
    <w:rsid w:val="0043055B"/>
    <w:rsid w:val="0043087F"/>
    <w:rsid w:val="004320C5"/>
    <w:rsid w:val="0043215C"/>
    <w:rsid w:val="004331A7"/>
    <w:rsid w:val="004336D7"/>
    <w:rsid w:val="00433D7D"/>
    <w:rsid w:val="00433E27"/>
    <w:rsid w:val="00434012"/>
    <w:rsid w:val="00434FD2"/>
    <w:rsid w:val="00436B88"/>
    <w:rsid w:val="004371AB"/>
    <w:rsid w:val="0043767F"/>
    <w:rsid w:val="00437893"/>
    <w:rsid w:val="0044013D"/>
    <w:rsid w:val="004402DA"/>
    <w:rsid w:val="00440511"/>
    <w:rsid w:val="00440684"/>
    <w:rsid w:val="00440BFB"/>
    <w:rsid w:val="00441B8A"/>
    <w:rsid w:val="0044316E"/>
    <w:rsid w:val="004445CA"/>
    <w:rsid w:val="00444C5C"/>
    <w:rsid w:val="00445489"/>
    <w:rsid w:val="00445CA2"/>
    <w:rsid w:val="00446EDC"/>
    <w:rsid w:val="004473E0"/>
    <w:rsid w:val="00450020"/>
    <w:rsid w:val="004505EE"/>
    <w:rsid w:val="00450F98"/>
    <w:rsid w:val="00450FFB"/>
    <w:rsid w:val="004510EC"/>
    <w:rsid w:val="0045210A"/>
    <w:rsid w:val="00452836"/>
    <w:rsid w:val="00452A9B"/>
    <w:rsid w:val="0045392A"/>
    <w:rsid w:val="0045500A"/>
    <w:rsid w:val="00455B8C"/>
    <w:rsid w:val="00455ECE"/>
    <w:rsid w:val="004560D2"/>
    <w:rsid w:val="00456242"/>
    <w:rsid w:val="00460385"/>
    <w:rsid w:val="00460C03"/>
    <w:rsid w:val="00460CD2"/>
    <w:rsid w:val="004619FD"/>
    <w:rsid w:val="00462CD0"/>
    <w:rsid w:val="004635EF"/>
    <w:rsid w:val="00464CC0"/>
    <w:rsid w:val="0046567A"/>
    <w:rsid w:val="00466CC3"/>
    <w:rsid w:val="004670AE"/>
    <w:rsid w:val="00467904"/>
    <w:rsid w:val="00467CE5"/>
    <w:rsid w:val="00470481"/>
    <w:rsid w:val="00470687"/>
    <w:rsid w:val="00470CB7"/>
    <w:rsid w:val="00470DB5"/>
    <w:rsid w:val="0047297B"/>
    <w:rsid w:val="0047346A"/>
    <w:rsid w:val="00473677"/>
    <w:rsid w:val="00473CAF"/>
    <w:rsid w:val="004746FD"/>
    <w:rsid w:val="00474F48"/>
    <w:rsid w:val="00474F9A"/>
    <w:rsid w:val="00476572"/>
    <w:rsid w:val="0047713B"/>
    <w:rsid w:val="004773CC"/>
    <w:rsid w:val="004775A6"/>
    <w:rsid w:val="004777E2"/>
    <w:rsid w:val="004815A6"/>
    <w:rsid w:val="004815FF"/>
    <w:rsid w:val="004825CB"/>
    <w:rsid w:val="00482AA5"/>
    <w:rsid w:val="00482B19"/>
    <w:rsid w:val="00482B5B"/>
    <w:rsid w:val="004841AF"/>
    <w:rsid w:val="0048467E"/>
    <w:rsid w:val="0048544F"/>
    <w:rsid w:val="00485635"/>
    <w:rsid w:val="00485D58"/>
    <w:rsid w:val="00485D5D"/>
    <w:rsid w:val="00485E62"/>
    <w:rsid w:val="004864A7"/>
    <w:rsid w:val="004864B0"/>
    <w:rsid w:val="00486734"/>
    <w:rsid w:val="00487988"/>
    <w:rsid w:val="004900F3"/>
    <w:rsid w:val="00490DE9"/>
    <w:rsid w:val="0049196F"/>
    <w:rsid w:val="00492F4D"/>
    <w:rsid w:val="004934FE"/>
    <w:rsid w:val="004949E4"/>
    <w:rsid w:val="00494C35"/>
    <w:rsid w:val="00495B0A"/>
    <w:rsid w:val="00496619"/>
    <w:rsid w:val="004976D2"/>
    <w:rsid w:val="00497D50"/>
    <w:rsid w:val="00497FC2"/>
    <w:rsid w:val="004A0010"/>
    <w:rsid w:val="004A02E1"/>
    <w:rsid w:val="004A06E4"/>
    <w:rsid w:val="004A162F"/>
    <w:rsid w:val="004A1E39"/>
    <w:rsid w:val="004A225B"/>
    <w:rsid w:val="004A2E4F"/>
    <w:rsid w:val="004A30B5"/>
    <w:rsid w:val="004A340B"/>
    <w:rsid w:val="004A545E"/>
    <w:rsid w:val="004A599E"/>
    <w:rsid w:val="004A6B0E"/>
    <w:rsid w:val="004A71A9"/>
    <w:rsid w:val="004A7D34"/>
    <w:rsid w:val="004A7D67"/>
    <w:rsid w:val="004B0055"/>
    <w:rsid w:val="004B0AFD"/>
    <w:rsid w:val="004B1B93"/>
    <w:rsid w:val="004B362B"/>
    <w:rsid w:val="004B3F0A"/>
    <w:rsid w:val="004B40C1"/>
    <w:rsid w:val="004B47C8"/>
    <w:rsid w:val="004B4937"/>
    <w:rsid w:val="004B5CDC"/>
    <w:rsid w:val="004B6096"/>
    <w:rsid w:val="004B62BD"/>
    <w:rsid w:val="004B72A9"/>
    <w:rsid w:val="004B72DB"/>
    <w:rsid w:val="004B7348"/>
    <w:rsid w:val="004C050D"/>
    <w:rsid w:val="004C07B5"/>
    <w:rsid w:val="004C0B48"/>
    <w:rsid w:val="004C0EF7"/>
    <w:rsid w:val="004C15CB"/>
    <w:rsid w:val="004C1798"/>
    <w:rsid w:val="004C3A21"/>
    <w:rsid w:val="004C3B15"/>
    <w:rsid w:val="004C4525"/>
    <w:rsid w:val="004C4836"/>
    <w:rsid w:val="004C5089"/>
    <w:rsid w:val="004C515F"/>
    <w:rsid w:val="004C516B"/>
    <w:rsid w:val="004C5A19"/>
    <w:rsid w:val="004C5D85"/>
    <w:rsid w:val="004C60F0"/>
    <w:rsid w:val="004C72DA"/>
    <w:rsid w:val="004D1E17"/>
    <w:rsid w:val="004D20DA"/>
    <w:rsid w:val="004D28E8"/>
    <w:rsid w:val="004D29BF"/>
    <w:rsid w:val="004D2D04"/>
    <w:rsid w:val="004D2E1F"/>
    <w:rsid w:val="004D33A7"/>
    <w:rsid w:val="004D596C"/>
    <w:rsid w:val="004D6F1C"/>
    <w:rsid w:val="004D7C09"/>
    <w:rsid w:val="004D7EC6"/>
    <w:rsid w:val="004E07BC"/>
    <w:rsid w:val="004E151B"/>
    <w:rsid w:val="004E1F84"/>
    <w:rsid w:val="004E259D"/>
    <w:rsid w:val="004E25DB"/>
    <w:rsid w:val="004E280E"/>
    <w:rsid w:val="004E284F"/>
    <w:rsid w:val="004E28BE"/>
    <w:rsid w:val="004E423B"/>
    <w:rsid w:val="004E4D75"/>
    <w:rsid w:val="004E642D"/>
    <w:rsid w:val="004F06DA"/>
    <w:rsid w:val="004F07B3"/>
    <w:rsid w:val="004F0A3D"/>
    <w:rsid w:val="004F129E"/>
    <w:rsid w:val="004F31EA"/>
    <w:rsid w:val="004F4719"/>
    <w:rsid w:val="004F499E"/>
    <w:rsid w:val="004F525C"/>
    <w:rsid w:val="004F56FC"/>
    <w:rsid w:val="004F61D5"/>
    <w:rsid w:val="004F71D4"/>
    <w:rsid w:val="005001F0"/>
    <w:rsid w:val="005006A6"/>
    <w:rsid w:val="00502EB1"/>
    <w:rsid w:val="00504576"/>
    <w:rsid w:val="00507D68"/>
    <w:rsid w:val="00507DE7"/>
    <w:rsid w:val="00507E65"/>
    <w:rsid w:val="005105C2"/>
    <w:rsid w:val="0051171A"/>
    <w:rsid w:val="00511D8A"/>
    <w:rsid w:val="00513735"/>
    <w:rsid w:val="00513C2E"/>
    <w:rsid w:val="00514668"/>
    <w:rsid w:val="00514D7C"/>
    <w:rsid w:val="005169AA"/>
    <w:rsid w:val="00517005"/>
    <w:rsid w:val="0051702A"/>
    <w:rsid w:val="005173AC"/>
    <w:rsid w:val="0051782A"/>
    <w:rsid w:val="00517CA7"/>
    <w:rsid w:val="00520287"/>
    <w:rsid w:val="00521081"/>
    <w:rsid w:val="00521C07"/>
    <w:rsid w:val="0052225D"/>
    <w:rsid w:val="005224AD"/>
    <w:rsid w:val="0052302F"/>
    <w:rsid w:val="005242A9"/>
    <w:rsid w:val="00524525"/>
    <w:rsid w:val="00524987"/>
    <w:rsid w:val="00527495"/>
    <w:rsid w:val="005274A6"/>
    <w:rsid w:val="00530310"/>
    <w:rsid w:val="00531A2F"/>
    <w:rsid w:val="00531BE3"/>
    <w:rsid w:val="00532418"/>
    <w:rsid w:val="005344DD"/>
    <w:rsid w:val="00534FAE"/>
    <w:rsid w:val="005350A1"/>
    <w:rsid w:val="00536805"/>
    <w:rsid w:val="0053683C"/>
    <w:rsid w:val="0053697C"/>
    <w:rsid w:val="00536B87"/>
    <w:rsid w:val="00536C64"/>
    <w:rsid w:val="005375E8"/>
    <w:rsid w:val="00537E33"/>
    <w:rsid w:val="00537FB8"/>
    <w:rsid w:val="005406BF"/>
    <w:rsid w:val="005408EC"/>
    <w:rsid w:val="00540EF8"/>
    <w:rsid w:val="00543554"/>
    <w:rsid w:val="005440D0"/>
    <w:rsid w:val="00546BEB"/>
    <w:rsid w:val="0054727D"/>
    <w:rsid w:val="005472BE"/>
    <w:rsid w:val="005519A1"/>
    <w:rsid w:val="00552000"/>
    <w:rsid w:val="00552143"/>
    <w:rsid w:val="005524A7"/>
    <w:rsid w:val="005526CD"/>
    <w:rsid w:val="00553089"/>
    <w:rsid w:val="005530A3"/>
    <w:rsid w:val="00553620"/>
    <w:rsid w:val="00553935"/>
    <w:rsid w:val="00553D80"/>
    <w:rsid w:val="00554196"/>
    <w:rsid w:val="005545E1"/>
    <w:rsid w:val="00555B89"/>
    <w:rsid w:val="00557EE1"/>
    <w:rsid w:val="00561498"/>
    <w:rsid w:val="0056155F"/>
    <w:rsid w:val="00562489"/>
    <w:rsid w:val="00562630"/>
    <w:rsid w:val="005635C0"/>
    <w:rsid w:val="005647B7"/>
    <w:rsid w:val="0056481B"/>
    <w:rsid w:val="00564FD9"/>
    <w:rsid w:val="00565C69"/>
    <w:rsid w:val="00565CD3"/>
    <w:rsid w:val="00566447"/>
    <w:rsid w:val="0056772D"/>
    <w:rsid w:val="0057268F"/>
    <w:rsid w:val="00574813"/>
    <w:rsid w:val="005768EC"/>
    <w:rsid w:val="00576DA7"/>
    <w:rsid w:val="005772A3"/>
    <w:rsid w:val="005806B5"/>
    <w:rsid w:val="005818AE"/>
    <w:rsid w:val="00582975"/>
    <w:rsid w:val="005829C1"/>
    <w:rsid w:val="00583889"/>
    <w:rsid w:val="0058420E"/>
    <w:rsid w:val="005845DE"/>
    <w:rsid w:val="0058462A"/>
    <w:rsid w:val="00584729"/>
    <w:rsid w:val="00585799"/>
    <w:rsid w:val="00585BF0"/>
    <w:rsid w:val="00585E1C"/>
    <w:rsid w:val="005867F1"/>
    <w:rsid w:val="00586956"/>
    <w:rsid w:val="00586BC4"/>
    <w:rsid w:val="005877D3"/>
    <w:rsid w:val="00587F32"/>
    <w:rsid w:val="00590AD0"/>
    <w:rsid w:val="0059114D"/>
    <w:rsid w:val="0059142C"/>
    <w:rsid w:val="00591C2D"/>
    <w:rsid w:val="005930E9"/>
    <w:rsid w:val="00593163"/>
    <w:rsid w:val="0059338D"/>
    <w:rsid w:val="005941C0"/>
    <w:rsid w:val="0059472C"/>
    <w:rsid w:val="00595C3E"/>
    <w:rsid w:val="00596A9F"/>
    <w:rsid w:val="00596EE6"/>
    <w:rsid w:val="00596F82"/>
    <w:rsid w:val="0059799E"/>
    <w:rsid w:val="00597AC4"/>
    <w:rsid w:val="005A0981"/>
    <w:rsid w:val="005A0BC1"/>
    <w:rsid w:val="005A0D92"/>
    <w:rsid w:val="005A249D"/>
    <w:rsid w:val="005A24C9"/>
    <w:rsid w:val="005A2DFD"/>
    <w:rsid w:val="005A32D0"/>
    <w:rsid w:val="005A32DA"/>
    <w:rsid w:val="005A41A0"/>
    <w:rsid w:val="005A4649"/>
    <w:rsid w:val="005A4A04"/>
    <w:rsid w:val="005A4FD7"/>
    <w:rsid w:val="005A5007"/>
    <w:rsid w:val="005A5E81"/>
    <w:rsid w:val="005A61C7"/>
    <w:rsid w:val="005A64D6"/>
    <w:rsid w:val="005A7BCF"/>
    <w:rsid w:val="005A7DFE"/>
    <w:rsid w:val="005B05E2"/>
    <w:rsid w:val="005B0EDF"/>
    <w:rsid w:val="005B0F10"/>
    <w:rsid w:val="005B0FF5"/>
    <w:rsid w:val="005B1DEE"/>
    <w:rsid w:val="005B22E0"/>
    <w:rsid w:val="005B2792"/>
    <w:rsid w:val="005B36E2"/>
    <w:rsid w:val="005B37E2"/>
    <w:rsid w:val="005B3A5B"/>
    <w:rsid w:val="005B3DBB"/>
    <w:rsid w:val="005B3FF9"/>
    <w:rsid w:val="005B453F"/>
    <w:rsid w:val="005B472C"/>
    <w:rsid w:val="005B5B5B"/>
    <w:rsid w:val="005B5DC7"/>
    <w:rsid w:val="005B5FCE"/>
    <w:rsid w:val="005B6C4B"/>
    <w:rsid w:val="005B6DB9"/>
    <w:rsid w:val="005B6FA9"/>
    <w:rsid w:val="005B78A4"/>
    <w:rsid w:val="005C2018"/>
    <w:rsid w:val="005C2240"/>
    <w:rsid w:val="005C235A"/>
    <w:rsid w:val="005C2A78"/>
    <w:rsid w:val="005C3753"/>
    <w:rsid w:val="005C4F95"/>
    <w:rsid w:val="005C50B2"/>
    <w:rsid w:val="005C5263"/>
    <w:rsid w:val="005C553C"/>
    <w:rsid w:val="005C5CD0"/>
    <w:rsid w:val="005C67E5"/>
    <w:rsid w:val="005C7DC7"/>
    <w:rsid w:val="005D044F"/>
    <w:rsid w:val="005D09C8"/>
    <w:rsid w:val="005D3296"/>
    <w:rsid w:val="005D3CF7"/>
    <w:rsid w:val="005D3FFE"/>
    <w:rsid w:val="005D4DEE"/>
    <w:rsid w:val="005D4F2F"/>
    <w:rsid w:val="005D4F8A"/>
    <w:rsid w:val="005D5229"/>
    <w:rsid w:val="005D5439"/>
    <w:rsid w:val="005D5B15"/>
    <w:rsid w:val="005D5E3B"/>
    <w:rsid w:val="005D68F7"/>
    <w:rsid w:val="005D6AA4"/>
    <w:rsid w:val="005D72AF"/>
    <w:rsid w:val="005D7683"/>
    <w:rsid w:val="005D79E3"/>
    <w:rsid w:val="005D7BC5"/>
    <w:rsid w:val="005D7D1A"/>
    <w:rsid w:val="005E0457"/>
    <w:rsid w:val="005E0718"/>
    <w:rsid w:val="005E1138"/>
    <w:rsid w:val="005E36AE"/>
    <w:rsid w:val="005E6A5A"/>
    <w:rsid w:val="005E74DB"/>
    <w:rsid w:val="005E7635"/>
    <w:rsid w:val="005E7A84"/>
    <w:rsid w:val="005F01C7"/>
    <w:rsid w:val="005F065B"/>
    <w:rsid w:val="005F16CC"/>
    <w:rsid w:val="005F1743"/>
    <w:rsid w:val="005F22B1"/>
    <w:rsid w:val="005F2408"/>
    <w:rsid w:val="005F246D"/>
    <w:rsid w:val="005F2D2C"/>
    <w:rsid w:val="005F37C4"/>
    <w:rsid w:val="005F4583"/>
    <w:rsid w:val="005F7032"/>
    <w:rsid w:val="005F720E"/>
    <w:rsid w:val="005F7D2C"/>
    <w:rsid w:val="005F7F75"/>
    <w:rsid w:val="00600B0E"/>
    <w:rsid w:val="00600BC9"/>
    <w:rsid w:val="00600F43"/>
    <w:rsid w:val="0060114A"/>
    <w:rsid w:val="0060205D"/>
    <w:rsid w:val="00602A49"/>
    <w:rsid w:val="00602B53"/>
    <w:rsid w:val="00602C21"/>
    <w:rsid w:val="00604BF2"/>
    <w:rsid w:val="006061A2"/>
    <w:rsid w:val="0060645B"/>
    <w:rsid w:val="006068BE"/>
    <w:rsid w:val="006071D8"/>
    <w:rsid w:val="00607676"/>
    <w:rsid w:val="00607690"/>
    <w:rsid w:val="00607EB7"/>
    <w:rsid w:val="00610017"/>
    <w:rsid w:val="00611854"/>
    <w:rsid w:val="00611F32"/>
    <w:rsid w:val="006152B2"/>
    <w:rsid w:val="0061590D"/>
    <w:rsid w:val="00616206"/>
    <w:rsid w:val="006162EC"/>
    <w:rsid w:val="00616419"/>
    <w:rsid w:val="00616C57"/>
    <w:rsid w:val="0061781E"/>
    <w:rsid w:val="006179BC"/>
    <w:rsid w:val="00620F6A"/>
    <w:rsid w:val="006214BD"/>
    <w:rsid w:val="00621608"/>
    <w:rsid w:val="00621DDA"/>
    <w:rsid w:val="006221E2"/>
    <w:rsid w:val="00622283"/>
    <w:rsid w:val="006250B7"/>
    <w:rsid w:val="006253AB"/>
    <w:rsid w:val="00625B02"/>
    <w:rsid w:val="00626234"/>
    <w:rsid w:val="006262A3"/>
    <w:rsid w:val="00626FEC"/>
    <w:rsid w:val="0062745C"/>
    <w:rsid w:val="00627A5F"/>
    <w:rsid w:val="006300AA"/>
    <w:rsid w:val="00630579"/>
    <w:rsid w:val="006306BB"/>
    <w:rsid w:val="00630ACF"/>
    <w:rsid w:val="006315FE"/>
    <w:rsid w:val="00632DFE"/>
    <w:rsid w:val="00634362"/>
    <w:rsid w:val="0063511F"/>
    <w:rsid w:val="0063601A"/>
    <w:rsid w:val="00636284"/>
    <w:rsid w:val="00636586"/>
    <w:rsid w:val="0063782D"/>
    <w:rsid w:val="0064022F"/>
    <w:rsid w:val="00640977"/>
    <w:rsid w:val="0064114C"/>
    <w:rsid w:val="00641165"/>
    <w:rsid w:val="006411B4"/>
    <w:rsid w:val="00641AEB"/>
    <w:rsid w:val="00641CB2"/>
    <w:rsid w:val="00641D7D"/>
    <w:rsid w:val="00642848"/>
    <w:rsid w:val="00642FD9"/>
    <w:rsid w:val="00643CB3"/>
    <w:rsid w:val="006446FD"/>
    <w:rsid w:val="0064783F"/>
    <w:rsid w:val="00647E3D"/>
    <w:rsid w:val="006502CB"/>
    <w:rsid w:val="00650352"/>
    <w:rsid w:val="006503C2"/>
    <w:rsid w:val="006511DE"/>
    <w:rsid w:val="00651C79"/>
    <w:rsid w:val="00652671"/>
    <w:rsid w:val="0065290B"/>
    <w:rsid w:val="00652C7B"/>
    <w:rsid w:val="0065322F"/>
    <w:rsid w:val="00653A0F"/>
    <w:rsid w:val="00654EB7"/>
    <w:rsid w:val="00656972"/>
    <w:rsid w:val="00656A30"/>
    <w:rsid w:val="00660098"/>
    <w:rsid w:val="00660159"/>
    <w:rsid w:val="00660BA7"/>
    <w:rsid w:val="00660BB1"/>
    <w:rsid w:val="00662D7C"/>
    <w:rsid w:val="00664582"/>
    <w:rsid w:val="00664D2A"/>
    <w:rsid w:val="00664FB9"/>
    <w:rsid w:val="00665610"/>
    <w:rsid w:val="006656D7"/>
    <w:rsid w:val="00665898"/>
    <w:rsid w:val="006659DF"/>
    <w:rsid w:val="006704EC"/>
    <w:rsid w:val="00670E1E"/>
    <w:rsid w:val="006718BB"/>
    <w:rsid w:val="00673C80"/>
    <w:rsid w:val="006750FA"/>
    <w:rsid w:val="0067700D"/>
    <w:rsid w:val="0067787F"/>
    <w:rsid w:val="00677A80"/>
    <w:rsid w:val="00677FBA"/>
    <w:rsid w:val="00682698"/>
    <w:rsid w:val="00682760"/>
    <w:rsid w:val="00682791"/>
    <w:rsid w:val="00683535"/>
    <w:rsid w:val="006840F9"/>
    <w:rsid w:val="00685613"/>
    <w:rsid w:val="00687029"/>
    <w:rsid w:val="0068749C"/>
    <w:rsid w:val="00690A8B"/>
    <w:rsid w:val="00690BC4"/>
    <w:rsid w:val="0069109A"/>
    <w:rsid w:val="00691733"/>
    <w:rsid w:val="006922A3"/>
    <w:rsid w:val="00692990"/>
    <w:rsid w:val="006947AE"/>
    <w:rsid w:val="0069515E"/>
    <w:rsid w:val="00695362"/>
    <w:rsid w:val="00695430"/>
    <w:rsid w:val="00695BDD"/>
    <w:rsid w:val="00695CC3"/>
    <w:rsid w:val="00696019"/>
    <w:rsid w:val="00696B89"/>
    <w:rsid w:val="00697141"/>
    <w:rsid w:val="006A0089"/>
    <w:rsid w:val="006A06A0"/>
    <w:rsid w:val="006A1095"/>
    <w:rsid w:val="006A1E55"/>
    <w:rsid w:val="006A2F2E"/>
    <w:rsid w:val="006A3228"/>
    <w:rsid w:val="006A3CD8"/>
    <w:rsid w:val="006A423A"/>
    <w:rsid w:val="006A570A"/>
    <w:rsid w:val="006A7796"/>
    <w:rsid w:val="006B0092"/>
    <w:rsid w:val="006B1EAC"/>
    <w:rsid w:val="006B2DB1"/>
    <w:rsid w:val="006B2F66"/>
    <w:rsid w:val="006B32EB"/>
    <w:rsid w:val="006B33C6"/>
    <w:rsid w:val="006B4080"/>
    <w:rsid w:val="006B5399"/>
    <w:rsid w:val="006B595C"/>
    <w:rsid w:val="006B67CA"/>
    <w:rsid w:val="006C0027"/>
    <w:rsid w:val="006C01CE"/>
    <w:rsid w:val="006C1031"/>
    <w:rsid w:val="006C1429"/>
    <w:rsid w:val="006C2820"/>
    <w:rsid w:val="006C2A5A"/>
    <w:rsid w:val="006C3413"/>
    <w:rsid w:val="006C343F"/>
    <w:rsid w:val="006C34C0"/>
    <w:rsid w:val="006C3E92"/>
    <w:rsid w:val="006C4493"/>
    <w:rsid w:val="006C46F3"/>
    <w:rsid w:val="006C481D"/>
    <w:rsid w:val="006C4AAA"/>
    <w:rsid w:val="006C6027"/>
    <w:rsid w:val="006C7152"/>
    <w:rsid w:val="006D04A5"/>
    <w:rsid w:val="006D0FD7"/>
    <w:rsid w:val="006D1407"/>
    <w:rsid w:val="006D219E"/>
    <w:rsid w:val="006D27A7"/>
    <w:rsid w:val="006D3A49"/>
    <w:rsid w:val="006D3EA9"/>
    <w:rsid w:val="006D4AFA"/>
    <w:rsid w:val="006D7ADC"/>
    <w:rsid w:val="006D7F2D"/>
    <w:rsid w:val="006E07E5"/>
    <w:rsid w:val="006E1F30"/>
    <w:rsid w:val="006E27E6"/>
    <w:rsid w:val="006E3071"/>
    <w:rsid w:val="006E3480"/>
    <w:rsid w:val="006E3AAE"/>
    <w:rsid w:val="006E3C67"/>
    <w:rsid w:val="006E4E33"/>
    <w:rsid w:val="006E52B9"/>
    <w:rsid w:val="006E5922"/>
    <w:rsid w:val="006E61C3"/>
    <w:rsid w:val="006E6F0A"/>
    <w:rsid w:val="006E7A1A"/>
    <w:rsid w:val="006E7C8E"/>
    <w:rsid w:val="006F02F8"/>
    <w:rsid w:val="006F069B"/>
    <w:rsid w:val="006F0DCB"/>
    <w:rsid w:val="006F1E85"/>
    <w:rsid w:val="006F2BFF"/>
    <w:rsid w:val="006F4121"/>
    <w:rsid w:val="006F46D6"/>
    <w:rsid w:val="006F5160"/>
    <w:rsid w:val="006F5164"/>
    <w:rsid w:val="006F57EA"/>
    <w:rsid w:val="006F7460"/>
    <w:rsid w:val="0070098A"/>
    <w:rsid w:val="00700D3C"/>
    <w:rsid w:val="0070331A"/>
    <w:rsid w:val="00703408"/>
    <w:rsid w:val="007034EB"/>
    <w:rsid w:val="00703FD6"/>
    <w:rsid w:val="007049AE"/>
    <w:rsid w:val="0070520F"/>
    <w:rsid w:val="00705827"/>
    <w:rsid w:val="00705B4D"/>
    <w:rsid w:val="007060DF"/>
    <w:rsid w:val="0070653D"/>
    <w:rsid w:val="00706BD1"/>
    <w:rsid w:val="00706F0C"/>
    <w:rsid w:val="007078E6"/>
    <w:rsid w:val="007105A1"/>
    <w:rsid w:val="00710C9B"/>
    <w:rsid w:val="00710D38"/>
    <w:rsid w:val="0071272E"/>
    <w:rsid w:val="00713545"/>
    <w:rsid w:val="007138E1"/>
    <w:rsid w:val="00713EC6"/>
    <w:rsid w:val="00715BBA"/>
    <w:rsid w:val="00717FFB"/>
    <w:rsid w:val="00720719"/>
    <w:rsid w:val="00720CA3"/>
    <w:rsid w:val="00720CBD"/>
    <w:rsid w:val="007213CE"/>
    <w:rsid w:val="00721DEA"/>
    <w:rsid w:val="00721E8C"/>
    <w:rsid w:val="0072231D"/>
    <w:rsid w:val="0072235A"/>
    <w:rsid w:val="00722B58"/>
    <w:rsid w:val="00723254"/>
    <w:rsid w:val="00724A90"/>
    <w:rsid w:val="00724B88"/>
    <w:rsid w:val="00724C9C"/>
    <w:rsid w:val="00724DDE"/>
    <w:rsid w:val="00725807"/>
    <w:rsid w:val="0072597F"/>
    <w:rsid w:val="007267DE"/>
    <w:rsid w:val="007267E9"/>
    <w:rsid w:val="00727256"/>
    <w:rsid w:val="0072774A"/>
    <w:rsid w:val="0072787F"/>
    <w:rsid w:val="0072795B"/>
    <w:rsid w:val="00730191"/>
    <w:rsid w:val="007308F7"/>
    <w:rsid w:val="00731AAC"/>
    <w:rsid w:val="007333DF"/>
    <w:rsid w:val="00734240"/>
    <w:rsid w:val="007345CE"/>
    <w:rsid w:val="00737B46"/>
    <w:rsid w:val="00740ECB"/>
    <w:rsid w:val="007420FB"/>
    <w:rsid w:val="007436AC"/>
    <w:rsid w:val="00743766"/>
    <w:rsid w:val="00743902"/>
    <w:rsid w:val="00743A44"/>
    <w:rsid w:val="00744103"/>
    <w:rsid w:val="00744381"/>
    <w:rsid w:val="00744D03"/>
    <w:rsid w:val="00745C07"/>
    <w:rsid w:val="0074635C"/>
    <w:rsid w:val="007475BD"/>
    <w:rsid w:val="00747C48"/>
    <w:rsid w:val="007501F0"/>
    <w:rsid w:val="007516A2"/>
    <w:rsid w:val="00751743"/>
    <w:rsid w:val="00751832"/>
    <w:rsid w:val="00751CB4"/>
    <w:rsid w:val="00751F84"/>
    <w:rsid w:val="00752F69"/>
    <w:rsid w:val="00753260"/>
    <w:rsid w:val="0075430D"/>
    <w:rsid w:val="00756443"/>
    <w:rsid w:val="0075701B"/>
    <w:rsid w:val="00757A37"/>
    <w:rsid w:val="00757F78"/>
    <w:rsid w:val="0076107D"/>
    <w:rsid w:val="00761255"/>
    <w:rsid w:val="0076125F"/>
    <w:rsid w:val="00761ECB"/>
    <w:rsid w:val="00762DF9"/>
    <w:rsid w:val="00764024"/>
    <w:rsid w:val="00764197"/>
    <w:rsid w:val="00765599"/>
    <w:rsid w:val="00765AB2"/>
    <w:rsid w:val="007673BB"/>
    <w:rsid w:val="007679CA"/>
    <w:rsid w:val="00767E52"/>
    <w:rsid w:val="00770577"/>
    <w:rsid w:val="0077079C"/>
    <w:rsid w:val="00772493"/>
    <w:rsid w:val="00773043"/>
    <w:rsid w:val="0077408F"/>
    <w:rsid w:val="0077410A"/>
    <w:rsid w:val="007747F4"/>
    <w:rsid w:val="007766CA"/>
    <w:rsid w:val="00780366"/>
    <w:rsid w:val="0078062E"/>
    <w:rsid w:val="00780B79"/>
    <w:rsid w:val="007818FC"/>
    <w:rsid w:val="00781B7C"/>
    <w:rsid w:val="00781ECF"/>
    <w:rsid w:val="00783DDB"/>
    <w:rsid w:val="00784E3C"/>
    <w:rsid w:val="00784F9B"/>
    <w:rsid w:val="00785D6B"/>
    <w:rsid w:val="00786723"/>
    <w:rsid w:val="00786A5D"/>
    <w:rsid w:val="00786E63"/>
    <w:rsid w:val="00787A4D"/>
    <w:rsid w:val="00787F1F"/>
    <w:rsid w:val="0079028D"/>
    <w:rsid w:val="0079036B"/>
    <w:rsid w:val="00790B1B"/>
    <w:rsid w:val="00791C44"/>
    <w:rsid w:val="00791E3F"/>
    <w:rsid w:val="007930E8"/>
    <w:rsid w:val="00794416"/>
    <w:rsid w:val="00794894"/>
    <w:rsid w:val="007952DD"/>
    <w:rsid w:val="00795915"/>
    <w:rsid w:val="00797A28"/>
    <w:rsid w:val="00797F82"/>
    <w:rsid w:val="007A0229"/>
    <w:rsid w:val="007A034C"/>
    <w:rsid w:val="007A16D2"/>
    <w:rsid w:val="007A35FD"/>
    <w:rsid w:val="007A36D0"/>
    <w:rsid w:val="007A4D7E"/>
    <w:rsid w:val="007A5F5B"/>
    <w:rsid w:val="007A6AA8"/>
    <w:rsid w:val="007A6D6E"/>
    <w:rsid w:val="007A72EC"/>
    <w:rsid w:val="007B08BA"/>
    <w:rsid w:val="007B0C4D"/>
    <w:rsid w:val="007B1C77"/>
    <w:rsid w:val="007B21ED"/>
    <w:rsid w:val="007B2A6E"/>
    <w:rsid w:val="007B3E37"/>
    <w:rsid w:val="007B3E85"/>
    <w:rsid w:val="007B5849"/>
    <w:rsid w:val="007B5949"/>
    <w:rsid w:val="007B5983"/>
    <w:rsid w:val="007B699A"/>
    <w:rsid w:val="007B70F0"/>
    <w:rsid w:val="007B7D11"/>
    <w:rsid w:val="007C150E"/>
    <w:rsid w:val="007C2408"/>
    <w:rsid w:val="007C3368"/>
    <w:rsid w:val="007C36C2"/>
    <w:rsid w:val="007C3DE7"/>
    <w:rsid w:val="007C4861"/>
    <w:rsid w:val="007C5376"/>
    <w:rsid w:val="007C537A"/>
    <w:rsid w:val="007C555B"/>
    <w:rsid w:val="007C6750"/>
    <w:rsid w:val="007C765B"/>
    <w:rsid w:val="007C797F"/>
    <w:rsid w:val="007C7EC9"/>
    <w:rsid w:val="007D1B85"/>
    <w:rsid w:val="007D1C36"/>
    <w:rsid w:val="007D2718"/>
    <w:rsid w:val="007D2786"/>
    <w:rsid w:val="007D3224"/>
    <w:rsid w:val="007D32CA"/>
    <w:rsid w:val="007D397A"/>
    <w:rsid w:val="007D4BB2"/>
    <w:rsid w:val="007D66C6"/>
    <w:rsid w:val="007D6969"/>
    <w:rsid w:val="007D757A"/>
    <w:rsid w:val="007D75C7"/>
    <w:rsid w:val="007D78DA"/>
    <w:rsid w:val="007E0296"/>
    <w:rsid w:val="007E0C02"/>
    <w:rsid w:val="007E0DF5"/>
    <w:rsid w:val="007E28C0"/>
    <w:rsid w:val="007E2F3A"/>
    <w:rsid w:val="007E317D"/>
    <w:rsid w:val="007E3F88"/>
    <w:rsid w:val="007E451B"/>
    <w:rsid w:val="007E4A97"/>
    <w:rsid w:val="007E4E50"/>
    <w:rsid w:val="007E551F"/>
    <w:rsid w:val="007E5561"/>
    <w:rsid w:val="007E567B"/>
    <w:rsid w:val="007E66BB"/>
    <w:rsid w:val="007E680D"/>
    <w:rsid w:val="007E699E"/>
    <w:rsid w:val="007E6CA9"/>
    <w:rsid w:val="007E75B6"/>
    <w:rsid w:val="007E7D8D"/>
    <w:rsid w:val="007F21FF"/>
    <w:rsid w:val="007F31D8"/>
    <w:rsid w:val="007F330D"/>
    <w:rsid w:val="007F346A"/>
    <w:rsid w:val="007F3A0E"/>
    <w:rsid w:val="007F3E1E"/>
    <w:rsid w:val="007F498A"/>
    <w:rsid w:val="007F5CCC"/>
    <w:rsid w:val="007F5DE1"/>
    <w:rsid w:val="007F68AC"/>
    <w:rsid w:val="007F7C5C"/>
    <w:rsid w:val="0080039E"/>
    <w:rsid w:val="00801283"/>
    <w:rsid w:val="00801392"/>
    <w:rsid w:val="00801707"/>
    <w:rsid w:val="008022D6"/>
    <w:rsid w:val="008022F1"/>
    <w:rsid w:val="008023C8"/>
    <w:rsid w:val="00802631"/>
    <w:rsid w:val="0080346F"/>
    <w:rsid w:val="00804971"/>
    <w:rsid w:val="00804A47"/>
    <w:rsid w:val="00805242"/>
    <w:rsid w:val="008064E1"/>
    <w:rsid w:val="008073B9"/>
    <w:rsid w:val="00807A25"/>
    <w:rsid w:val="00807C02"/>
    <w:rsid w:val="00810815"/>
    <w:rsid w:val="00811435"/>
    <w:rsid w:val="008149CD"/>
    <w:rsid w:val="00815348"/>
    <w:rsid w:val="00815631"/>
    <w:rsid w:val="008157E1"/>
    <w:rsid w:val="00815E81"/>
    <w:rsid w:val="00816190"/>
    <w:rsid w:val="008168FA"/>
    <w:rsid w:val="00816A62"/>
    <w:rsid w:val="00816ADF"/>
    <w:rsid w:val="0081772E"/>
    <w:rsid w:val="008208DC"/>
    <w:rsid w:val="008209AC"/>
    <w:rsid w:val="008214BD"/>
    <w:rsid w:val="00821D5D"/>
    <w:rsid w:val="0082212C"/>
    <w:rsid w:val="00822477"/>
    <w:rsid w:val="008234FF"/>
    <w:rsid w:val="00824451"/>
    <w:rsid w:val="00824EA6"/>
    <w:rsid w:val="00825037"/>
    <w:rsid w:val="00825276"/>
    <w:rsid w:val="00825991"/>
    <w:rsid w:val="00825A9B"/>
    <w:rsid w:val="0083075E"/>
    <w:rsid w:val="00830838"/>
    <w:rsid w:val="00830F99"/>
    <w:rsid w:val="008322D2"/>
    <w:rsid w:val="00832447"/>
    <w:rsid w:val="00832F8A"/>
    <w:rsid w:val="00833603"/>
    <w:rsid w:val="00833BA1"/>
    <w:rsid w:val="00834C1E"/>
    <w:rsid w:val="008356B6"/>
    <w:rsid w:val="008367F2"/>
    <w:rsid w:val="00836992"/>
    <w:rsid w:val="008369A6"/>
    <w:rsid w:val="00836B86"/>
    <w:rsid w:val="008371AB"/>
    <w:rsid w:val="00837A26"/>
    <w:rsid w:val="00837C09"/>
    <w:rsid w:val="0084025E"/>
    <w:rsid w:val="0084059A"/>
    <w:rsid w:val="00841210"/>
    <w:rsid w:val="008414E1"/>
    <w:rsid w:val="00842972"/>
    <w:rsid w:val="0084362D"/>
    <w:rsid w:val="00843B8D"/>
    <w:rsid w:val="0084430A"/>
    <w:rsid w:val="00844A2D"/>
    <w:rsid w:val="00845350"/>
    <w:rsid w:val="0084536D"/>
    <w:rsid w:val="008456EC"/>
    <w:rsid w:val="00846800"/>
    <w:rsid w:val="00846BDD"/>
    <w:rsid w:val="008473EB"/>
    <w:rsid w:val="00850489"/>
    <w:rsid w:val="00850885"/>
    <w:rsid w:val="008508D5"/>
    <w:rsid w:val="00851180"/>
    <w:rsid w:val="008515F0"/>
    <w:rsid w:val="0085201D"/>
    <w:rsid w:val="008526EF"/>
    <w:rsid w:val="0085327F"/>
    <w:rsid w:val="0085437C"/>
    <w:rsid w:val="00854D5F"/>
    <w:rsid w:val="0085540C"/>
    <w:rsid w:val="00856140"/>
    <w:rsid w:val="00856626"/>
    <w:rsid w:val="00856E5F"/>
    <w:rsid w:val="008601BC"/>
    <w:rsid w:val="008602E5"/>
    <w:rsid w:val="0086094F"/>
    <w:rsid w:val="00861C6D"/>
    <w:rsid w:val="008629BF"/>
    <w:rsid w:val="0086344F"/>
    <w:rsid w:val="008638D1"/>
    <w:rsid w:val="00864C6B"/>
    <w:rsid w:val="00870863"/>
    <w:rsid w:val="00871895"/>
    <w:rsid w:val="008721D7"/>
    <w:rsid w:val="0087235D"/>
    <w:rsid w:val="00872DD4"/>
    <w:rsid w:val="00873066"/>
    <w:rsid w:val="008737B5"/>
    <w:rsid w:val="00873DDD"/>
    <w:rsid w:val="008757A3"/>
    <w:rsid w:val="00875ED8"/>
    <w:rsid w:val="008762A8"/>
    <w:rsid w:val="0087630D"/>
    <w:rsid w:val="0087649A"/>
    <w:rsid w:val="00881B87"/>
    <w:rsid w:val="00882586"/>
    <w:rsid w:val="00882AD5"/>
    <w:rsid w:val="00882E2F"/>
    <w:rsid w:val="00883A41"/>
    <w:rsid w:val="00883C90"/>
    <w:rsid w:val="00883D9F"/>
    <w:rsid w:val="0088487A"/>
    <w:rsid w:val="00885C7B"/>
    <w:rsid w:val="0088663B"/>
    <w:rsid w:val="008866B7"/>
    <w:rsid w:val="00886B44"/>
    <w:rsid w:val="008870EC"/>
    <w:rsid w:val="0088729F"/>
    <w:rsid w:val="00887759"/>
    <w:rsid w:val="00887ABA"/>
    <w:rsid w:val="00890261"/>
    <w:rsid w:val="008903EE"/>
    <w:rsid w:val="00890C02"/>
    <w:rsid w:val="00891052"/>
    <w:rsid w:val="008915BD"/>
    <w:rsid w:val="00891691"/>
    <w:rsid w:val="00892616"/>
    <w:rsid w:val="00892C63"/>
    <w:rsid w:val="00892EEF"/>
    <w:rsid w:val="008930DE"/>
    <w:rsid w:val="0089479D"/>
    <w:rsid w:val="00894886"/>
    <w:rsid w:val="008953AC"/>
    <w:rsid w:val="00895DEA"/>
    <w:rsid w:val="00895EDD"/>
    <w:rsid w:val="00896151"/>
    <w:rsid w:val="00897DD0"/>
    <w:rsid w:val="00897ED5"/>
    <w:rsid w:val="008A01A4"/>
    <w:rsid w:val="008A04A0"/>
    <w:rsid w:val="008A1722"/>
    <w:rsid w:val="008A1D57"/>
    <w:rsid w:val="008A26C9"/>
    <w:rsid w:val="008A2FEB"/>
    <w:rsid w:val="008A31EE"/>
    <w:rsid w:val="008A35A7"/>
    <w:rsid w:val="008A438C"/>
    <w:rsid w:val="008A4895"/>
    <w:rsid w:val="008A4B41"/>
    <w:rsid w:val="008A514E"/>
    <w:rsid w:val="008A52E1"/>
    <w:rsid w:val="008A5AEC"/>
    <w:rsid w:val="008A63F7"/>
    <w:rsid w:val="008A68C0"/>
    <w:rsid w:val="008A6AD9"/>
    <w:rsid w:val="008B0AE3"/>
    <w:rsid w:val="008B1464"/>
    <w:rsid w:val="008B167F"/>
    <w:rsid w:val="008B237C"/>
    <w:rsid w:val="008B2B55"/>
    <w:rsid w:val="008B2EB8"/>
    <w:rsid w:val="008B3143"/>
    <w:rsid w:val="008B3ADF"/>
    <w:rsid w:val="008B3D79"/>
    <w:rsid w:val="008B498C"/>
    <w:rsid w:val="008B591E"/>
    <w:rsid w:val="008B6254"/>
    <w:rsid w:val="008B6B26"/>
    <w:rsid w:val="008C1232"/>
    <w:rsid w:val="008C1880"/>
    <w:rsid w:val="008C2D1E"/>
    <w:rsid w:val="008C2E34"/>
    <w:rsid w:val="008C326F"/>
    <w:rsid w:val="008C3564"/>
    <w:rsid w:val="008C3BF7"/>
    <w:rsid w:val="008C48F6"/>
    <w:rsid w:val="008C49CA"/>
    <w:rsid w:val="008C6F7B"/>
    <w:rsid w:val="008C7175"/>
    <w:rsid w:val="008D1249"/>
    <w:rsid w:val="008D143E"/>
    <w:rsid w:val="008D24FB"/>
    <w:rsid w:val="008D289E"/>
    <w:rsid w:val="008D2920"/>
    <w:rsid w:val="008D2FF9"/>
    <w:rsid w:val="008D3B42"/>
    <w:rsid w:val="008D53A0"/>
    <w:rsid w:val="008D5BDA"/>
    <w:rsid w:val="008D5CF5"/>
    <w:rsid w:val="008D6290"/>
    <w:rsid w:val="008D6563"/>
    <w:rsid w:val="008D6BE7"/>
    <w:rsid w:val="008D6C42"/>
    <w:rsid w:val="008D7261"/>
    <w:rsid w:val="008E0568"/>
    <w:rsid w:val="008E0800"/>
    <w:rsid w:val="008E1834"/>
    <w:rsid w:val="008E2207"/>
    <w:rsid w:val="008E2FFD"/>
    <w:rsid w:val="008E3313"/>
    <w:rsid w:val="008E39DB"/>
    <w:rsid w:val="008E3F4F"/>
    <w:rsid w:val="008E405B"/>
    <w:rsid w:val="008E4F3C"/>
    <w:rsid w:val="008E5862"/>
    <w:rsid w:val="008E61A2"/>
    <w:rsid w:val="008E6534"/>
    <w:rsid w:val="008E7000"/>
    <w:rsid w:val="008F13FD"/>
    <w:rsid w:val="008F1B58"/>
    <w:rsid w:val="008F1DA0"/>
    <w:rsid w:val="008F2582"/>
    <w:rsid w:val="008F287D"/>
    <w:rsid w:val="008F3315"/>
    <w:rsid w:val="008F509C"/>
    <w:rsid w:val="008F5211"/>
    <w:rsid w:val="008F5CC7"/>
    <w:rsid w:val="008F633E"/>
    <w:rsid w:val="008F644F"/>
    <w:rsid w:val="008F6608"/>
    <w:rsid w:val="008F77F3"/>
    <w:rsid w:val="008F7DA3"/>
    <w:rsid w:val="009001CD"/>
    <w:rsid w:val="00900851"/>
    <w:rsid w:val="00902124"/>
    <w:rsid w:val="0090361A"/>
    <w:rsid w:val="0090452F"/>
    <w:rsid w:val="00904819"/>
    <w:rsid w:val="00904AA9"/>
    <w:rsid w:val="00904D01"/>
    <w:rsid w:val="009054D3"/>
    <w:rsid w:val="00905F2C"/>
    <w:rsid w:val="00905FA3"/>
    <w:rsid w:val="00906225"/>
    <w:rsid w:val="00906A80"/>
    <w:rsid w:val="00906D61"/>
    <w:rsid w:val="009075ED"/>
    <w:rsid w:val="00907B8A"/>
    <w:rsid w:val="00910C58"/>
    <w:rsid w:val="0091159F"/>
    <w:rsid w:val="00911983"/>
    <w:rsid w:val="009119A4"/>
    <w:rsid w:val="00912B92"/>
    <w:rsid w:val="00912C53"/>
    <w:rsid w:val="00913510"/>
    <w:rsid w:val="0091397B"/>
    <w:rsid w:val="00914881"/>
    <w:rsid w:val="00914EB6"/>
    <w:rsid w:val="00914EC0"/>
    <w:rsid w:val="00915946"/>
    <w:rsid w:val="00916471"/>
    <w:rsid w:val="00916581"/>
    <w:rsid w:val="00916831"/>
    <w:rsid w:val="0091687B"/>
    <w:rsid w:val="009170D0"/>
    <w:rsid w:val="00917272"/>
    <w:rsid w:val="00920201"/>
    <w:rsid w:val="0092032F"/>
    <w:rsid w:val="00920811"/>
    <w:rsid w:val="00920C6F"/>
    <w:rsid w:val="0092195F"/>
    <w:rsid w:val="0092227E"/>
    <w:rsid w:val="00922D80"/>
    <w:rsid w:val="00922DCB"/>
    <w:rsid w:val="009234D2"/>
    <w:rsid w:val="009245CE"/>
    <w:rsid w:val="009247CC"/>
    <w:rsid w:val="00924C2B"/>
    <w:rsid w:val="00925CCB"/>
    <w:rsid w:val="0092662E"/>
    <w:rsid w:val="0093013C"/>
    <w:rsid w:val="009308E7"/>
    <w:rsid w:val="00931712"/>
    <w:rsid w:val="00931B1D"/>
    <w:rsid w:val="00931F1E"/>
    <w:rsid w:val="009326E9"/>
    <w:rsid w:val="009332A2"/>
    <w:rsid w:val="00933C53"/>
    <w:rsid w:val="00935128"/>
    <w:rsid w:val="009351F2"/>
    <w:rsid w:val="009354C4"/>
    <w:rsid w:val="0093691D"/>
    <w:rsid w:val="00937C33"/>
    <w:rsid w:val="0094057D"/>
    <w:rsid w:val="0094226C"/>
    <w:rsid w:val="0094273D"/>
    <w:rsid w:val="00942A6C"/>
    <w:rsid w:val="00942C1A"/>
    <w:rsid w:val="00942EE2"/>
    <w:rsid w:val="00942EF4"/>
    <w:rsid w:val="009444A5"/>
    <w:rsid w:val="00945171"/>
    <w:rsid w:val="00945761"/>
    <w:rsid w:val="0094616D"/>
    <w:rsid w:val="00946525"/>
    <w:rsid w:val="00946843"/>
    <w:rsid w:val="009505AA"/>
    <w:rsid w:val="00951014"/>
    <w:rsid w:val="00951F4C"/>
    <w:rsid w:val="00953076"/>
    <w:rsid w:val="00953229"/>
    <w:rsid w:val="0095450E"/>
    <w:rsid w:val="00954A66"/>
    <w:rsid w:val="00955DC4"/>
    <w:rsid w:val="00955E00"/>
    <w:rsid w:val="00955E0D"/>
    <w:rsid w:val="00955F0C"/>
    <w:rsid w:val="00956275"/>
    <w:rsid w:val="009563E4"/>
    <w:rsid w:val="009564F9"/>
    <w:rsid w:val="00960267"/>
    <w:rsid w:val="0096028E"/>
    <w:rsid w:val="0096083C"/>
    <w:rsid w:val="009611D9"/>
    <w:rsid w:val="00961D66"/>
    <w:rsid w:val="00963B78"/>
    <w:rsid w:val="00964299"/>
    <w:rsid w:val="00964605"/>
    <w:rsid w:val="00965497"/>
    <w:rsid w:val="0096651A"/>
    <w:rsid w:val="009673BA"/>
    <w:rsid w:val="00967AB2"/>
    <w:rsid w:val="0097018C"/>
    <w:rsid w:val="00970325"/>
    <w:rsid w:val="00970944"/>
    <w:rsid w:val="00971A66"/>
    <w:rsid w:val="00971C8F"/>
    <w:rsid w:val="00972942"/>
    <w:rsid w:val="00972EAB"/>
    <w:rsid w:val="0097325D"/>
    <w:rsid w:val="00973C37"/>
    <w:rsid w:val="00974D62"/>
    <w:rsid w:val="009761C0"/>
    <w:rsid w:val="00976371"/>
    <w:rsid w:val="009764C9"/>
    <w:rsid w:val="009768FC"/>
    <w:rsid w:val="00976B28"/>
    <w:rsid w:val="00976CE0"/>
    <w:rsid w:val="00977820"/>
    <w:rsid w:val="00977C00"/>
    <w:rsid w:val="00980293"/>
    <w:rsid w:val="00981055"/>
    <w:rsid w:val="00982217"/>
    <w:rsid w:val="00982C68"/>
    <w:rsid w:val="00983100"/>
    <w:rsid w:val="00983195"/>
    <w:rsid w:val="00983395"/>
    <w:rsid w:val="0098372D"/>
    <w:rsid w:val="00983C59"/>
    <w:rsid w:val="00983C71"/>
    <w:rsid w:val="00983CA8"/>
    <w:rsid w:val="00986072"/>
    <w:rsid w:val="00986C45"/>
    <w:rsid w:val="00987688"/>
    <w:rsid w:val="00990D5B"/>
    <w:rsid w:val="009930F4"/>
    <w:rsid w:val="009934FF"/>
    <w:rsid w:val="00993B5C"/>
    <w:rsid w:val="0099449B"/>
    <w:rsid w:val="00994DEC"/>
    <w:rsid w:val="00995115"/>
    <w:rsid w:val="009955A7"/>
    <w:rsid w:val="00995E10"/>
    <w:rsid w:val="0099620B"/>
    <w:rsid w:val="0099765B"/>
    <w:rsid w:val="00997800"/>
    <w:rsid w:val="0099789A"/>
    <w:rsid w:val="009A016F"/>
    <w:rsid w:val="009A0570"/>
    <w:rsid w:val="009A2145"/>
    <w:rsid w:val="009A2AF0"/>
    <w:rsid w:val="009A2FC2"/>
    <w:rsid w:val="009A33C6"/>
    <w:rsid w:val="009A4CAF"/>
    <w:rsid w:val="009A4F8F"/>
    <w:rsid w:val="009A4F93"/>
    <w:rsid w:val="009A58D0"/>
    <w:rsid w:val="009A5BA4"/>
    <w:rsid w:val="009A6E53"/>
    <w:rsid w:val="009A7099"/>
    <w:rsid w:val="009A7302"/>
    <w:rsid w:val="009A78FC"/>
    <w:rsid w:val="009A7FDE"/>
    <w:rsid w:val="009B0AB7"/>
    <w:rsid w:val="009B0B22"/>
    <w:rsid w:val="009B12D8"/>
    <w:rsid w:val="009B21EE"/>
    <w:rsid w:val="009B2304"/>
    <w:rsid w:val="009B2449"/>
    <w:rsid w:val="009B3591"/>
    <w:rsid w:val="009B3B9C"/>
    <w:rsid w:val="009B3FB2"/>
    <w:rsid w:val="009B4680"/>
    <w:rsid w:val="009B578E"/>
    <w:rsid w:val="009B667F"/>
    <w:rsid w:val="009B66D2"/>
    <w:rsid w:val="009B684C"/>
    <w:rsid w:val="009B76BD"/>
    <w:rsid w:val="009B7FDA"/>
    <w:rsid w:val="009C0045"/>
    <w:rsid w:val="009C092D"/>
    <w:rsid w:val="009C107B"/>
    <w:rsid w:val="009C2473"/>
    <w:rsid w:val="009C2E19"/>
    <w:rsid w:val="009C3331"/>
    <w:rsid w:val="009C3BE6"/>
    <w:rsid w:val="009C4005"/>
    <w:rsid w:val="009C4458"/>
    <w:rsid w:val="009C47CA"/>
    <w:rsid w:val="009C4BD3"/>
    <w:rsid w:val="009C569B"/>
    <w:rsid w:val="009C5E04"/>
    <w:rsid w:val="009C6C53"/>
    <w:rsid w:val="009D0533"/>
    <w:rsid w:val="009D0567"/>
    <w:rsid w:val="009D0AD7"/>
    <w:rsid w:val="009D0F91"/>
    <w:rsid w:val="009D1974"/>
    <w:rsid w:val="009D22FB"/>
    <w:rsid w:val="009D3CB5"/>
    <w:rsid w:val="009D44B3"/>
    <w:rsid w:val="009D5A1A"/>
    <w:rsid w:val="009D7E1B"/>
    <w:rsid w:val="009E0607"/>
    <w:rsid w:val="009E0DBB"/>
    <w:rsid w:val="009E3AE1"/>
    <w:rsid w:val="009E493A"/>
    <w:rsid w:val="009E521C"/>
    <w:rsid w:val="009E67F8"/>
    <w:rsid w:val="009E6CC1"/>
    <w:rsid w:val="009E6F1A"/>
    <w:rsid w:val="009E73E1"/>
    <w:rsid w:val="009F00A7"/>
    <w:rsid w:val="009F0475"/>
    <w:rsid w:val="009F0DB4"/>
    <w:rsid w:val="009F1165"/>
    <w:rsid w:val="009F1C1B"/>
    <w:rsid w:val="009F1FEB"/>
    <w:rsid w:val="009F26C7"/>
    <w:rsid w:val="009F2DE8"/>
    <w:rsid w:val="009F3465"/>
    <w:rsid w:val="009F3935"/>
    <w:rsid w:val="009F3D5D"/>
    <w:rsid w:val="009F4D73"/>
    <w:rsid w:val="009F695E"/>
    <w:rsid w:val="009F75FD"/>
    <w:rsid w:val="009F7784"/>
    <w:rsid w:val="00A0011D"/>
    <w:rsid w:val="00A01B2B"/>
    <w:rsid w:val="00A01D6F"/>
    <w:rsid w:val="00A01ECC"/>
    <w:rsid w:val="00A021DF"/>
    <w:rsid w:val="00A02D4D"/>
    <w:rsid w:val="00A03FD8"/>
    <w:rsid w:val="00A041EA"/>
    <w:rsid w:val="00A0501B"/>
    <w:rsid w:val="00A055E8"/>
    <w:rsid w:val="00A06591"/>
    <w:rsid w:val="00A07757"/>
    <w:rsid w:val="00A07BD5"/>
    <w:rsid w:val="00A10390"/>
    <w:rsid w:val="00A1091B"/>
    <w:rsid w:val="00A1119C"/>
    <w:rsid w:val="00A11453"/>
    <w:rsid w:val="00A125C6"/>
    <w:rsid w:val="00A1326D"/>
    <w:rsid w:val="00A13926"/>
    <w:rsid w:val="00A13D8F"/>
    <w:rsid w:val="00A142A1"/>
    <w:rsid w:val="00A14AB4"/>
    <w:rsid w:val="00A1513D"/>
    <w:rsid w:val="00A1794A"/>
    <w:rsid w:val="00A17F6F"/>
    <w:rsid w:val="00A203E6"/>
    <w:rsid w:val="00A20A24"/>
    <w:rsid w:val="00A20F1C"/>
    <w:rsid w:val="00A22A81"/>
    <w:rsid w:val="00A2419D"/>
    <w:rsid w:val="00A26281"/>
    <w:rsid w:val="00A27AEA"/>
    <w:rsid w:val="00A27C95"/>
    <w:rsid w:val="00A3033D"/>
    <w:rsid w:val="00A30EF7"/>
    <w:rsid w:val="00A311CA"/>
    <w:rsid w:val="00A319A9"/>
    <w:rsid w:val="00A31D34"/>
    <w:rsid w:val="00A32E6B"/>
    <w:rsid w:val="00A331BD"/>
    <w:rsid w:val="00A33498"/>
    <w:rsid w:val="00A33500"/>
    <w:rsid w:val="00A33930"/>
    <w:rsid w:val="00A339A8"/>
    <w:rsid w:val="00A3451D"/>
    <w:rsid w:val="00A34E2C"/>
    <w:rsid w:val="00A35A6E"/>
    <w:rsid w:val="00A35EFC"/>
    <w:rsid w:val="00A3610B"/>
    <w:rsid w:val="00A36F63"/>
    <w:rsid w:val="00A37336"/>
    <w:rsid w:val="00A37D83"/>
    <w:rsid w:val="00A406D6"/>
    <w:rsid w:val="00A40794"/>
    <w:rsid w:val="00A408C3"/>
    <w:rsid w:val="00A4126E"/>
    <w:rsid w:val="00A422A7"/>
    <w:rsid w:val="00A4349F"/>
    <w:rsid w:val="00A43E7F"/>
    <w:rsid w:val="00A43EDF"/>
    <w:rsid w:val="00A43F56"/>
    <w:rsid w:val="00A4455E"/>
    <w:rsid w:val="00A45BDD"/>
    <w:rsid w:val="00A45BED"/>
    <w:rsid w:val="00A46489"/>
    <w:rsid w:val="00A46BAB"/>
    <w:rsid w:val="00A47BE6"/>
    <w:rsid w:val="00A508EE"/>
    <w:rsid w:val="00A5090B"/>
    <w:rsid w:val="00A512F3"/>
    <w:rsid w:val="00A51BBF"/>
    <w:rsid w:val="00A51BEF"/>
    <w:rsid w:val="00A51E64"/>
    <w:rsid w:val="00A54297"/>
    <w:rsid w:val="00A5461D"/>
    <w:rsid w:val="00A54906"/>
    <w:rsid w:val="00A57BC4"/>
    <w:rsid w:val="00A60036"/>
    <w:rsid w:val="00A6010C"/>
    <w:rsid w:val="00A6088C"/>
    <w:rsid w:val="00A61454"/>
    <w:rsid w:val="00A628F3"/>
    <w:rsid w:val="00A62E9E"/>
    <w:rsid w:val="00A635B8"/>
    <w:rsid w:val="00A6368B"/>
    <w:rsid w:val="00A649DC"/>
    <w:rsid w:val="00A65E2F"/>
    <w:rsid w:val="00A66452"/>
    <w:rsid w:val="00A6783F"/>
    <w:rsid w:val="00A67EEA"/>
    <w:rsid w:val="00A70467"/>
    <w:rsid w:val="00A711F0"/>
    <w:rsid w:val="00A71896"/>
    <w:rsid w:val="00A72346"/>
    <w:rsid w:val="00A762E4"/>
    <w:rsid w:val="00A76744"/>
    <w:rsid w:val="00A767A9"/>
    <w:rsid w:val="00A7794D"/>
    <w:rsid w:val="00A8010F"/>
    <w:rsid w:val="00A805E2"/>
    <w:rsid w:val="00A806E8"/>
    <w:rsid w:val="00A807CD"/>
    <w:rsid w:val="00A80EED"/>
    <w:rsid w:val="00A81E14"/>
    <w:rsid w:val="00A82638"/>
    <w:rsid w:val="00A830E1"/>
    <w:rsid w:val="00A8342D"/>
    <w:rsid w:val="00A83830"/>
    <w:rsid w:val="00A84587"/>
    <w:rsid w:val="00A869D0"/>
    <w:rsid w:val="00A87A25"/>
    <w:rsid w:val="00A87ECF"/>
    <w:rsid w:val="00A9006A"/>
    <w:rsid w:val="00A906AB"/>
    <w:rsid w:val="00A92C96"/>
    <w:rsid w:val="00A93D72"/>
    <w:rsid w:val="00A94E71"/>
    <w:rsid w:val="00A94F1E"/>
    <w:rsid w:val="00A95AA3"/>
    <w:rsid w:val="00A95E8E"/>
    <w:rsid w:val="00A96147"/>
    <w:rsid w:val="00A9657D"/>
    <w:rsid w:val="00A971D0"/>
    <w:rsid w:val="00A973C3"/>
    <w:rsid w:val="00AA0322"/>
    <w:rsid w:val="00AA060D"/>
    <w:rsid w:val="00AA09BD"/>
    <w:rsid w:val="00AA13D8"/>
    <w:rsid w:val="00AA14DE"/>
    <w:rsid w:val="00AA1786"/>
    <w:rsid w:val="00AA1F9C"/>
    <w:rsid w:val="00AA43AE"/>
    <w:rsid w:val="00AA4413"/>
    <w:rsid w:val="00AA5FCA"/>
    <w:rsid w:val="00AA6258"/>
    <w:rsid w:val="00AB0BB2"/>
    <w:rsid w:val="00AB19A9"/>
    <w:rsid w:val="00AB1BD6"/>
    <w:rsid w:val="00AB24E1"/>
    <w:rsid w:val="00AB4280"/>
    <w:rsid w:val="00AB466F"/>
    <w:rsid w:val="00AB541D"/>
    <w:rsid w:val="00AB5E19"/>
    <w:rsid w:val="00AB7607"/>
    <w:rsid w:val="00AB798E"/>
    <w:rsid w:val="00AC041E"/>
    <w:rsid w:val="00AC158C"/>
    <w:rsid w:val="00AC19CA"/>
    <w:rsid w:val="00AC292E"/>
    <w:rsid w:val="00AC31C3"/>
    <w:rsid w:val="00AC34FA"/>
    <w:rsid w:val="00AC355B"/>
    <w:rsid w:val="00AC3D87"/>
    <w:rsid w:val="00AC4109"/>
    <w:rsid w:val="00AC431D"/>
    <w:rsid w:val="00AC5BCD"/>
    <w:rsid w:val="00AC6D9D"/>
    <w:rsid w:val="00AD1AC3"/>
    <w:rsid w:val="00AD243E"/>
    <w:rsid w:val="00AD2536"/>
    <w:rsid w:val="00AD326E"/>
    <w:rsid w:val="00AD46C2"/>
    <w:rsid w:val="00AD4D45"/>
    <w:rsid w:val="00AD4EA4"/>
    <w:rsid w:val="00AD5EE7"/>
    <w:rsid w:val="00AD6AD2"/>
    <w:rsid w:val="00AD7117"/>
    <w:rsid w:val="00AD765F"/>
    <w:rsid w:val="00AD7DE0"/>
    <w:rsid w:val="00AE04B1"/>
    <w:rsid w:val="00AE1C29"/>
    <w:rsid w:val="00AE3629"/>
    <w:rsid w:val="00AE443D"/>
    <w:rsid w:val="00AE463F"/>
    <w:rsid w:val="00AE5819"/>
    <w:rsid w:val="00AE58A9"/>
    <w:rsid w:val="00AE5B33"/>
    <w:rsid w:val="00AF0321"/>
    <w:rsid w:val="00AF0CC0"/>
    <w:rsid w:val="00AF1151"/>
    <w:rsid w:val="00AF187A"/>
    <w:rsid w:val="00AF1FEE"/>
    <w:rsid w:val="00AF3503"/>
    <w:rsid w:val="00AF3B82"/>
    <w:rsid w:val="00AF3CA4"/>
    <w:rsid w:val="00AF4BE9"/>
    <w:rsid w:val="00AF50C0"/>
    <w:rsid w:val="00AF5323"/>
    <w:rsid w:val="00AF6BC1"/>
    <w:rsid w:val="00AF72C9"/>
    <w:rsid w:val="00AF736B"/>
    <w:rsid w:val="00B00779"/>
    <w:rsid w:val="00B01745"/>
    <w:rsid w:val="00B01B45"/>
    <w:rsid w:val="00B01E37"/>
    <w:rsid w:val="00B01E79"/>
    <w:rsid w:val="00B024AC"/>
    <w:rsid w:val="00B02FD3"/>
    <w:rsid w:val="00B0350D"/>
    <w:rsid w:val="00B03F71"/>
    <w:rsid w:val="00B04392"/>
    <w:rsid w:val="00B065D5"/>
    <w:rsid w:val="00B067D1"/>
    <w:rsid w:val="00B06868"/>
    <w:rsid w:val="00B0701E"/>
    <w:rsid w:val="00B11C57"/>
    <w:rsid w:val="00B11D1A"/>
    <w:rsid w:val="00B12F74"/>
    <w:rsid w:val="00B1324B"/>
    <w:rsid w:val="00B1361F"/>
    <w:rsid w:val="00B13B38"/>
    <w:rsid w:val="00B14748"/>
    <w:rsid w:val="00B15276"/>
    <w:rsid w:val="00B15287"/>
    <w:rsid w:val="00B20733"/>
    <w:rsid w:val="00B215B1"/>
    <w:rsid w:val="00B218A7"/>
    <w:rsid w:val="00B22538"/>
    <w:rsid w:val="00B22678"/>
    <w:rsid w:val="00B2268F"/>
    <w:rsid w:val="00B22945"/>
    <w:rsid w:val="00B22C11"/>
    <w:rsid w:val="00B22D34"/>
    <w:rsid w:val="00B22F44"/>
    <w:rsid w:val="00B233EC"/>
    <w:rsid w:val="00B23742"/>
    <w:rsid w:val="00B23844"/>
    <w:rsid w:val="00B23ACD"/>
    <w:rsid w:val="00B2497C"/>
    <w:rsid w:val="00B25C1B"/>
    <w:rsid w:val="00B25EFC"/>
    <w:rsid w:val="00B261AD"/>
    <w:rsid w:val="00B26B01"/>
    <w:rsid w:val="00B27B0C"/>
    <w:rsid w:val="00B303A3"/>
    <w:rsid w:val="00B31479"/>
    <w:rsid w:val="00B31B8D"/>
    <w:rsid w:val="00B33594"/>
    <w:rsid w:val="00B33EB2"/>
    <w:rsid w:val="00B345B3"/>
    <w:rsid w:val="00B35DDD"/>
    <w:rsid w:val="00B36013"/>
    <w:rsid w:val="00B36600"/>
    <w:rsid w:val="00B36914"/>
    <w:rsid w:val="00B36D09"/>
    <w:rsid w:val="00B37A8B"/>
    <w:rsid w:val="00B40483"/>
    <w:rsid w:val="00B41C0E"/>
    <w:rsid w:val="00B4287E"/>
    <w:rsid w:val="00B434C8"/>
    <w:rsid w:val="00B43AA6"/>
    <w:rsid w:val="00B43D8F"/>
    <w:rsid w:val="00B43FD8"/>
    <w:rsid w:val="00B4411A"/>
    <w:rsid w:val="00B452D8"/>
    <w:rsid w:val="00B45800"/>
    <w:rsid w:val="00B45AD4"/>
    <w:rsid w:val="00B46200"/>
    <w:rsid w:val="00B476CF"/>
    <w:rsid w:val="00B500F2"/>
    <w:rsid w:val="00B50BD3"/>
    <w:rsid w:val="00B50D2A"/>
    <w:rsid w:val="00B5104A"/>
    <w:rsid w:val="00B51575"/>
    <w:rsid w:val="00B52C59"/>
    <w:rsid w:val="00B5305C"/>
    <w:rsid w:val="00B53B79"/>
    <w:rsid w:val="00B53E78"/>
    <w:rsid w:val="00B54EA8"/>
    <w:rsid w:val="00B565A7"/>
    <w:rsid w:val="00B568DE"/>
    <w:rsid w:val="00B573B8"/>
    <w:rsid w:val="00B60378"/>
    <w:rsid w:val="00B622E0"/>
    <w:rsid w:val="00B62872"/>
    <w:rsid w:val="00B628B7"/>
    <w:rsid w:val="00B63070"/>
    <w:rsid w:val="00B6368B"/>
    <w:rsid w:val="00B64ED6"/>
    <w:rsid w:val="00B65463"/>
    <w:rsid w:val="00B6589C"/>
    <w:rsid w:val="00B65BAB"/>
    <w:rsid w:val="00B65C31"/>
    <w:rsid w:val="00B66645"/>
    <w:rsid w:val="00B670AB"/>
    <w:rsid w:val="00B675AF"/>
    <w:rsid w:val="00B67C50"/>
    <w:rsid w:val="00B67EF1"/>
    <w:rsid w:val="00B72060"/>
    <w:rsid w:val="00B7245E"/>
    <w:rsid w:val="00B72F97"/>
    <w:rsid w:val="00B74EB6"/>
    <w:rsid w:val="00B7535A"/>
    <w:rsid w:val="00B75FCE"/>
    <w:rsid w:val="00B76EF4"/>
    <w:rsid w:val="00B7711E"/>
    <w:rsid w:val="00B77418"/>
    <w:rsid w:val="00B77E24"/>
    <w:rsid w:val="00B800E6"/>
    <w:rsid w:val="00B80416"/>
    <w:rsid w:val="00B8047B"/>
    <w:rsid w:val="00B80AA9"/>
    <w:rsid w:val="00B81DC3"/>
    <w:rsid w:val="00B81DE2"/>
    <w:rsid w:val="00B82062"/>
    <w:rsid w:val="00B828C1"/>
    <w:rsid w:val="00B83046"/>
    <w:rsid w:val="00B83BBD"/>
    <w:rsid w:val="00B83C20"/>
    <w:rsid w:val="00B83E36"/>
    <w:rsid w:val="00B84C85"/>
    <w:rsid w:val="00B850C4"/>
    <w:rsid w:val="00B8556C"/>
    <w:rsid w:val="00B856FE"/>
    <w:rsid w:val="00B85A86"/>
    <w:rsid w:val="00B90F47"/>
    <w:rsid w:val="00B91231"/>
    <w:rsid w:val="00B91330"/>
    <w:rsid w:val="00B92DE7"/>
    <w:rsid w:val="00B92E78"/>
    <w:rsid w:val="00B9374A"/>
    <w:rsid w:val="00B93BD1"/>
    <w:rsid w:val="00B93F01"/>
    <w:rsid w:val="00B94B3B"/>
    <w:rsid w:val="00B9536B"/>
    <w:rsid w:val="00B954C9"/>
    <w:rsid w:val="00B95A03"/>
    <w:rsid w:val="00B95F23"/>
    <w:rsid w:val="00B96BAA"/>
    <w:rsid w:val="00B9742B"/>
    <w:rsid w:val="00B97A3F"/>
    <w:rsid w:val="00BA011F"/>
    <w:rsid w:val="00BA07DE"/>
    <w:rsid w:val="00BA11F3"/>
    <w:rsid w:val="00BA128B"/>
    <w:rsid w:val="00BA17D6"/>
    <w:rsid w:val="00BA1A07"/>
    <w:rsid w:val="00BA1C44"/>
    <w:rsid w:val="00BA2059"/>
    <w:rsid w:val="00BA28E4"/>
    <w:rsid w:val="00BA2975"/>
    <w:rsid w:val="00BA2C1C"/>
    <w:rsid w:val="00BA3082"/>
    <w:rsid w:val="00BA3592"/>
    <w:rsid w:val="00BA3AEA"/>
    <w:rsid w:val="00BA4E1F"/>
    <w:rsid w:val="00BA51FE"/>
    <w:rsid w:val="00BA559D"/>
    <w:rsid w:val="00BA58E8"/>
    <w:rsid w:val="00BA5E47"/>
    <w:rsid w:val="00BA6129"/>
    <w:rsid w:val="00BA6817"/>
    <w:rsid w:val="00BA6E0E"/>
    <w:rsid w:val="00BA71CB"/>
    <w:rsid w:val="00BA71D8"/>
    <w:rsid w:val="00BA7448"/>
    <w:rsid w:val="00BB0B7B"/>
    <w:rsid w:val="00BB1F31"/>
    <w:rsid w:val="00BB217C"/>
    <w:rsid w:val="00BB2491"/>
    <w:rsid w:val="00BB2651"/>
    <w:rsid w:val="00BB26BF"/>
    <w:rsid w:val="00BB2CE3"/>
    <w:rsid w:val="00BB3A6C"/>
    <w:rsid w:val="00BB513B"/>
    <w:rsid w:val="00BB721C"/>
    <w:rsid w:val="00BB72D9"/>
    <w:rsid w:val="00BC14C0"/>
    <w:rsid w:val="00BC2736"/>
    <w:rsid w:val="00BC335B"/>
    <w:rsid w:val="00BC339F"/>
    <w:rsid w:val="00BC371F"/>
    <w:rsid w:val="00BC3A84"/>
    <w:rsid w:val="00BC6BF1"/>
    <w:rsid w:val="00BC6D93"/>
    <w:rsid w:val="00BC6E3B"/>
    <w:rsid w:val="00BC772F"/>
    <w:rsid w:val="00BC7909"/>
    <w:rsid w:val="00BD05F3"/>
    <w:rsid w:val="00BD0BFC"/>
    <w:rsid w:val="00BD214A"/>
    <w:rsid w:val="00BD3252"/>
    <w:rsid w:val="00BD3A8D"/>
    <w:rsid w:val="00BD44AE"/>
    <w:rsid w:val="00BD5048"/>
    <w:rsid w:val="00BD54E4"/>
    <w:rsid w:val="00BD77EE"/>
    <w:rsid w:val="00BE0973"/>
    <w:rsid w:val="00BE1BE4"/>
    <w:rsid w:val="00BE1C48"/>
    <w:rsid w:val="00BE2E38"/>
    <w:rsid w:val="00BE33B1"/>
    <w:rsid w:val="00BE351F"/>
    <w:rsid w:val="00BE3CD0"/>
    <w:rsid w:val="00BE46AF"/>
    <w:rsid w:val="00BE5091"/>
    <w:rsid w:val="00BE7D45"/>
    <w:rsid w:val="00BF052B"/>
    <w:rsid w:val="00BF05BC"/>
    <w:rsid w:val="00BF0B77"/>
    <w:rsid w:val="00BF0C3C"/>
    <w:rsid w:val="00BF1358"/>
    <w:rsid w:val="00BF1DED"/>
    <w:rsid w:val="00BF260F"/>
    <w:rsid w:val="00BF2985"/>
    <w:rsid w:val="00BF3CA7"/>
    <w:rsid w:val="00BF3F01"/>
    <w:rsid w:val="00BF4A16"/>
    <w:rsid w:val="00BF5611"/>
    <w:rsid w:val="00BF676B"/>
    <w:rsid w:val="00C01F9D"/>
    <w:rsid w:val="00C02F34"/>
    <w:rsid w:val="00C038CE"/>
    <w:rsid w:val="00C03D16"/>
    <w:rsid w:val="00C054B3"/>
    <w:rsid w:val="00C0598D"/>
    <w:rsid w:val="00C06970"/>
    <w:rsid w:val="00C06FE7"/>
    <w:rsid w:val="00C07928"/>
    <w:rsid w:val="00C1051B"/>
    <w:rsid w:val="00C11719"/>
    <w:rsid w:val="00C1185C"/>
    <w:rsid w:val="00C12085"/>
    <w:rsid w:val="00C12B08"/>
    <w:rsid w:val="00C12C42"/>
    <w:rsid w:val="00C13762"/>
    <w:rsid w:val="00C13AC3"/>
    <w:rsid w:val="00C14092"/>
    <w:rsid w:val="00C15E06"/>
    <w:rsid w:val="00C1603C"/>
    <w:rsid w:val="00C17244"/>
    <w:rsid w:val="00C20010"/>
    <w:rsid w:val="00C20523"/>
    <w:rsid w:val="00C20D6E"/>
    <w:rsid w:val="00C20F25"/>
    <w:rsid w:val="00C211AA"/>
    <w:rsid w:val="00C22991"/>
    <w:rsid w:val="00C237FE"/>
    <w:rsid w:val="00C24701"/>
    <w:rsid w:val="00C25194"/>
    <w:rsid w:val="00C25268"/>
    <w:rsid w:val="00C261B5"/>
    <w:rsid w:val="00C26ABD"/>
    <w:rsid w:val="00C2745D"/>
    <w:rsid w:val="00C2752A"/>
    <w:rsid w:val="00C30032"/>
    <w:rsid w:val="00C3074B"/>
    <w:rsid w:val="00C30819"/>
    <w:rsid w:val="00C30846"/>
    <w:rsid w:val="00C3125B"/>
    <w:rsid w:val="00C31760"/>
    <w:rsid w:val="00C31C77"/>
    <w:rsid w:val="00C31FB8"/>
    <w:rsid w:val="00C3250D"/>
    <w:rsid w:val="00C32C2E"/>
    <w:rsid w:val="00C32C5D"/>
    <w:rsid w:val="00C32EA6"/>
    <w:rsid w:val="00C33B14"/>
    <w:rsid w:val="00C34393"/>
    <w:rsid w:val="00C34469"/>
    <w:rsid w:val="00C34519"/>
    <w:rsid w:val="00C3463A"/>
    <w:rsid w:val="00C350D6"/>
    <w:rsid w:val="00C355CF"/>
    <w:rsid w:val="00C37026"/>
    <w:rsid w:val="00C37EE9"/>
    <w:rsid w:val="00C403BD"/>
    <w:rsid w:val="00C404CA"/>
    <w:rsid w:val="00C40E89"/>
    <w:rsid w:val="00C41B38"/>
    <w:rsid w:val="00C43BC0"/>
    <w:rsid w:val="00C43C1D"/>
    <w:rsid w:val="00C43EE5"/>
    <w:rsid w:val="00C458D3"/>
    <w:rsid w:val="00C45A4D"/>
    <w:rsid w:val="00C4624D"/>
    <w:rsid w:val="00C46683"/>
    <w:rsid w:val="00C50156"/>
    <w:rsid w:val="00C502CD"/>
    <w:rsid w:val="00C51870"/>
    <w:rsid w:val="00C519E8"/>
    <w:rsid w:val="00C52427"/>
    <w:rsid w:val="00C535B2"/>
    <w:rsid w:val="00C5388B"/>
    <w:rsid w:val="00C53EBD"/>
    <w:rsid w:val="00C54A11"/>
    <w:rsid w:val="00C552BE"/>
    <w:rsid w:val="00C55740"/>
    <w:rsid w:val="00C56975"/>
    <w:rsid w:val="00C56C38"/>
    <w:rsid w:val="00C6094A"/>
    <w:rsid w:val="00C60D8A"/>
    <w:rsid w:val="00C60F9D"/>
    <w:rsid w:val="00C62508"/>
    <w:rsid w:val="00C638BD"/>
    <w:rsid w:val="00C640F9"/>
    <w:rsid w:val="00C64698"/>
    <w:rsid w:val="00C64F49"/>
    <w:rsid w:val="00C653D2"/>
    <w:rsid w:val="00C65E13"/>
    <w:rsid w:val="00C67384"/>
    <w:rsid w:val="00C6757C"/>
    <w:rsid w:val="00C7015D"/>
    <w:rsid w:val="00C70918"/>
    <w:rsid w:val="00C7214B"/>
    <w:rsid w:val="00C724D1"/>
    <w:rsid w:val="00C72E78"/>
    <w:rsid w:val="00C74771"/>
    <w:rsid w:val="00C75391"/>
    <w:rsid w:val="00C76871"/>
    <w:rsid w:val="00C778C9"/>
    <w:rsid w:val="00C77A48"/>
    <w:rsid w:val="00C77A73"/>
    <w:rsid w:val="00C80637"/>
    <w:rsid w:val="00C81D5A"/>
    <w:rsid w:val="00C81E35"/>
    <w:rsid w:val="00C8212F"/>
    <w:rsid w:val="00C823CD"/>
    <w:rsid w:val="00C844F3"/>
    <w:rsid w:val="00C84CA1"/>
    <w:rsid w:val="00C85A85"/>
    <w:rsid w:val="00C85C71"/>
    <w:rsid w:val="00C865B5"/>
    <w:rsid w:val="00C903F4"/>
    <w:rsid w:val="00C909D9"/>
    <w:rsid w:val="00C90D4F"/>
    <w:rsid w:val="00C9113F"/>
    <w:rsid w:val="00C91FFF"/>
    <w:rsid w:val="00C9200C"/>
    <w:rsid w:val="00C92117"/>
    <w:rsid w:val="00C92D23"/>
    <w:rsid w:val="00C93DF4"/>
    <w:rsid w:val="00C94328"/>
    <w:rsid w:val="00C94BDB"/>
    <w:rsid w:val="00C959E2"/>
    <w:rsid w:val="00C95F2E"/>
    <w:rsid w:val="00C974E9"/>
    <w:rsid w:val="00C97697"/>
    <w:rsid w:val="00CA0318"/>
    <w:rsid w:val="00CA1583"/>
    <w:rsid w:val="00CA1D40"/>
    <w:rsid w:val="00CA33A7"/>
    <w:rsid w:val="00CA3918"/>
    <w:rsid w:val="00CA4286"/>
    <w:rsid w:val="00CA51AD"/>
    <w:rsid w:val="00CA66F6"/>
    <w:rsid w:val="00CA7FE8"/>
    <w:rsid w:val="00CB020C"/>
    <w:rsid w:val="00CB0219"/>
    <w:rsid w:val="00CB053D"/>
    <w:rsid w:val="00CB0916"/>
    <w:rsid w:val="00CB127C"/>
    <w:rsid w:val="00CB1B48"/>
    <w:rsid w:val="00CB1B5F"/>
    <w:rsid w:val="00CB1ECE"/>
    <w:rsid w:val="00CB2134"/>
    <w:rsid w:val="00CB23B3"/>
    <w:rsid w:val="00CB37D6"/>
    <w:rsid w:val="00CB3934"/>
    <w:rsid w:val="00CB4436"/>
    <w:rsid w:val="00CB46B6"/>
    <w:rsid w:val="00CB4809"/>
    <w:rsid w:val="00CB5362"/>
    <w:rsid w:val="00CB5B1D"/>
    <w:rsid w:val="00CB6982"/>
    <w:rsid w:val="00CB6D74"/>
    <w:rsid w:val="00CC1007"/>
    <w:rsid w:val="00CC170B"/>
    <w:rsid w:val="00CC1CA7"/>
    <w:rsid w:val="00CC1DE1"/>
    <w:rsid w:val="00CC26EA"/>
    <w:rsid w:val="00CC2806"/>
    <w:rsid w:val="00CC30D1"/>
    <w:rsid w:val="00CC3EDB"/>
    <w:rsid w:val="00CC426D"/>
    <w:rsid w:val="00CC51D4"/>
    <w:rsid w:val="00CC7BD4"/>
    <w:rsid w:val="00CD173B"/>
    <w:rsid w:val="00CD2901"/>
    <w:rsid w:val="00CD2DA8"/>
    <w:rsid w:val="00CD3389"/>
    <w:rsid w:val="00CD35DF"/>
    <w:rsid w:val="00CD43FF"/>
    <w:rsid w:val="00CD4512"/>
    <w:rsid w:val="00CD7723"/>
    <w:rsid w:val="00CD7EF0"/>
    <w:rsid w:val="00CE0780"/>
    <w:rsid w:val="00CE3143"/>
    <w:rsid w:val="00CE37E9"/>
    <w:rsid w:val="00CE37EF"/>
    <w:rsid w:val="00CE3992"/>
    <w:rsid w:val="00CE463C"/>
    <w:rsid w:val="00CF0355"/>
    <w:rsid w:val="00CF2307"/>
    <w:rsid w:val="00CF3E82"/>
    <w:rsid w:val="00CF4E5B"/>
    <w:rsid w:val="00CF4F4D"/>
    <w:rsid w:val="00CF6098"/>
    <w:rsid w:val="00CF6212"/>
    <w:rsid w:val="00CF7172"/>
    <w:rsid w:val="00CF7E54"/>
    <w:rsid w:val="00D00D1A"/>
    <w:rsid w:val="00D01229"/>
    <w:rsid w:val="00D019FE"/>
    <w:rsid w:val="00D01A2C"/>
    <w:rsid w:val="00D03D3F"/>
    <w:rsid w:val="00D04922"/>
    <w:rsid w:val="00D04B97"/>
    <w:rsid w:val="00D0554D"/>
    <w:rsid w:val="00D06038"/>
    <w:rsid w:val="00D064F8"/>
    <w:rsid w:val="00D06571"/>
    <w:rsid w:val="00D07AE8"/>
    <w:rsid w:val="00D07CDE"/>
    <w:rsid w:val="00D10752"/>
    <w:rsid w:val="00D11CD9"/>
    <w:rsid w:val="00D12A2B"/>
    <w:rsid w:val="00D12E91"/>
    <w:rsid w:val="00D13CD5"/>
    <w:rsid w:val="00D1596D"/>
    <w:rsid w:val="00D15BE5"/>
    <w:rsid w:val="00D21329"/>
    <w:rsid w:val="00D2172D"/>
    <w:rsid w:val="00D22222"/>
    <w:rsid w:val="00D22C9B"/>
    <w:rsid w:val="00D22DEE"/>
    <w:rsid w:val="00D243AD"/>
    <w:rsid w:val="00D24A03"/>
    <w:rsid w:val="00D25306"/>
    <w:rsid w:val="00D261F1"/>
    <w:rsid w:val="00D26E31"/>
    <w:rsid w:val="00D27119"/>
    <w:rsid w:val="00D27F5C"/>
    <w:rsid w:val="00D30F75"/>
    <w:rsid w:val="00D3118A"/>
    <w:rsid w:val="00D3142D"/>
    <w:rsid w:val="00D3177D"/>
    <w:rsid w:val="00D334E5"/>
    <w:rsid w:val="00D34A54"/>
    <w:rsid w:val="00D3500C"/>
    <w:rsid w:val="00D35DC4"/>
    <w:rsid w:val="00D36D95"/>
    <w:rsid w:val="00D37003"/>
    <w:rsid w:val="00D373AE"/>
    <w:rsid w:val="00D40152"/>
    <w:rsid w:val="00D416DB"/>
    <w:rsid w:val="00D418AC"/>
    <w:rsid w:val="00D41E51"/>
    <w:rsid w:val="00D4205F"/>
    <w:rsid w:val="00D43FFC"/>
    <w:rsid w:val="00D44C5F"/>
    <w:rsid w:val="00D44CC2"/>
    <w:rsid w:val="00D46688"/>
    <w:rsid w:val="00D47173"/>
    <w:rsid w:val="00D475C9"/>
    <w:rsid w:val="00D476BA"/>
    <w:rsid w:val="00D47DEA"/>
    <w:rsid w:val="00D47ECA"/>
    <w:rsid w:val="00D5035C"/>
    <w:rsid w:val="00D51B91"/>
    <w:rsid w:val="00D52227"/>
    <w:rsid w:val="00D522A1"/>
    <w:rsid w:val="00D52348"/>
    <w:rsid w:val="00D52DC2"/>
    <w:rsid w:val="00D53AA9"/>
    <w:rsid w:val="00D54079"/>
    <w:rsid w:val="00D54A45"/>
    <w:rsid w:val="00D54DA7"/>
    <w:rsid w:val="00D5543A"/>
    <w:rsid w:val="00D55E4A"/>
    <w:rsid w:val="00D5609A"/>
    <w:rsid w:val="00D5673D"/>
    <w:rsid w:val="00D56BAF"/>
    <w:rsid w:val="00D56FB3"/>
    <w:rsid w:val="00D61C6D"/>
    <w:rsid w:val="00D61F52"/>
    <w:rsid w:val="00D6293D"/>
    <w:rsid w:val="00D629FE"/>
    <w:rsid w:val="00D6369D"/>
    <w:rsid w:val="00D63E79"/>
    <w:rsid w:val="00D64D20"/>
    <w:rsid w:val="00D65007"/>
    <w:rsid w:val="00D65F8B"/>
    <w:rsid w:val="00D670C5"/>
    <w:rsid w:val="00D67499"/>
    <w:rsid w:val="00D675CD"/>
    <w:rsid w:val="00D70750"/>
    <w:rsid w:val="00D71555"/>
    <w:rsid w:val="00D71CF4"/>
    <w:rsid w:val="00D72B4B"/>
    <w:rsid w:val="00D73855"/>
    <w:rsid w:val="00D73DFE"/>
    <w:rsid w:val="00D74CC5"/>
    <w:rsid w:val="00D74FF7"/>
    <w:rsid w:val="00D76707"/>
    <w:rsid w:val="00D77333"/>
    <w:rsid w:val="00D778A0"/>
    <w:rsid w:val="00D779D7"/>
    <w:rsid w:val="00D77BA2"/>
    <w:rsid w:val="00D81375"/>
    <w:rsid w:val="00D82A86"/>
    <w:rsid w:val="00D85346"/>
    <w:rsid w:val="00D85392"/>
    <w:rsid w:val="00D85649"/>
    <w:rsid w:val="00D85B95"/>
    <w:rsid w:val="00D864D2"/>
    <w:rsid w:val="00D86E39"/>
    <w:rsid w:val="00D87347"/>
    <w:rsid w:val="00D87688"/>
    <w:rsid w:val="00D87C52"/>
    <w:rsid w:val="00D87F57"/>
    <w:rsid w:val="00D90969"/>
    <w:rsid w:val="00D90B78"/>
    <w:rsid w:val="00D90D91"/>
    <w:rsid w:val="00D9202F"/>
    <w:rsid w:val="00D9304C"/>
    <w:rsid w:val="00D933EE"/>
    <w:rsid w:val="00D9375D"/>
    <w:rsid w:val="00D93C79"/>
    <w:rsid w:val="00D93E4A"/>
    <w:rsid w:val="00D94D81"/>
    <w:rsid w:val="00D964F9"/>
    <w:rsid w:val="00D96E81"/>
    <w:rsid w:val="00D96FA0"/>
    <w:rsid w:val="00DA0A67"/>
    <w:rsid w:val="00DA16AA"/>
    <w:rsid w:val="00DA175F"/>
    <w:rsid w:val="00DA23BA"/>
    <w:rsid w:val="00DA3418"/>
    <w:rsid w:val="00DA3904"/>
    <w:rsid w:val="00DA406E"/>
    <w:rsid w:val="00DA44BB"/>
    <w:rsid w:val="00DA4871"/>
    <w:rsid w:val="00DA48F0"/>
    <w:rsid w:val="00DA693C"/>
    <w:rsid w:val="00DA6A18"/>
    <w:rsid w:val="00DA6F9A"/>
    <w:rsid w:val="00DB02CE"/>
    <w:rsid w:val="00DB05DA"/>
    <w:rsid w:val="00DB0A4B"/>
    <w:rsid w:val="00DB0F67"/>
    <w:rsid w:val="00DB199A"/>
    <w:rsid w:val="00DB26CC"/>
    <w:rsid w:val="00DB2E0B"/>
    <w:rsid w:val="00DB321F"/>
    <w:rsid w:val="00DB3521"/>
    <w:rsid w:val="00DB4829"/>
    <w:rsid w:val="00DB600D"/>
    <w:rsid w:val="00DB6CEC"/>
    <w:rsid w:val="00DB7BD8"/>
    <w:rsid w:val="00DC43FD"/>
    <w:rsid w:val="00DC4494"/>
    <w:rsid w:val="00DC4C6C"/>
    <w:rsid w:val="00DC50BA"/>
    <w:rsid w:val="00DC526E"/>
    <w:rsid w:val="00DC53F7"/>
    <w:rsid w:val="00DC5E33"/>
    <w:rsid w:val="00DC5E45"/>
    <w:rsid w:val="00DC60EB"/>
    <w:rsid w:val="00DC62B9"/>
    <w:rsid w:val="00DC6C21"/>
    <w:rsid w:val="00DC740E"/>
    <w:rsid w:val="00DC7F2D"/>
    <w:rsid w:val="00DD0E76"/>
    <w:rsid w:val="00DD2186"/>
    <w:rsid w:val="00DD229F"/>
    <w:rsid w:val="00DD27CF"/>
    <w:rsid w:val="00DD282C"/>
    <w:rsid w:val="00DD300E"/>
    <w:rsid w:val="00DD406B"/>
    <w:rsid w:val="00DD4D98"/>
    <w:rsid w:val="00DD4E64"/>
    <w:rsid w:val="00DD51D0"/>
    <w:rsid w:val="00DD5D1A"/>
    <w:rsid w:val="00DD5FE0"/>
    <w:rsid w:val="00DD6146"/>
    <w:rsid w:val="00DD62A9"/>
    <w:rsid w:val="00DD6A58"/>
    <w:rsid w:val="00DD7152"/>
    <w:rsid w:val="00DD7473"/>
    <w:rsid w:val="00DD7479"/>
    <w:rsid w:val="00DD7F0B"/>
    <w:rsid w:val="00DE0DF2"/>
    <w:rsid w:val="00DE145B"/>
    <w:rsid w:val="00DE185D"/>
    <w:rsid w:val="00DE1B9A"/>
    <w:rsid w:val="00DE2071"/>
    <w:rsid w:val="00DE2C2E"/>
    <w:rsid w:val="00DE3288"/>
    <w:rsid w:val="00DE36B0"/>
    <w:rsid w:val="00DE3A6F"/>
    <w:rsid w:val="00DE4962"/>
    <w:rsid w:val="00DE4F78"/>
    <w:rsid w:val="00DE53CF"/>
    <w:rsid w:val="00DE5FC9"/>
    <w:rsid w:val="00DE62D4"/>
    <w:rsid w:val="00DE62DF"/>
    <w:rsid w:val="00DE6652"/>
    <w:rsid w:val="00DE6815"/>
    <w:rsid w:val="00DE6F36"/>
    <w:rsid w:val="00DE74CB"/>
    <w:rsid w:val="00DE7A78"/>
    <w:rsid w:val="00DF010A"/>
    <w:rsid w:val="00DF102C"/>
    <w:rsid w:val="00DF29A0"/>
    <w:rsid w:val="00DF2AFB"/>
    <w:rsid w:val="00DF3471"/>
    <w:rsid w:val="00DF3868"/>
    <w:rsid w:val="00DF58A2"/>
    <w:rsid w:val="00DF6F22"/>
    <w:rsid w:val="00DF6F99"/>
    <w:rsid w:val="00DF74D4"/>
    <w:rsid w:val="00DF7987"/>
    <w:rsid w:val="00DF7F88"/>
    <w:rsid w:val="00DF7FBB"/>
    <w:rsid w:val="00E009A9"/>
    <w:rsid w:val="00E018B4"/>
    <w:rsid w:val="00E02321"/>
    <w:rsid w:val="00E028D2"/>
    <w:rsid w:val="00E02B2E"/>
    <w:rsid w:val="00E04302"/>
    <w:rsid w:val="00E0434B"/>
    <w:rsid w:val="00E04B56"/>
    <w:rsid w:val="00E04B60"/>
    <w:rsid w:val="00E04BA3"/>
    <w:rsid w:val="00E0650B"/>
    <w:rsid w:val="00E077F2"/>
    <w:rsid w:val="00E07940"/>
    <w:rsid w:val="00E10573"/>
    <w:rsid w:val="00E10C7B"/>
    <w:rsid w:val="00E11A8B"/>
    <w:rsid w:val="00E12538"/>
    <w:rsid w:val="00E12E67"/>
    <w:rsid w:val="00E13607"/>
    <w:rsid w:val="00E13651"/>
    <w:rsid w:val="00E13D37"/>
    <w:rsid w:val="00E13D6E"/>
    <w:rsid w:val="00E14740"/>
    <w:rsid w:val="00E14D28"/>
    <w:rsid w:val="00E1678A"/>
    <w:rsid w:val="00E170A1"/>
    <w:rsid w:val="00E17398"/>
    <w:rsid w:val="00E17883"/>
    <w:rsid w:val="00E178C0"/>
    <w:rsid w:val="00E21B86"/>
    <w:rsid w:val="00E21BBC"/>
    <w:rsid w:val="00E21DBD"/>
    <w:rsid w:val="00E22C04"/>
    <w:rsid w:val="00E23470"/>
    <w:rsid w:val="00E2609E"/>
    <w:rsid w:val="00E26F26"/>
    <w:rsid w:val="00E273FA"/>
    <w:rsid w:val="00E2741A"/>
    <w:rsid w:val="00E2796F"/>
    <w:rsid w:val="00E30130"/>
    <w:rsid w:val="00E3207D"/>
    <w:rsid w:val="00E321DD"/>
    <w:rsid w:val="00E3302D"/>
    <w:rsid w:val="00E334A9"/>
    <w:rsid w:val="00E33EB7"/>
    <w:rsid w:val="00E33F9B"/>
    <w:rsid w:val="00E3417B"/>
    <w:rsid w:val="00E34C05"/>
    <w:rsid w:val="00E35030"/>
    <w:rsid w:val="00E356A2"/>
    <w:rsid w:val="00E3576F"/>
    <w:rsid w:val="00E35984"/>
    <w:rsid w:val="00E36594"/>
    <w:rsid w:val="00E36AB8"/>
    <w:rsid w:val="00E37061"/>
    <w:rsid w:val="00E374A1"/>
    <w:rsid w:val="00E4084E"/>
    <w:rsid w:val="00E409FB"/>
    <w:rsid w:val="00E41A16"/>
    <w:rsid w:val="00E42D2D"/>
    <w:rsid w:val="00E43445"/>
    <w:rsid w:val="00E4413E"/>
    <w:rsid w:val="00E4521D"/>
    <w:rsid w:val="00E45324"/>
    <w:rsid w:val="00E45931"/>
    <w:rsid w:val="00E45A8C"/>
    <w:rsid w:val="00E45D5F"/>
    <w:rsid w:val="00E47306"/>
    <w:rsid w:val="00E4745D"/>
    <w:rsid w:val="00E47C02"/>
    <w:rsid w:val="00E502AE"/>
    <w:rsid w:val="00E50554"/>
    <w:rsid w:val="00E505D9"/>
    <w:rsid w:val="00E5067E"/>
    <w:rsid w:val="00E506A6"/>
    <w:rsid w:val="00E52BAC"/>
    <w:rsid w:val="00E530A7"/>
    <w:rsid w:val="00E53114"/>
    <w:rsid w:val="00E53B71"/>
    <w:rsid w:val="00E555B1"/>
    <w:rsid w:val="00E5649C"/>
    <w:rsid w:val="00E56E71"/>
    <w:rsid w:val="00E571CB"/>
    <w:rsid w:val="00E5729D"/>
    <w:rsid w:val="00E60A6F"/>
    <w:rsid w:val="00E61165"/>
    <w:rsid w:val="00E62C3B"/>
    <w:rsid w:val="00E62FE2"/>
    <w:rsid w:val="00E642FB"/>
    <w:rsid w:val="00E6637F"/>
    <w:rsid w:val="00E66E53"/>
    <w:rsid w:val="00E6717D"/>
    <w:rsid w:val="00E6718E"/>
    <w:rsid w:val="00E6749B"/>
    <w:rsid w:val="00E72074"/>
    <w:rsid w:val="00E72BE1"/>
    <w:rsid w:val="00E72F34"/>
    <w:rsid w:val="00E735A1"/>
    <w:rsid w:val="00E74534"/>
    <w:rsid w:val="00E7634B"/>
    <w:rsid w:val="00E769DC"/>
    <w:rsid w:val="00E7754C"/>
    <w:rsid w:val="00E7786B"/>
    <w:rsid w:val="00E801E9"/>
    <w:rsid w:val="00E807B6"/>
    <w:rsid w:val="00E80B9E"/>
    <w:rsid w:val="00E80F0E"/>
    <w:rsid w:val="00E81406"/>
    <w:rsid w:val="00E815CC"/>
    <w:rsid w:val="00E82E34"/>
    <w:rsid w:val="00E82FDE"/>
    <w:rsid w:val="00E83607"/>
    <w:rsid w:val="00E83E15"/>
    <w:rsid w:val="00E8589B"/>
    <w:rsid w:val="00E85E5A"/>
    <w:rsid w:val="00E86871"/>
    <w:rsid w:val="00E86BD7"/>
    <w:rsid w:val="00E86D0C"/>
    <w:rsid w:val="00E90BDB"/>
    <w:rsid w:val="00E91929"/>
    <w:rsid w:val="00E91DA7"/>
    <w:rsid w:val="00E92045"/>
    <w:rsid w:val="00E92B50"/>
    <w:rsid w:val="00E93145"/>
    <w:rsid w:val="00E939BF"/>
    <w:rsid w:val="00E94127"/>
    <w:rsid w:val="00E94BAC"/>
    <w:rsid w:val="00E96077"/>
    <w:rsid w:val="00E970EB"/>
    <w:rsid w:val="00E976D1"/>
    <w:rsid w:val="00EA0956"/>
    <w:rsid w:val="00EA0D47"/>
    <w:rsid w:val="00EA1F32"/>
    <w:rsid w:val="00EA2A09"/>
    <w:rsid w:val="00EA3C25"/>
    <w:rsid w:val="00EA4220"/>
    <w:rsid w:val="00EA55A8"/>
    <w:rsid w:val="00EA694F"/>
    <w:rsid w:val="00EA7898"/>
    <w:rsid w:val="00EA7AD3"/>
    <w:rsid w:val="00EA7ECA"/>
    <w:rsid w:val="00EB0147"/>
    <w:rsid w:val="00EB0494"/>
    <w:rsid w:val="00EB0711"/>
    <w:rsid w:val="00EB1B0D"/>
    <w:rsid w:val="00EB34A9"/>
    <w:rsid w:val="00EB3A3E"/>
    <w:rsid w:val="00EB3C5D"/>
    <w:rsid w:val="00EB454D"/>
    <w:rsid w:val="00EB4FB3"/>
    <w:rsid w:val="00EB662C"/>
    <w:rsid w:val="00EB66E9"/>
    <w:rsid w:val="00EB711D"/>
    <w:rsid w:val="00EB7AD5"/>
    <w:rsid w:val="00EC2DBF"/>
    <w:rsid w:val="00EC39D4"/>
    <w:rsid w:val="00EC4B3A"/>
    <w:rsid w:val="00EC4F15"/>
    <w:rsid w:val="00EC6E70"/>
    <w:rsid w:val="00EC7C2E"/>
    <w:rsid w:val="00ED05F0"/>
    <w:rsid w:val="00ED1905"/>
    <w:rsid w:val="00ED1989"/>
    <w:rsid w:val="00ED2F6B"/>
    <w:rsid w:val="00ED3FB5"/>
    <w:rsid w:val="00ED4E01"/>
    <w:rsid w:val="00ED51F5"/>
    <w:rsid w:val="00ED59CD"/>
    <w:rsid w:val="00ED60CD"/>
    <w:rsid w:val="00ED68DB"/>
    <w:rsid w:val="00ED6AD3"/>
    <w:rsid w:val="00ED6CA0"/>
    <w:rsid w:val="00EE13F6"/>
    <w:rsid w:val="00EE15CA"/>
    <w:rsid w:val="00EE2135"/>
    <w:rsid w:val="00EE2C04"/>
    <w:rsid w:val="00EE34F6"/>
    <w:rsid w:val="00EE49DB"/>
    <w:rsid w:val="00EE5570"/>
    <w:rsid w:val="00EE6DAE"/>
    <w:rsid w:val="00EE6EB4"/>
    <w:rsid w:val="00EE71AE"/>
    <w:rsid w:val="00EE7742"/>
    <w:rsid w:val="00EE7BAE"/>
    <w:rsid w:val="00EE7FB4"/>
    <w:rsid w:val="00EF0F37"/>
    <w:rsid w:val="00EF1953"/>
    <w:rsid w:val="00EF263D"/>
    <w:rsid w:val="00EF2ACB"/>
    <w:rsid w:val="00EF2E38"/>
    <w:rsid w:val="00EF31F8"/>
    <w:rsid w:val="00EF3E8A"/>
    <w:rsid w:val="00EF418E"/>
    <w:rsid w:val="00EF48F1"/>
    <w:rsid w:val="00EF4C38"/>
    <w:rsid w:val="00EF4D41"/>
    <w:rsid w:val="00EF5358"/>
    <w:rsid w:val="00EF5661"/>
    <w:rsid w:val="00EF6430"/>
    <w:rsid w:val="00EF7CAA"/>
    <w:rsid w:val="00F009F0"/>
    <w:rsid w:val="00F00F37"/>
    <w:rsid w:val="00F00FF2"/>
    <w:rsid w:val="00F01863"/>
    <w:rsid w:val="00F0250D"/>
    <w:rsid w:val="00F0309B"/>
    <w:rsid w:val="00F03411"/>
    <w:rsid w:val="00F04798"/>
    <w:rsid w:val="00F047F3"/>
    <w:rsid w:val="00F05430"/>
    <w:rsid w:val="00F05551"/>
    <w:rsid w:val="00F0613C"/>
    <w:rsid w:val="00F06291"/>
    <w:rsid w:val="00F0683E"/>
    <w:rsid w:val="00F07773"/>
    <w:rsid w:val="00F079E1"/>
    <w:rsid w:val="00F1172C"/>
    <w:rsid w:val="00F117E2"/>
    <w:rsid w:val="00F11852"/>
    <w:rsid w:val="00F118FD"/>
    <w:rsid w:val="00F12E90"/>
    <w:rsid w:val="00F12F14"/>
    <w:rsid w:val="00F134A7"/>
    <w:rsid w:val="00F134C1"/>
    <w:rsid w:val="00F1352C"/>
    <w:rsid w:val="00F137CD"/>
    <w:rsid w:val="00F1393A"/>
    <w:rsid w:val="00F13B20"/>
    <w:rsid w:val="00F13DE5"/>
    <w:rsid w:val="00F143EB"/>
    <w:rsid w:val="00F14461"/>
    <w:rsid w:val="00F15195"/>
    <w:rsid w:val="00F15C1F"/>
    <w:rsid w:val="00F15DB0"/>
    <w:rsid w:val="00F21189"/>
    <w:rsid w:val="00F2140A"/>
    <w:rsid w:val="00F21795"/>
    <w:rsid w:val="00F21C42"/>
    <w:rsid w:val="00F229C6"/>
    <w:rsid w:val="00F22F30"/>
    <w:rsid w:val="00F2305C"/>
    <w:rsid w:val="00F2328A"/>
    <w:rsid w:val="00F236B6"/>
    <w:rsid w:val="00F23A19"/>
    <w:rsid w:val="00F24C6F"/>
    <w:rsid w:val="00F24FBA"/>
    <w:rsid w:val="00F251A9"/>
    <w:rsid w:val="00F27446"/>
    <w:rsid w:val="00F306A8"/>
    <w:rsid w:val="00F30A54"/>
    <w:rsid w:val="00F31089"/>
    <w:rsid w:val="00F3196C"/>
    <w:rsid w:val="00F33220"/>
    <w:rsid w:val="00F3339E"/>
    <w:rsid w:val="00F3569F"/>
    <w:rsid w:val="00F3618F"/>
    <w:rsid w:val="00F364D2"/>
    <w:rsid w:val="00F36991"/>
    <w:rsid w:val="00F37217"/>
    <w:rsid w:val="00F376F0"/>
    <w:rsid w:val="00F4042C"/>
    <w:rsid w:val="00F4053D"/>
    <w:rsid w:val="00F40CBA"/>
    <w:rsid w:val="00F42D76"/>
    <w:rsid w:val="00F43808"/>
    <w:rsid w:val="00F4495A"/>
    <w:rsid w:val="00F44F54"/>
    <w:rsid w:val="00F4562E"/>
    <w:rsid w:val="00F45EC2"/>
    <w:rsid w:val="00F4612F"/>
    <w:rsid w:val="00F47A9E"/>
    <w:rsid w:val="00F50774"/>
    <w:rsid w:val="00F527C0"/>
    <w:rsid w:val="00F529CE"/>
    <w:rsid w:val="00F543E8"/>
    <w:rsid w:val="00F555B6"/>
    <w:rsid w:val="00F56110"/>
    <w:rsid w:val="00F5620F"/>
    <w:rsid w:val="00F56332"/>
    <w:rsid w:val="00F5697D"/>
    <w:rsid w:val="00F6062E"/>
    <w:rsid w:val="00F60925"/>
    <w:rsid w:val="00F610E9"/>
    <w:rsid w:val="00F61C37"/>
    <w:rsid w:val="00F63672"/>
    <w:rsid w:val="00F63C38"/>
    <w:rsid w:val="00F656B1"/>
    <w:rsid w:val="00F65EE2"/>
    <w:rsid w:val="00F66D9E"/>
    <w:rsid w:val="00F67954"/>
    <w:rsid w:val="00F70C4B"/>
    <w:rsid w:val="00F70F78"/>
    <w:rsid w:val="00F717B8"/>
    <w:rsid w:val="00F72EF8"/>
    <w:rsid w:val="00F7463E"/>
    <w:rsid w:val="00F74A6C"/>
    <w:rsid w:val="00F74A8F"/>
    <w:rsid w:val="00F75719"/>
    <w:rsid w:val="00F767C6"/>
    <w:rsid w:val="00F77079"/>
    <w:rsid w:val="00F77E90"/>
    <w:rsid w:val="00F81BB6"/>
    <w:rsid w:val="00F82ACF"/>
    <w:rsid w:val="00F82BD6"/>
    <w:rsid w:val="00F82E17"/>
    <w:rsid w:val="00F82F40"/>
    <w:rsid w:val="00F8354D"/>
    <w:rsid w:val="00F83ACB"/>
    <w:rsid w:val="00F84FC4"/>
    <w:rsid w:val="00F85BF8"/>
    <w:rsid w:val="00F8742D"/>
    <w:rsid w:val="00F90047"/>
    <w:rsid w:val="00F90D06"/>
    <w:rsid w:val="00F9112C"/>
    <w:rsid w:val="00F91151"/>
    <w:rsid w:val="00F91311"/>
    <w:rsid w:val="00F91570"/>
    <w:rsid w:val="00F91BF0"/>
    <w:rsid w:val="00F91D92"/>
    <w:rsid w:val="00F9290D"/>
    <w:rsid w:val="00F941B3"/>
    <w:rsid w:val="00F94316"/>
    <w:rsid w:val="00F94A64"/>
    <w:rsid w:val="00F94C5D"/>
    <w:rsid w:val="00F9555D"/>
    <w:rsid w:val="00F96530"/>
    <w:rsid w:val="00F96DD4"/>
    <w:rsid w:val="00FA039D"/>
    <w:rsid w:val="00FA1454"/>
    <w:rsid w:val="00FA1990"/>
    <w:rsid w:val="00FA308C"/>
    <w:rsid w:val="00FA32F1"/>
    <w:rsid w:val="00FA39BD"/>
    <w:rsid w:val="00FA4262"/>
    <w:rsid w:val="00FA4FB5"/>
    <w:rsid w:val="00FA5931"/>
    <w:rsid w:val="00FA5E82"/>
    <w:rsid w:val="00FA5FE9"/>
    <w:rsid w:val="00FA609E"/>
    <w:rsid w:val="00FA7235"/>
    <w:rsid w:val="00FA7B17"/>
    <w:rsid w:val="00FA7E66"/>
    <w:rsid w:val="00FB0215"/>
    <w:rsid w:val="00FB0419"/>
    <w:rsid w:val="00FB1609"/>
    <w:rsid w:val="00FB24C8"/>
    <w:rsid w:val="00FB379A"/>
    <w:rsid w:val="00FB3865"/>
    <w:rsid w:val="00FB3CA4"/>
    <w:rsid w:val="00FB3CE6"/>
    <w:rsid w:val="00FB45E1"/>
    <w:rsid w:val="00FB47FF"/>
    <w:rsid w:val="00FB5042"/>
    <w:rsid w:val="00FB5210"/>
    <w:rsid w:val="00FB54BB"/>
    <w:rsid w:val="00FB63F2"/>
    <w:rsid w:val="00FB6ADA"/>
    <w:rsid w:val="00FB6E91"/>
    <w:rsid w:val="00FB73AF"/>
    <w:rsid w:val="00FC0618"/>
    <w:rsid w:val="00FC1056"/>
    <w:rsid w:val="00FC184A"/>
    <w:rsid w:val="00FC24AA"/>
    <w:rsid w:val="00FC2A4E"/>
    <w:rsid w:val="00FC2E62"/>
    <w:rsid w:val="00FC3605"/>
    <w:rsid w:val="00FC3690"/>
    <w:rsid w:val="00FC377D"/>
    <w:rsid w:val="00FC445E"/>
    <w:rsid w:val="00FC5D33"/>
    <w:rsid w:val="00FC6E97"/>
    <w:rsid w:val="00FC7651"/>
    <w:rsid w:val="00FC76A2"/>
    <w:rsid w:val="00FC7F81"/>
    <w:rsid w:val="00FD0F18"/>
    <w:rsid w:val="00FD100E"/>
    <w:rsid w:val="00FD107D"/>
    <w:rsid w:val="00FD1BE5"/>
    <w:rsid w:val="00FD3BFB"/>
    <w:rsid w:val="00FD3F6B"/>
    <w:rsid w:val="00FD44FF"/>
    <w:rsid w:val="00FD47B2"/>
    <w:rsid w:val="00FD4C65"/>
    <w:rsid w:val="00FD4ED6"/>
    <w:rsid w:val="00FD5F5A"/>
    <w:rsid w:val="00FD718F"/>
    <w:rsid w:val="00FD77E9"/>
    <w:rsid w:val="00FD78CC"/>
    <w:rsid w:val="00FE1A82"/>
    <w:rsid w:val="00FE1E07"/>
    <w:rsid w:val="00FE2F41"/>
    <w:rsid w:val="00FE3664"/>
    <w:rsid w:val="00FE3D1F"/>
    <w:rsid w:val="00FE3E3E"/>
    <w:rsid w:val="00FE453B"/>
    <w:rsid w:val="00FE4901"/>
    <w:rsid w:val="00FE6935"/>
    <w:rsid w:val="00FE6BD1"/>
    <w:rsid w:val="00FE722D"/>
    <w:rsid w:val="00FE7236"/>
    <w:rsid w:val="00FE72D0"/>
    <w:rsid w:val="00FE7C27"/>
    <w:rsid w:val="00FF0970"/>
    <w:rsid w:val="00FF0E2A"/>
    <w:rsid w:val="00FF1C96"/>
    <w:rsid w:val="00FF1E48"/>
    <w:rsid w:val="00FF204C"/>
    <w:rsid w:val="00FF25DF"/>
    <w:rsid w:val="00FF2D62"/>
    <w:rsid w:val="00FF3A68"/>
    <w:rsid w:val="00FF41C9"/>
    <w:rsid w:val="00FF43B9"/>
    <w:rsid w:val="00FF573D"/>
    <w:rsid w:val="00FF5989"/>
    <w:rsid w:val="00FF5A90"/>
    <w:rsid w:val="00FF79C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semiHidden="0" w:uiPriority="0" w:unhideWhenUsed="0" w:qFormat="1"/>
    <w:lsdException w:name="table of figures" w:locked="1" w:semiHidden="0" w:unhideWhenUsed="0"/>
    <w:lsdException w:name="footnote reference"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3C"/>
    <w:rPr>
      <w:szCs w:val="24"/>
      <w:lang w:eastAsia="en-US"/>
    </w:rPr>
  </w:style>
  <w:style w:type="paragraph" w:styleId="Heading1">
    <w:name w:val="heading 1"/>
    <w:basedOn w:val="Normal"/>
    <w:next w:val="BodyText"/>
    <w:link w:val="Heading1Char"/>
    <w:qFormat/>
    <w:rsid w:val="00CC3EDB"/>
    <w:pPr>
      <w:keepNext/>
      <w:numPr>
        <w:numId w:val="3"/>
      </w:numPr>
      <w:pBdr>
        <w:bottom w:val="single" w:sz="12" w:space="1" w:color="347FB9"/>
      </w:pBdr>
      <w:spacing w:after="360"/>
      <w:outlineLvl w:val="0"/>
    </w:pPr>
    <w:rPr>
      <w:rFonts w:ascii="Arial" w:hAnsi="Arial"/>
      <w:caps/>
      <w:sz w:val="32"/>
    </w:rPr>
  </w:style>
  <w:style w:type="paragraph" w:styleId="Heading2">
    <w:name w:val="heading 2"/>
    <w:basedOn w:val="Normal"/>
    <w:next w:val="BodyText"/>
    <w:link w:val="Heading2Char"/>
    <w:qFormat/>
    <w:rsid w:val="00B22C11"/>
    <w:pPr>
      <w:keepNext/>
      <w:numPr>
        <w:ilvl w:val="1"/>
        <w:numId w:val="3"/>
      </w:numPr>
      <w:tabs>
        <w:tab w:val="clear" w:pos="6379"/>
        <w:tab w:val="num" w:pos="567"/>
        <w:tab w:val="num" w:pos="851"/>
      </w:tabs>
      <w:spacing w:before="240" w:after="240" w:line="260" w:lineRule="atLeast"/>
      <w:ind w:left="567"/>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link w:val="Heading4Char"/>
    <w:uiPriority w:val="99"/>
    <w:qFormat/>
    <w:rsid w:val="00B83046"/>
    <w:pPr>
      <w:keepNext/>
      <w:spacing w:before="120" w:after="0"/>
      <w:outlineLvl w:val="3"/>
    </w:pPr>
    <w:rPr>
      <w:b/>
    </w:rPr>
  </w:style>
  <w:style w:type="paragraph" w:styleId="Heading9">
    <w:name w:val="heading 9"/>
    <w:basedOn w:val="Normal"/>
    <w:link w:val="Heading9Char"/>
    <w:uiPriority w:val="99"/>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1B38"/>
    <w:rPr>
      <w:rFonts w:ascii="Arial" w:hAnsi="Arial"/>
      <w:caps/>
      <w:sz w:val="32"/>
      <w:szCs w:val="24"/>
      <w:lang w:eastAsia="en-US"/>
    </w:rPr>
  </w:style>
  <w:style w:type="character" w:customStyle="1" w:styleId="Heading2Char">
    <w:name w:val="Heading 2 Char"/>
    <w:basedOn w:val="DefaultParagraphFont"/>
    <w:link w:val="Heading2"/>
    <w:uiPriority w:val="99"/>
    <w:rsid w:val="00E5282E"/>
    <w:rPr>
      <w:rFonts w:ascii="Arial" w:hAnsi="Arial"/>
      <w:sz w:val="28"/>
      <w:szCs w:val="28"/>
      <w:lang w:eastAsia="en-US"/>
    </w:rPr>
  </w:style>
  <w:style w:type="character" w:customStyle="1" w:styleId="Heading3Char">
    <w:name w:val="Heading 3 Char"/>
    <w:basedOn w:val="DefaultParagraphFont"/>
    <w:link w:val="Heading3"/>
    <w:locked/>
    <w:rsid w:val="00DA4871"/>
    <w:rPr>
      <w:rFonts w:ascii="Arial" w:hAnsi="Arial" w:cs="Times New Roman"/>
      <w:b/>
      <w:sz w:val="24"/>
      <w:szCs w:val="24"/>
      <w:lang w:eastAsia="en-US"/>
    </w:rPr>
  </w:style>
  <w:style w:type="character" w:customStyle="1" w:styleId="Heading4Char">
    <w:name w:val="Heading 4 Char"/>
    <w:basedOn w:val="DefaultParagraphFont"/>
    <w:link w:val="Heading4"/>
    <w:uiPriority w:val="9"/>
    <w:semiHidden/>
    <w:rsid w:val="00E5282E"/>
    <w:rPr>
      <w:rFonts w:asciiTheme="minorHAnsi" w:eastAsiaTheme="minorEastAsia" w:hAnsiTheme="minorHAnsi" w:cstheme="minorBidi"/>
      <w:b/>
      <w:bCs/>
      <w:sz w:val="28"/>
      <w:szCs w:val="28"/>
      <w:lang w:eastAsia="en-US"/>
    </w:rPr>
  </w:style>
  <w:style w:type="character" w:customStyle="1" w:styleId="Heading9Char">
    <w:name w:val="Heading 9 Char"/>
    <w:basedOn w:val="DefaultParagraphFont"/>
    <w:link w:val="Heading9"/>
    <w:uiPriority w:val="9"/>
    <w:semiHidden/>
    <w:rsid w:val="00E5282E"/>
    <w:rPr>
      <w:rFonts w:asciiTheme="majorHAnsi" w:eastAsiaTheme="majorEastAsia" w:hAnsiTheme="majorHAnsi" w:cstheme="majorBidi"/>
      <w:lang w:eastAsia="en-US"/>
    </w:rPr>
  </w:style>
  <w:style w:type="paragraph" w:styleId="BodyText">
    <w:name w:val="Body Text"/>
    <w:basedOn w:val="Normal"/>
    <w:link w:val="BodyTextChar"/>
    <w:rsid w:val="00BB72D9"/>
    <w:pPr>
      <w:spacing w:after="240" w:line="260" w:lineRule="atLeast"/>
      <w:jc w:val="both"/>
    </w:pPr>
    <w:rPr>
      <w:szCs w:val="20"/>
    </w:rPr>
  </w:style>
  <w:style w:type="character" w:customStyle="1" w:styleId="BodyTextChar">
    <w:name w:val="Body Text Char"/>
    <w:basedOn w:val="DefaultParagraphFont"/>
    <w:link w:val="BodyText"/>
    <w:locked/>
    <w:rsid w:val="006C2A5A"/>
    <w:rPr>
      <w:rFonts w:cs="Times New Roman"/>
      <w:sz w:val="22"/>
      <w:lang w:eastAsia="en-US"/>
    </w:rPr>
  </w:style>
  <w:style w:type="paragraph" w:customStyle="1" w:styleId="Bullet2nospace">
    <w:name w:val="Bullet 2 no space"/>
    <w:basedOn w:val="Bullet1"/>
    <w:uiPriority w:val="99"/>
    <w:rsid w:val="00E21B86"/>
    <w:pPr>
      <w:spacing w:after="0"/>
    </w:pPr>
  </w:style>
  <w:style w:type="paragraph" w:customStyle="1" w:styleId="Bullet1">
    <w:name w:val="Bullet 1"/>
    <w:basedOn w:val="BodyText"/>
    <w:rsid w:val="00411B40"/>
    <w:pPr>
      <w:numPr>
        <w:numId w:val="4"/>
      </w:numPr>
      <w:tabs>
        <w:tab w:val="clear" w:pos="1134"/>
        <w:tab w:val="left" w:pos="284"/>
      </w:tabs>
      <w:ind w:left="284" w:hanging="284"/>
    </w:pPr>
  </w:style>
  <w:style w:type="paragraph" w:styleId="Footer">
    <w:name w:val="footer"/>
    <w:basedOn w:val="Normal"/>
    <w:link w:val="FooterChar"/>
    <w:uiPriority w:val="99"/>
    <w:rsid w:val="00995115"/>
    <w:pPr>
      <w:tabs>
        <w:tab w:val="center" w:pos="4153"/>
        <w:tab w:val="right" w:pos="8306"/>
      </w:tabs>
    </w:pPr>
  </w:style>
  <w:style w:type="character" w:customStyle="1" w:styleId="FooterChar">
    <w:name w:val="Footer Char"/>
    <w:basedOn w:val="DefaultParagraphFont"/>
    <w:link w:val="Footer"/>
    <w:uiPriority w:val="99"/>
    <w:semiHidden/>
    <w:rsid w:val="00E5282E"/>
    <w:rPr>
      <w:szCs w:val="24"/>
      <w:lang w:eastAsia="en-US"/>
    </w:rPr>
  </w:style>
  <w:style w:type="paragraph" w:styleId="FootnoteText">
    <w:name w:val="footnote text"/>
    <w:basedOn w:val="Normal"/>
    <w:link w:val="FootnoteTextChar"/>
    <w:uiPriority w:val="99"/>
    <w:rsid w:val="009A016F"/>
    <w:rPr>
      <w:sz w:val="14"/>
      <w:szCs w:val="20"/>
    </w:rPr>
  </w:style>
  <w:style w:type="character" w:customStyle="1" w:styleId="FootnoteTextChar">
    <w:name w:val="Footnote Text Char"/>
    <w:basedOn w:val="DefaultParagraphFont"/>
    <w:link w:val="FootnoteText"/>
    <w:uiPriority w:val="99"/>
    <w:locked/>
    <w:rsid w:val="00355D19"/>
    <w:rPr>
      <w:rFonts w:cs="Times New Roman"/>
      <w:sz w:val="14"/>
      <w:lang w:eastAsia="en-US"/>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customStyle="1" w:styleId="HeaderChar">
    <w:name w:val="Header Char"/>
    <w:basedOn w:val="DefaultParagraphFont"/>
    <w:link w:val="Header"/>
    <w:uiPriority w:val="99"/>
    <w:semiHidden/>
    <w:rsid w:val="00E5282E"/>
    <w:rPr>
      <w:szCs w:val="24"/>
      <w:lang w:eastAsia="en-US"/>
    </w:rPr>
  </w:style>
  <w:style w:type="character" w:styleId="Hyperlink">
    <w:name w:val="Hyperlink"/>
    <w:basedOn w:val="DefaultParagraphFont"/>
    <w:uiPriority w:val="99"/>
    <w:rsid w:val="00922D80"/>
    <w:rPr>
      <w:rFonts w:cs="Times New Roman"/>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uiPriority w:val="99"/>
    <w:rsid w:val="00433E27"/>
    <w:pPr>
      <w:jc w:val="right"/>
    </w:pPr>
    <w:rPr>
      <w:rFonts w:ascii="Arial" w:hAnsi="Arial"/>
      <w:sz w:val="20"/>
      <w:szCs w:val="20"/>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rPr>
        <w:rFonts w:cs="Times New Roman"/>
      </w:rPr>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rPr>
        <w:rFonts w:cs="Times New Roman"/>
      </w:rPr>
    </w:tblStylePr>
    <w:tblStylePr w:type="band1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table" w:styleId="TableGrid">
    <w:name w:val="Table Grid"/>
    <w:basedOn w:val="TableNormal"/>
    <w:uiPriority w:val="99"/>
    <w:rsid w:val="00D22D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D22DEE"/>
    <w:rPr>
      <w:rFonts w:cs="Times New Roman"/>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uiPriority w:val="99"/>
    <w:semiHidden/>
    <w:rsid w:val="009930F4"/>
    <w:rPr>
      <w:rFonts w:ascii="Arial" w:hAnsi="Arial" w:cs="Times New Roman"/>
      <w:sz w:val="18"/>
    </w:rPr>
  </w:style>
  <w:style w:type="paragraph" w:customStyle="1" w:styleId="Tabletext">
    <w:name w:val="Table text"/>
    <w:basedOn w:val="Normal"/>
    <w:uiPriority w:val="99"/>
    <w:rsid w:val="00F45EC2"/>
    <w:pPr>
      <w:spacing w:line="220" w:lineRule="atLeast"/>
    </w:pPr>
    <w:rPr>
      <w:rFonts w:ascii="Arial" w:hAnsi="Arial"/>
      <w:sz w:val="15"/>
    </w:rPr>
  </w:style>
  <w:style w:type="paragraph" w:styleId="BalloonText">
    <w:name w:val="Balloon Text"/>
    <w:basedOn w:val="Normal"/>
    <w:link w:val="BalloonTextChar"/>
    <w:uiPriority w:val="99"/>
    <w:semiHidden/>
    <w:rsid w:val="00D22DEE"/>
    <w:rPr>
      <w:rFonts w:cs="Tahoma"/>
      <w:sz w:val="16"/>
      <w:szCs w:val="16"/>
    </w:rPr>
  </w:style>
  <w:style w:type="character" w:customStyle="1" w:styleId="BalloonTextChar">
    <w:name w:val="Balloon Text Char"/>
    <w:basedOn w:val="DefaultParagraphFont"/>
    <w:link w:val="BalloonText"/>
    <w:uiPriority w:val="99"/>
    <w:semiHidden/>
    <w:rsid w:val="00E5282E"/>
    <w:rPr>
      <w:sz w:val="0"/>
      <w:szCs w:val="0"/>
      <w:lang w:eastAsia="en-US"/>
    </w:rPr>
  </w:style>
  <w:style w:type="paragraph" w:customStyle="1" w:styleId="Tableheading">
    <w:name w:val="Table heading"/>
    <w:basedOn w:val="Tabletext"/>
    <w:uiPriority w:val="99"/>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B22C11"/>
    <w:pPr>
      <w:spacing w:before="120" w:after="240" w:line="180" w:lineRule="atLeast"/>
    </w:pPr>
    <w:rPr>
      <w:rFonts w:ascii="Arial" w:hAnsi="Arial"/>
      <w:sz w:val="14"/>
    </w:rPr>
  </w:style>
  <w:style w:type="paragraph" w:customStyle="1" w:styleId="Bullet1a">
    <w:name w:val="Bullet 1a"/>
    <w:basedOn w:val="Bullet1"/>
    <w:uiPriority w:val="99"/>
    <w:rsid w:val="00315AFE"/>
    <w:pPr>
      <w:tabs>
        <w:tab w:val="left" w:pos="567"/>
      </w:tabs>
      <w:ind w:left="568"/>
    </w:pPr>
  </w:style>
  <w:style w:type="paragraph" w:customStyle="1" w:styleId="Figurelabel">
    <w:name w:val="Figure label"/>
    <w:basedOn w:val="Caption"/>
    <w:next w:val="BodyText"/>
    <w:link w:val="FigurelabelChar"/>
    <w:rsid w:val="009A7099"/>
    <w:pPr>
      <w:spacing w:after="120"/>
    </w:pPr>
    <w:rPr>
      <w:b w:val="0"/>
    </w:rPr>
  </w:style>
  <w:style w:type="paragraph" w:customStyle="1" w:styleId="Referencetext">
    <w:name w:val="Reference text"/>
    <w:basedOn w:val="BodyText"/>
    <w:qFormat/>
    <w:rsid w:val="00D22DEE"/>
  </w:style>
  <w:style w:type="paragraph" w:styleId="Title">
    <w:name w:val="Title"/>
    <w:basedOn w:val="Normal"/>
    <w:link w:val="TitleChar"/>
    <w:uiPriority w:val="99"/>
    <w:qFormat/>
    <w:rsid w:val="004D7EC6"/>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uiPriority w:val="10"/>
    <w:rsid w:val="00E5282E"/>
    <w:rPr>
      <w:rFonts w:asciiTheme="majorHAnsi" w:eastAsiaTheme="majorEastAsia" w:hAnsiTheme="majorHAnsi" w:cstheme="majorBidi"/>
      <w:b/>
      <w:bCs/>
      <w:kern w:val="28"/>
      <w:sz w:val="32"/>
      <w:szCs w:val="32"/>
      <w:lang w:eastAsia="en-US"/>
    </w:rPr>
  </w:style>
  <w:style w:type="paragraph" w:customStyle="1" w:styleId="Insidecover">
    <w:name w:val="Inside cover"/>
    <w:basedOn w:val="Normal"/>
    <w:uiPriority w:val="99"/>
    <w:rsid w:val="004D1E17"/>
    <w:pPr>
      <w:ind w:left="-284"/>
    </w:pPr>
    <w:rPr>
      <w:rFonts w:ascii="Arial" w:hAnsi="Arial"/>
      <w:sz w:val="18"/>
    </w:rPr>
  </w:style>
  <w:style w:type="paragraph" w:customStyle="1" w:styleId="Heading">
    <w:name w:val="Heading"/>
    <w:basedOn w:val="Normal"/>
    <w:next w:val="BodyText"/>
    <w:uiPriority w:val="99"/>
    <w:rsid w:val="00CC3EDB"/>
    <w:pPr>
      <w:keepNext/>
      <w:pBdr>
        <w:bottom w:val="single" w:sz="12" w:space="1" w:color="347FB9"/>
      </w:pBdr>
      <w:tabs>
        <w:tab w:val="left" w:pos="567"/>
      </w:tabs>
      <w:spacing w:after="360"/>
    </w:pPr>
    <w:rPr>
      <w:rFonts w:ascii="Arial" w:hAnsi="Arial"/>
      <w:caps/>
      <w:sz w:val="32"/>
    </w:rPr>
  </w:style>
  <w:style w:type="paragraph" w:customStyle="1" w:styleId="Keypointheading">
    <w:name w:val="Key point heading"/>
    <w:basedOn w:val="Normal"/>
    <w:next w:val="Keypointtext"/>
    <w:uiPriority w:val="99"/>
    <w:rsid w:val="007B699A"/>
    <w:pPr>
      <w:spacing w:before="120"/>
    </w:pPr>
    <w:rPr>
      <w:rFonts w:ascii="Arial" w:hAnsi="Arial"/>
      <w:caps/>
      <w:sz w:val="20"/>
    </w:rPr>
  </w:style>
  <w:style w:type="paragraph" w:customStyle="1" w:styleId="FooterEvenPage">
    <w:name w:val="Footer Even Page"/>
    <w:basedOn w:val="FooterOddPage"/>
    <w:uiPriority w:val="99"/>
    <w:rsid w:val="00D04922"/>
    <w:pPr>
      <w:ind w:left="851" w:right="0"/>
      <w:jc w:val="left"/>
    </w:pPr>
  </w:style>
  <w:style w:type="paragraph" w:customStyle="1" w:styleId="FooterOddPage">
    <w:name w:val="Footer Odd Page"/>
    <w:basedOn w:val="Normal"/>
    <w:uiPriority w:val="99"/>
    <w:rsid w:val="00995115"/>
    <w:pPr>
      <w:spacing w:line="200" w:lineRule="atLeast"/>
      <w:ind w:right="851"/>
      <w:jc w:val="right"/>
    </w:pPr>
    <w:rPr>
      <w:rFonts w:ascii="Arial" w:hAnsi="Arial"/>
      <w:sz w:val="16"/>
      <w:szCs w:val="18"/>
    </w:rPr>
  </w:style>
  <w:style w:type="paragraph" w:customStyle="1" w:styleId="Figure-Table">
    <w:name w:val="Figure-Table #"/>
    <w:basedOn w:val="Normal"/>
    <w:uiPriority w:val="99"/>
    <w:rsid w:val="009A33C6"/>
    <w:pPr>
      <w:spacing w:before="240" w:after="120" w:line="260" w:lineRule="exact"/>
    </w:pPr>
    <w:rPr>
      <w:rFonts w:ascii="Arial" w:hAnsi="Arial" w:cs="Arial"/>
      <w:b/>
      <w:sz w:val="18"/>
    </w:rPr>
  </w:style>
  <w:style w:type="paragraph" w:customStyle="1" w:styleId="Tablelabel">
    <w:name w:val="Table label"/>
    <w:basedOn w:val="Caption"/>
    <w:next w:val="Normal"/>
    <w:uiPriority w:val="99"/>
    <w:rsid w:val="009A7099"/>
    <w:pPr>
      <w:spacing w:after="120"/>
    </w:pPr>
    <w:rPr>
      <w:b w:val="0"/>
    </w:rPr>
  </w:style>
  <w:style w:type="paragraph" w:customStyle="1" w:styleId="Bullet2a">
    <w:name w:val="Bullet 2a"/>
    <w:basedOn w:val="Bullet2nospace"/>
    <w:uiPriority w:val="99"/>
    <w:rsid w:val="00315AFE"/>
    <w:pPr>
      <w:tabs>
        <w:tab w:val="left" w:pos="567"/>
      </w:tabs>
      <w:ind w:left="568"/>
    </w:pPr>
  </w:style>
  <w:style w:type="table" w:customStyle="1" w:styleId="TableMOE2">
    <w:name w:val="Table MOE 2"/>
    <w:basedOn w:val="TableMOE1"/>
    <w:uiPriority w:val="99"/>
    <w:rsid w:val="00433E27"/>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rPr>
        <w:rFonts w:cs="Times New Roman"/>
      </w:rPr>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2D8EA"/>
      </w:tcPr>
    </w:tblStylePr>
    <w:tblStylePr w:type="firstCol">
      <w:pPr>
        <w:jc w:val="left"/>
      </w:pPr>
      <w:rPr>
        <w:rFonts w:cs="Times New Roman"/>
      </w:rPr>
    </w:tblStylePr>
    <w:tblStylePr w:type="band1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paragraph" w:customStyle="1" w:styleId="Appendix">
    <w:name w:val="Appendix"/>
    <w:basedOn w:val="Heading1"/>
    <w:next w:val="BodyText"/>
    <w:rsid w:val="009D7E1B"/>
    <w:pPr>
      <w:numPr>
        <w:numId w:val="5"/>
      </w:numPr>
      <w:tabs>
        <w:tab w:val="num" w:pos="1134"/>
      </w:tabs>
    </w:pPr>
  </w:style>
  <w:style w:type="table" w:customStyle="1" w:styleId="TableMOE3">
    <w:name w:val="Table MOE 3"/>
    <w:basedOn w:val="TableGrid"/>
    <w:uiPriority w:val="99"/>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Titlesub">
    <w:name w:val="Title sub"/>
    <w:basedOn w:val="Title"/>
    <w:uiPriority w:val="99"/>
    <w:rsid w:val="004D7EC6"/>
    <w:pPr>
      <w:ind w:left="2835"/>
      <w:outlineLvl w:val="1"/>
    </w:pPr>
    <w:rPr>
      <w:i/>
      <w:sz w:val="40"/>
      <w:szCs w:val="40"/>
    </w:rPr>
  </w:style>
  <w:style w:type="paragraph" w:customStyle="1" w:styleId="Headingspaceafter">
    <w:name w:val="Heading (space after)"/>
    <w:basedOn w:val="Heading"/>
    <w:next w:val="BodyText"/>
    <w:uiPriority w:val="99"/>
    <w:rsid w:val="00BB72D9"/>
    <w:pPr>
      <w:spacing w:after="1200"/>
    </w:pPr>
    <w:rPr>
      <w:caps w:val="0"/>
      <w:sz w:val="36"/>
    </w:rPr>
  </w:style>
  <w:style w:type="table" w:customStyle="1" w:styleId="TableMOE4">
    <w:name w:val="Table MOE 4"/>
    <w:basedOn w:val="TableMOE3"/>
    <w:uiPriority w:val="99"/>
    <w:rsid w:val="005B2792"/>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Heading1A">
    <w:name w:val="Heading 1A"/>
    <w:basedOn w:val="Normal"/>
    <w:next w:val="BodyText"/>
    <w:uiPriority w:val="99"/>
    <w:rsid w:val="00CC3EDB"/>
    <w:pPr>
      <w:spacing w:after="240" w:line="260" w:lineRule="atLeast"/>
      <w:jc w:val="both"/>
    </w:pPr>
    <w:rPr>
      <w:rFonts w:ascii="Arial" w:hAnsi="Arial" w:cs="Arial"/>
      <w:color w:val="347FB9"/>
      <w:sz w:val="24"/>
    </w:rPr>
  </w:style>
  <w:style w:type="paragraph" w:customStyle="1" w:styleId="Heading1BnotinTOC">
    <w:name w:val="Heading 1B (not in TOC)"/>
    <w:basedOn w:val="Normal"/>
    <w:next w:val="BodyText"/>
    <w:uiPriority w:val="99"/>
    <w:rsid w:val="00720CBD"/>
    <w:pPr>
      <w:spacing w:after="240" w:line="260" w:lineRule="atLeast"/>
      <w:jc w:val="both"/>
    </w:pPr>
    <w:rPr>
      <w:rFonts w:ascii="Arial" w:hAnsi="Arial"/>
      <w:color w:val="347FB9"/>
      <w:sz w:val="24"/>
    </w:rPr>
  </w:style>
  <w:style w:type="paragraph" w:customStyle="1" w:styleId="AppendixSub">
    <w:name w:val="Appendix Sub"/>
    <w:basedOn w:val="Appendix"/>
    <w:next w:val="BodyText"/>
    <w:rsid w:val="00D04B97"/>
    <w:pPr>
      <w:numPr>
        <w:ilvl w:val="1"/>
      </w:numPr>
      <w:pBdr>
        <w:bottom w:val="none" w:sz="0" w:space="0" w:color="auto"/>
      </w:pBdr>
      <w:tabs>
        <w:tab w:val="num" w:pos="1440"/>
      </w:tabs>
      <w:spacing w:before="240" w:after="240" w:line="260" w:lineRule="atLeast"/>
    </w:pPr>
    <w:rPr>
      <w:caps w:val="0"/>
      <w:sz w:val="28"/>
    </w:rPr>
  </w:style>
  <w:style w:type="paragraph" w:customStyle="1" w:styleId="Heading2a">
    <w:name w:val="Heading 2a"/>
    <w:basedOn w:val="Normal"/>
    <w:next w:val="BodyText"/>
    <w:rsid w:val="005A41A0"/>
    <w:pPr>
      <w:keepNext/>
      <w:numPr>
        <w:ilvl w:val="2"/>
        <w:numId w:val="3"/>
      </w:numPr>
      <w:spacing w:before="240" w:after="240" w:line="260" w:lineRule="atLeast"/>
    </w:pPr>
    <w:rPr>
      <w:rFonts w:ascii="Arial" w:hAnsi="Arial"/>
      <w:sz w:val="24"/>
    </w:rPr>
  </w:style>
  <w:style w:type="paragraph" w:styleId="TOC3">
    <w:name w:val="toc 3"/>
    <w:basedOn w:val="Normal"/>
    <w:next w:val="Normal"/>
    <w:autoRedefine/>
    <w:uiPriority w:val="99"/>
    <w:semiHidden/>
    <w:rsid w:val="00400AC4"/>
    <w:pPr>
      <w:ind w:left="440"/>
    </w:pPr>
  </w:style>
  <w:style w:type="character" w:styleId="FollowedHyperlink">
    <w:name w:val="FollowedHyperlink"/>
    <w:basedOn w:val="DefaultParagraphFont"/>
    <w:uiPriority w:val="99"/>
    <w:rsid w:val="005F720E"/>
    <w:rPr>
      <w:rFonts w:cs="Times New Roman"/>
      <w:color w:val="800080"/>
      <w:u w:val="single"/>
    </w:rPr>
  </w:style>
  <w:style w:type="paragraph" w:styleId="ListBullet">
    <w:name w:val="List Bullet"/>
    <w:basedOn w:val="Normal"/>
    <w:uiPriority w:val="99"/>
    <w:rsid w:val="00EF6430"/>
    <w:pPr>
      <w:tabs>
        <w:tab w:val="num" w:pos="360"/>
      </w:tabs>
      <w:ind w:left="360" w:hanging="360"/>
      <w:contextualSpacing/>
    </w:pPr>
  </w:style>
  <w:style w:type="paragraph" w:customStyle="1" w:styleId="ListPara">
    <w:name w:val="List Para"/>
    <w:basedOn w:val="Normal"/>
    <w:uiPriority w:val="99"/>
    <w:rsid w:val="00EF6430"/>
    <w:pPr>
      <w:numPr>
        <w:numId w:val="7"/>
      </w:numPr>
      <w:tabs>
        <w:tab w:val="left" w:pos="851"/>
        <w:tab w:val="left" w:pos="1276"/>
      </w:tabs>
      <w:spacing w:line="280" w:lineRule="exact"/>
    </w:pPr>
    <w:rPr>
      <w:szCs w:val="20"/>
    </w:rPr>
  </w:style>
  <w:style w:type="paragraph" w:customStyle="1" w:styleId="Default">
    <w:name w:val="Default"/>
    <w:uiPriority w:val="99"/>
    <w:rsid w:val="001620B7"/>
    <w:pPr>
      <w:autoSpaceDE w:val="0"/>
      <w:autoSpaceDN w:val="0"/>
      <w:adjustRightInd w:val="0"/>
    </w:pPr>
    <w:rPr>
      <w:color w:val="000000"/>
      <w:sz w:val="24"/>
      <w:szCs w:val="24"/>
      <w:lang w:val="en-GB" w:eastAsia="en-GB"/>
    </w:rPr>
  </w:style>
  <w:style w:type="character" w:customStyle="1" w:styleId="FigurelabelChar">
    <w:name w:val="Figure label Char"/>
    <w:basedOn w:val="DefaultParagraphFont"/>
    <w:link w:val="Figurelabel"/>
    <w:locked/>
    <w:rsid w:val="002C0A23"/>
    <w:rPr>
      <w:rFonts w:ascii="Arial" w:hAnsi="Arial" w:cs="Arial"/>
      <w:bCs/>
      <w:sz w:val="15"/>
      <w:lang w:eastAsia="en-US"/>
    </w:rPr>
  </w:style>
  <w:style w:type="character" w:styleId="CommentReference">
    <w:name w:val="annotation reference"/>
    <w:basedOn w:val="DefaultParagraphFont"/>
    <w:uiPriority w:val="99"/>
    <w:rsid w:val="000F0EAA"/>
    <w:rPr>
      <w:rFonts w:cs="Times New Roman"/>
      <w:sz w:val="16"/>
      <w:szCs w:val="16"/>
    </w:rPr>
  </w:style>
  <w:style w:type="paragraph" w:styleId="CommentText">
    <w:name w:val="annotation text"/>
    <w:basedOn w:val="Normal"/>
    <w:link w:val="CommentTextChar"/>
    <w:uiPriority w:val="99"/>
    <w:rsid w:val="000F0EAA"/>
    <w:rPr>
      <w:sz w:val="20"/>
      <w:szCs w:val="20"/>
    </w:rPr>
  </w:style>
  <w:style w:type="character" w:customStyle="1" w:styleId="CommentTextChar">
    <w:name w:val="Comment Text Char"/>
    <w:basedOn w:val="DefaultParagraphFont"/>
    <w:link w:val="CommentText"/>
    <w:uiPriority w:val="99"/>
    <w:locked/>
    <w:rsid w:val="000F0EAA"/>
    <w:rPr>
      <w:rFonts w:cs="Times New Roman"/>
      <w:lang w:eastAsia="en-US"/>
    </w:rPr>
  </w:style>
  <w:style w:type="paragraph" w:styleId="CommentSubject">
    <w:name w:val="annotation subject"/>
    <w:basedOn w:val="CommentText"/>
    <w:next w:val="CommentText"/>
    <w:link w:val="CommentSubjectChar"/>
    <w:uiPriority w:val="99"/>
    <w:rsid w:val="000F0EAA"/>
    <w:rPr>
      <w:b/>
      <w:bCs/>
    </w:rPr>
  </w:style>
  <w:style w:type="character" w:customStyle="1" w:styleId="CommentSubjectChar">
    <w:name w:val="Comment Subject Char"/>
    <w:basedOn w:val="CommentTextChar"/>
    <w:link w:val="CommentSubject"/>
    <w:uiPriority w:val="99"/>
    <w:locked/>
    <w:rsid w:val="000F0EAA"/>
    <w:rPr>
      <w:rFonts w:cs="Times New Roman"/>
      <w:b/>
      <w:bCs/>
      <w:lang w:eastAsia="en-US"/>
    </w:rPr>
  </w:style>
  <w:style w:type="character" w:styleId="HTMLCite">
    <w:name w:val="HTML Cite"/>
    <w:basedOn w:val="DefaultParagraphFont"/>
    <w:uiPriority w:val="99"/>
    <w:unhideWhenUsed/>
    <w:rsid w:val="00517CA7"/>
    <w:rPr>
      <w:i/>
      <w:iCs/>
    </w:rPr>
  </w:style>
  <w:style w:type="paragraph" w:customStyle="1" w:styleId="TGnumberedbodytext">
    <w:name w:val="*TG numbered body text"/>
    <w:basedOn w:val="Normal"/>
    <w:rsid w:val="0000550C"/>
    <w:pPr>
      <w:numPr>
        <w:numId w:val="39"/>
      </w:numPr>
      <w:spacing w:before="240" w:after="240"/>
      <w:jc w:val="both"/>
    </w:pPr>
    <w:rPr>
      <w:rFonts w:ascii="Arial" w:hAnsi="Arial"/>
      <w:szCs w:val="20"/>
    </w:rPr>
  </w:style>
  <w:style w:type="paragraph" w:customStyle="1" w:styleId="TGabcindent">
    <w:name w:val="*TG abc indent"/>
    <w:basedOn w:val="TGnumberedbodytext"/>
    <w:rsid w:val="0000550C"/>
    <w:pPr>
      <w:numPr>
        <w:ilvl w:val="1"/>
      </w:numPr>
      <w:spacing w:before="0"/>
    </w:pPr>
  </w:style>
  <w:style w:type="paragraph" w:customStyle="1" w:styleId="TGabcdoubleindent">
    <w:name w:val="*TG abc double indent"/>
    <w:basedOn w:val="TGabcindent"/>
    <w:rsid w:val="0000550C"/>
    <w:pPr>
      <w:numPr>
        <w:ilvl w:val="2"/>
      </w:numPr>
      <w:tabs>
        <w:tab w:val="num" w:pos="1800"/>
      </w:tabs>
      <w:ind w:left="1800"/>
    </w:pPr>
  </w:style>
  <w:style w:type="paragraph" w:styleId="Revision">
    <w:name w:val="Revision"/>
    <w:hidden/>
    <w:uiPriority w:val="99"/>
    <w:semiHidden/>
    <w:rsid w:val="0056481B"/>
    <w:rPr>
      <w:szCs w:val="24"/>
      <w:lang w:eastAsia="en-US"/>
    </w:rPr>
  </w:style>
  <w:style w:type="character" w:customStyle="1" w:styleId="apple-converted-space">
    <w:name w:val="apple-converted-space"/>
    <w:basedOn w:val="DefaultParagraphFont"/>
    <w:rsid w:val="00EB3C5D"/>
  </w:style>
  <w:style w:type="character" w:styleId="Emphasis">
    <w:name w:val="Emphasis"/>
    <w:basedOn w:val="DefaultParagraphFont"/>
    <w:qFormat/>
    <w:locked/>
    <w:rsid w:val="008602E5"/>
    <w:rPr>
      <w:i/>
      <w:iCs/>
    </w:rPr>
  </w:style>
  <w:style w:type="character" w:styleId="Strong">
    <w:name w:val="Strong"/>
    <w:basedOn w:val="DefaultParagraphFont"/>
    <w:uiPriority w:val="22"/>
    <w:qFormat/>
    <w:locked/>
    <w:rsid w:val="004C516B"/>
    <w:rPr>
      <w:b/>
      <w:bCs/>
    </w:rPr>
  </w:style>
  <w:style w:type="character" w:customStyle="1" w:styleId="sourceissn">
    <w:name w:val="source_issn"/>
    <w:basedOn w:val="DefaultParagraphFont"/>
    <w:rsid w:val="004C516B"/>
  </w:style>
  <w:style w:type="character" w:customStyle="1" w:styleId="sourcevolume">
    <w:name w:val="source_volume"/>
    <w:basedOn w:val="DefaultParagraphFont"/>
    <w:rsid w:val="004C516B"/>
  </w:style>
  <w:style w:type="character" w:customStyle="1" w:styleId="sourceissue">
    <w:name w:val="source_issue"/>
    <w:basedOn w:val="DefaultParagraphFont"/>
    <w:rsid w:val="004C51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semiHidden="0" w:uiPriority="0" w:unhideWhenUsed="0" w:qFormat="1"/>
    <w:lsdException w:name="table of figures" w:locked="1" w:semiHidden="0" w:unhideWhenUsed="0"/>
    <w:lsdException w:name="footnote reference"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3C"/>
    <w:rPr>
      <w:szCs w:val="24"/>
      <w:lang w:eastAsia="en-US"/>
    </w:rPr>
  </w:style>
  <w:style w:type="paragraph" w:styleId="Heading1">
    <w:name w:val="heading 1"/>
    <w:basedOn w:val="Normal"/>
    <w:next w:val="BodyText"/>
    <w:link w:val="Heading1Char"/>
    <w:qFormat/>
    <w:rsid w:val="00CC3EDB"/>
    <w:pPr>
      <w:keepNext/>
      <w:numPr>
        <w:numId w:val="3"/>
      </w:numPr>
      <w:pBdr>
        <w:bottom w:val="single" w:sz="12" w:space="1" w:color="347FB9"/>
      </w:pBdr>
      <w:spacing w:after="360"/>
      <w:outlineLvl w:val="0"/>
    </w:pPr>
    <w:rPr>
      <w:rFonts w:ascii="Arial" w:hAnsi="Arial"/>
      <w:caps/>
      <w:sz w:val="32"/>
    </w:rPr>
  </w:style>
  <w:style w:type="paragraph" w:styleId="Heading2">
    <w:name w:val="heading 2"/>
    <w:basedOn w:val="Normal"/>
    <w:next w:val="BodyText"/>
    <w:link w:val="Heading2Char"/>
    <w:qFormat/>
    <w:rsid w:val="00B22C11"/>
    <w:pPr>
      <w:keepNext/>
      <w:numPr>
        <w:ilvl w:val="1"/>
        <w:numId w:val="3"/>
      </w:numPr>
      <w:tabs>
        <w:tab w:val="clear" w:pos="6379"/>
        <w:tab w:val="num" w:pos="567"/>
        <w:tab w:val="num" w:pos="851"/>
      </w:tabs>
      <w:spacing w:before="240" w:after="240" w:line="260" w:lineRule="atLeast"/>
      <w:ind w:left="567"/>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link w:val="Heading4Char"/>
    <w:uiPriority w:val="99"/>
    <w:qFormat/>
    <w:rsid w:val="00B83046"/>
    <w:pPr>
      <w:keepNext/>
      <w:spacing w:before="120" w:after="0"/>
      <w:outlineLvl w:val="3"/>
    </w:pPr>
    <w:rPr>
      <w:b/>
    </w:rPr>
  </w:style>
  <w:style w:type="paragraph" w:styleId="Heading9">
    <w:name w:val="heading 9"/>
    <w:basedOn w:val="Normal"/>
    <w:link w:val="Heading9Char"/>
    <w:uiPriority w:val="99"/>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1B38"/>
    <w:rPr>
      <w:rFonts w:ascii="Arial" w:hAnsi="Arial"/>
      <w:caps/>
      <w:sz w:val="32"/>
      <w:szCs w:val="24"/>
      <w:lang w:eastAsia="en-US"/>
    </w:rPr>
  </w:style>
  <w:style w:type="character" w:customStyle="1" w:styleId="Heading2Char">
    <w:name w:val="Heading 2 Char"/>
    <w:basedOn w:val="DefaultParagraphFont"/>
    <w:link w:val="Heading2"/>
    <w:uiPriority w:val="99"/>
    <w:rsid w:val="00E5282E"/>
    <w:rPr>
      <w:rFonts w:ascii="Arial" w:hAnsi="Arial"/>
      <w:sz w:val="28"/>
      <w:szCs w:val="28"/>
      <w:lang w:eastAsia="en-US"/>
    </w:rPr>
  </w:style>
  <w:style w:type="character" w:customStyle="1" w:styleId="Heading3Char">
    <w:name w:val="Heading 3 Char"/>
    <w:basedOn w:val="DefaultParagraphFont"/>
    <w:link w:val="Heading3"/>
    <w:locked/>
    <w:rsid w:val="00DA4871"/>
    <w:rPr>
      <w:rFonts w:ascii="Arial" w:hAnsi="Arial" w:cs="Times New Roman"/>
      <w:b/>
      <w:sz w:val="24"/>
      <w:szCs w:val="24"/>
      <w:lang w:eastAsia="en-US"/>
    </w:rPr>
  </w:style>
  <w:style w:type="character" w:customStyle="1" w:styleId="Heading4Char">
    <w:name w:val="Heading 4 Char"/>
    <w:basedOn w:val="DefaultParagraphFont"/>
    <w:link w:val="Heading4"/>
    <w:uiPriority w:val="9"/>
    <w:semiHidden/>
    <w:rsid w:val="00E5282E"/>
    <w:rPr>
      <w:rFonts w:asciiTheme="minorHAnsi" w:eastAsiaTheme="minorEastAsia" w:hAnsiTheme="minorHAnsi" w:cstheme="minorBidi"/>
      <w:b/>
      <w:bCs/>
      <w:sz w:val="28"/>
      <w:szCs w:val="28"/>
      <w:lang w:eastAsia="en-US"/>
    </w:rPr>
  </w:style>
  <w:style w:type="character" w:customStyle="1" w:styleId="Heading9Char">
    <w:name w:val="Heading 9 Char"/>
    <w:basedOn w:val="DefaultParagraphFont"/>
    <w:link w:val="Heading9"/>
    <w:uiPriority w:val="9"/>
    <w:semiHidden/>
    <w:rsid w:val="00E5282E"/>
    <w:rPr>
      <w:rFonts w:asciiTheme="majorHAnsi" w:eastAsiaTheme="majorEastAsia" w:hAnsiTheme="majorHAnsi" w:cstheme="majorBidi"/>
      <w:lang w:eastAsia="en-US"/>
    </w:rPr>
  </w:style>
  <w:style w:type="paragraph" w:styleId="BodyText">
    <w:name w:val="Body Text"/>
    <w:basedOn w:val="Normal"/>
    <w:link w:val="BodyTextChar"/>
    <w:rsid w:val="00BB72D9"/>
    <w:pPr>
      <w:spacing w:after="240" w:line="260" w:lineRule="atLeast"/>
      <w:jc w:val="both"/>
    </w:pPr>
    <w:rPr>
      <w:szCs w:val="20"/>
    </w:rPr>
  </w:style>
  <w:style w:type="character" w:customStyle="1" w:styleId="BodyTextChar">
    <w:name w:val="Body Text Char"/>
    <w:basedOn w:val="DefaultParagraphFont"/>
    <w:link w:val="BodyText"/>
    <w:locked/>
    <w:rsid w:val="006C2A5A"/>
    <w:rPr>
      <w:rFonts w:cs="Times New Roman"/>
      <w:sz w:val="22"/>
      <w:lang w:eastAsia="en-US"/>
    </w:rPr>
  </w:style>
  <w:style w:type="paragraph" w:customStyle="1" w:styleId="Bullet2nospace">
    <w:name w:val="Bullet 2 no space"/>
    <w:basedOn w:val="Bullet1"/>
    <w:uiPriority w:val="99"/>
    <w:rsid w:val="00E21B86"/>
    <w:pPr>
      <w:spacing w:after="0"/>
    </w:pPr>
  </w:style>
  <w:style w:type="paragraph" w:customStyle="1" w:styleId="Bullet1">
    <w:name w:val="Bullet 1"/>
    <w:basedOn w:val="BodyText"/>
    <w:rsid w:val="00411B40"/>
    <w:pPr>
      <w:numPr>
        <w:numId w:val="4"/>
      </w:numPr>
      <w:tabs>
        <w:tab w:val="clear" w:pos="1134"/>
        <w:tab w:val="left" w:pos="284"/>
      </w:tabs>
      <w:ind w:left="284" w:hanging="284"/>
    </w:pPr>
  </w:style>
  <w:style w:type="paragraph" w:styleId="Footer">
    <w:name w:val="footer"/>
    <w:basedOn w:val="Normal"/>
    <w:link w:val="FooterChar"/>
    <w:uiPriority w:val="99"/>
    <w:rsid w:val="00995115"/>
    <w:pPr>
      <w:tabs>
        <w:tab w:val="center" w:pos="4153"/>
        <w:tab w:val="right" w:pos="8306"/>
      </w:tabs>
    </w:pPr>
  </w:style>
  <w:style w:type="character" w:customStyle="1" w:styleId="FooterChar">
    <w:name w:val="Footer Char"/>
    <w:basedOn w:val="DefaultParagraphFont"/>
    <w:link w:val="Footer"/>
    <w:uiPriority w:val="99"/>
    <w:semiHidden/>
    <w:rsid w:val="00E5282E"/>
    <w:rPr>
      <w:szCs w:val="24"/>
      <w:lang w:eastAsia="en-US"/>
    </w:rPr>
  </w:style>
  <w:style w:type="paragraph" w:styleId="FootnoteText">
    <w:name w:val="footnote text"/>
    <w:basedOn w:val="Normal"/>
    <w:link w:val="FootnoteTextChar"/>
    <w:uiPriority w:val="99"/>
    <w:rsid w:val="009A016F"/>
    <w:rPr>
      <w:sz w:val="14"/>
      <w:szCs w:val="20"/>
    </w:rPr>
  </w:style>
  <w:style w:type="character" w:customStyle="1" w:styleId="FootnoteTextChar">
    <w:name w:val="Footnote Text Char"/>
    <w:basedOn w:val="DefaultParagraphFont"/>
    <w:link w:val="FootnoteText"/>
    <w:uiPriority w:val="99"/>
    <w:locked/>
    <w:rsid w:val="00355D19"/>
    <w:rPr>
      <w:rFonts w:cs="Times New Roman"/>
      <w:sz w:val="14"/>
      <w:lang w:eastAsia="en-US"/>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customStyle="1" w:styleId="HeaderChar">
    <w:name w:val="Header Char"/>
    <w:basedOn w:val="DefaultParagraphFont"/>
    <w:link w:val="Header"/>
    <w:uiPriority w:val="99"/>
    <w:semiHidden/>
    <w:rsid w:val="00E5282E"/>
    <w:rPr>
      <w:szCs w:val="24"/>
      <w:lang w:eastAsia="en-US"/>
    </w:rPr>
  </w:style>
  <w:style w:type="character" w:styleId="Hyperlink">
    <w:name w:val="Hyperlink"/>
    <w:basedOn w:val="DefaultParagraphFont"/>
    <w:uiPriority w:val="99"/>
    <w:rsid w:val="00922D80"/>
    <w:rPr>
      <w:rFonts w:cs="Times New Roman"/>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uiPriority w:val="99"/>
    <w:rsid w:val="00433E27"/>
    <w:pPr>
      <w:jc w:val="right"/>
    </w:pPr>
    <w:rPr>
      <w:rFonts w:ascii="Arial" w:hAnsi="Arial"/>
      <w:sz w:val="20"/>
      <w:szCs w:val="20"/>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rPr>
        <w:rFonts w:cs="Times New Roman"/>
      </w:rPr>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rPr>
        <w:rFonts w:cs="Times New Roman"/>
      </w:rPr>
    </w:tblStylePr>
    <w:tblStylePr w:type="band1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table" w:styleId="TableGrid">
    <w:name w:val="Table Grid"/>
    <w:basedOn w:val="TableNormal"/>
    <w:uiPriority w:val="99"/>
    <w:rsid w:val="00D22D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D22DEE"/>
    <w:rPr>
      <w:rFonts w:cs="Times New Roman"/>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uiPriority w:val="99"/>
    <w:semiHidden/>
    <w:rsid w:val="009930F4"/>
    <w:rPr>
      <w:rFonts w:ascii="Arial" w:hAnsi="Arial" w:cs="Times New Roman"/>
      <w:sz w:val="18"/>
    </w:rPr>
  </w:style>
  <w:style w:type="paragraph" w:customStyle="1" w:styleId="Tabletext">
    <w:name w:val="Table text"/>
    <w:basedOn w:val="Normal"/>
    <w:uiPriority w:val="99"/>
    <w:rsid w:val="00F45EC2"/>
    <w:pPr>
      <w:spacing w:line="220" w:lineRule="atLeast"/>
    </w:pPr>
    <w:rPr>
      <w:rFonts w:ascii="Arial" w:hAnsi="Arial"/>
      <w:sz w:val="15"/>
    </w:rPr>
  </w:style>
  <w:style w:type="paragraph" w:styleId="BalloonText">
    <w:name w:val="Balloon Text"/>
    <w:basedOn w:val="Normal"/>
    <w:link w:val="BalloonTextChar"/>
    <w:uiPriority w:val="99"/>
    <w:semiHidden/>
    <w:rsid w:val="00D22DEE"/>
    <w:rPr>
      <w:rFonts w:cs="Tahoma"/>
      <w:sz w:val="16"/>
      <w:szCs w:val="16"/>
    </w:rPr>
  </w:style>
  <w:style w:type="character" w:customStyle="1" w:styleId="BalloonTextChar">
    <w:name w:val="Balloon Text Char"/>
    <w:basedOn w:val="DefaultParagraphFont"/>
    <w:link w:val="BalloonText"/>
    <w:uiPriority w:val="99"/>
    <w:semiHidden/>
    <w:rsid w:val="00E5282E"/>
    <w:rPr>
      <w:sz w:val="0"/>
      <w:szCs w:val="0"/>
      <w:lang w:eastAsia="en-US"/>
    </w:rPr>
  </w:style>
  <w:style w:type="paragraph" w:customStyle="1" w:styleId="Tableheading">
    <w:name w:val="Table heading"/>
    <w:basedOn w:val="Tabletext"/>
    <w:uiPriority w:val="99"/>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B22C11"/>
    <w:pPr>
      <w:spacing w:before="120" w:after="240" w:line="180" w:lineRule="atLeast"/>
    </w:pPr>
    <w:rPr>
      <w:rFonts w:ascii="Arial" w:hAnsi="Arial"/>
      <w:sz w:val="14"/>
    </w:rPr>
  </w:style>
  <w:style w:type="paragraph" w:customStyle="1" w:styleId="Bullet1a">
    <w:name w:val="Bullet 1a"/>
    <w:basedOn w:val="Bullet1"/>
    <w:uiPriority w:val="99"/>
    <w:rsid w:val="00315AFE"/>
    <w:pPr>
      <w:tabs>
        <w:tab w:val="left" w:pos="567"/>
      </w:tabs>
      <w:ind w:left="568"/>
    </w:pPr>
  </w:style>
  <w:style w:type="paragraph" w:customStyle="1" w:styleId="Figurelabel">
    <w:name w:val="Figure label"/>
    <w:basedOn w:val="Caption"/>
    <w:next w:val="BodyText"/>
    <w:link w:val="FigurelabelChar"/>
    <w:rsid w:val="009A7099"/>
    <w:pPr>
      <w:spacing w:after="120"/>
    </w:pPr>
    <w:rPr>
      <w:b w:val="0"/>
    </w:rPr>
  </w:style>
  <w:style w:type="paragraph" w:customStyle="1" w:styleId="Referencetext">
    <w:name w:val="Reference text"/>
    <w:basedOn w:val="BodyText"/>
    <w:qFormat/>
    <w:rsid w:val="00D22DEE"/>
  </w:style>
  <w:style w:type="paragraph" w:styleId="Title">
    <w:name w:val="Title"/>
    <w:basedOn w:val="Normal"/>
    <w:link w:val="TitleChar"/>
    <w:uiPriority w:val="99"/>
    <w:qFormat/>
    <w:rsid w:val="004D7EC6"/>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uiPriority w:val="10"/>
    <w:rsid w:val="00E5282E"/>
    <w:rPr>
      <w:rFonts w:asciiTheme="majorHAnsi" w:eastAsiaTheme="majorEastAsia" w:hAnsiTheme="majorHAnsi" w:cstheme="majorBidi"/>
      <w:b/>
      <w:bCs/>
      <w:kern w:val="28"/>
      <w:sz w:val="32"/>
      <w:szCs w:val="32"/>
      <w:lang w:eastAsia="en-US"/>
    </w:rPr>
  </w:style>
  <w:style w:type="paragraph" w:customStyle="1" w:styleId="Insidecover">
    <w:name w:val="Inside cover"/>
    <w:basedOn w:val="Normal"/>
    <w:uiPriority w:val="99"/>
    <w:rsid w:val="004D1E17"/>
    <w:pPr>
      <w:ind w:left="-284"/>
    </w:pPr>
    <w:rPr>
      <w:rFonts w:ascii="Arial" w:hAnsi="Arial"/>
      <w:sz w:val="18"/>
    </w:rPr>
  </w:style>
  <w:style w:type="paragraph" w:customStyle="1" w:styleId="Heading">
    <w:name w:val="Heading"/>
    <w:basedOn w:val="Normal"/>
    <w:next w:val="BodyText"/>
    <w:uiPriority w:val="99"/>
    <w:rsid w:val="00CC3EDB"/>
    <w:pPr>
      <w:keepNext/>
      <w:pBdr>
        <w:bottom w:val="single" w:sz="12" w:space="1" w:color="347FB9"/>
      </w:pBdr>
      <w:tabs>
        <w:tab w:val="left" w:pos="567"/>
      </w:tabs>
      <w:spacing w:after="360"/>
    </w:pPr>
    <w:rPr>
      <w:rFonts w:ascii="Arial" w:hAnsi="Arial"/>
      <w:caps/>
      <w:sz w:val="32"/>
    </w:rPr>
  </w:style>
  <w:style w:type="paragraph" w:customStyle="1" w:styleId="Keypointheading">
    <w:name w:val="Key point heading"/>
    <w:basedOn w:val="Normal"/>
    <w:next w:val="Keypointtext"/>
    <w:uiPriority w:val="99"/>
    <w:rsid w:val="007B699A"/>
    <w:pPr>
      <w:spacing w:before="120"/>
    </w:pPr>
    <w:rPr>
      <w:rFonts w:ascii="Arial" w:hAnsi="Arial"/>
      <w:caps/>
      <w:sz w:val="20"/>
    </w:rPr>
  </w:style>
  <w:style w:type="paragraph" w:customStyle="1" w:styleId="FooterEvenPage">
    <w:name w:val="Footer Even Page"/>
    <w:basedOn w:val="FooterOddPage"/>
    <w:uiPriority w:val="99"/>
    <w:rsid w:val="00D04922"/>
    <w:pPr>
      <w:ind w:left="851" w:right="0"/>
      <w:jc w:val="left"/>
    </w:pPr>
  </w:style>
  <w:style w:type="paragraph" w:customStyle="1" w:styleId="FooterOddPage">
    <w:name w:val="Footer Odd Page"/>
    <w:basedOn w:val="Normal"/>
    <w:uiPriority w:val="99"/>
    <w:rsid w:val="00995115"/>
    <w:pPr>
      <w:spacing w:line="200" w:lineRule="atLeast"/>
      <w:ind w:right="851"/>
      <w:jc w:val="right"/>
    </w:pPr>
    <w:rPr>
      <w:rFonts w:ascii="Arial" w:hAnsi="Arial"/>
      <w:sz w:val="16"/>
      <w:szCs w:val="18"/>
    </w:rPr>
  </w:style>
  <w:style w:type="paragraph" w:customStyle="1" w:styleId="Figure-Table">
    <w:name w:val="Figure-Table #"/>
    <w:basedOn w:val="Normal"/>
    <w:uiPriority w:val="99"/>
    <w:rsid w:val="009A33C6"/>
    <w:pPr>
      <w:spacing w:before="240" w:after="120" w:line="260" w:lineRule="exact"/>
    </w:pPr>
    <w:rPr>
      <w:rFonts w:ascii="Arial" w:hAnsi="Arial" w:cs="Arial"/>
      <w:b/>
      <w:sz w:val="18"/>
    </w:rPr>
  </w:style>
  <w:style w:type="paragraph" w:customStyle="1" w:styleId="Tablelabel">
    <w:name w:val="Table label"/>
    <w:basedOn w:val="Caption"/>
    <w:next w:val="Normal"/>
    <w:uiPriority w:val="99"/>
    <w:rsid w:val="009A7099"/>
    <w:pPr>
      <w:spacing w:after="120"/>
    </w:pPr>
    <w:rPr>
      <w:b w:val="0"/>
    </w:rPr>
  </w:style>
  <w:style w:type="paragraph" w:customStyle="1" w:styleId="Bullet2a">
    <w:name w:val="Bullet 2a"/>
    <w:basedOn w:val="Bullet2nospace"/>
    <w:uiPriority w:val="99"/>
    <w:rsid w:val="00315AFE"/>
    <w:pPr>
      <w:tabs>
        <w:tab w:val="left" w:pos="567"/>
      </w:tabs>
      <w:ind w:left="568"/>
    </w:pPr>
  </w:style>
  <w:style w:type="table" w:customStyle="1" w:styleId="TableMOE2">
    <w:name w:val="Table MOE 2"/>
    <w:basedOn w:val="TableMOE1"/>
    <w:uiPriority w:val="99"/>
    <w:rsid w:val="00433E27"/>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rPr>
        <w:rFonts w:cs="Times New Roman"/>
      </w:rPr>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2D8EA"/>
      </w:tcPr>
    </w:tblStylePr>
    <w:tblStylePr w:type="firstCol">
      <w:pPr>
        <w:jc w:val="left"/>
      </w:pPr>
      <w:rPr>
        <w:rFonts w:cs="Times New Roman"/>
      </w:rPr>
    </w:tblStylePr>
    <w:tblStylePr w:type="band1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paragraph" w:customStyle="1" w:styleId="Appendix">
    <w:name w:val="Appendix"/>
    <w:basedOn w:val="Heading1"/>
    <w:next w:val="BodyText"/>
    <w:rsid w:val="009D7E1B"/>
    <w:pPr>
      <w:numPr>
        <w:numId w:val="5"/>
      </w:numPr>
      <w:tabs>
        <w:tab w:val="num" w:pos="1134"/>
      </w:tabs>
    </w:pPr>
  </w:style>
  <w:style w:type="table" w:customStyle="1" w:styleId="TableMOE3">
    <w:name w:val="Table MOE 3"/>
    <w:basedOn w:val="TableGrid"/>
    <w:uiPriority w:val="99"/>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Titlesub">
    <w:name w:val="Title sub"/>
    <w:basedOn w:val="Title"/>
    <w:uiPriority w:val="99"/>
    <w:rsid w:val="004D7EC6"/>
    <w:pPr>
      <w:ind w:left="2835"/>
      <w:outlineLvl w:val="1"/>
    </w:pPr>
    <w:rPr>
      <w:i/>
      <w:sz w:val="40"/>
      <w:szCs w:val="40"/>
    </w:rPr>
  </w:style>
  <w:style w:type="paragraph" w:customStyle="1" w:styleId="Headingspaceafter">
    <w:name w:val="Heading (space after)"/>
    <w:basedOn w:val="Heading"/>
    <w:next w:val="BodyText"/>
    <w:uiPriority w:val="99"/>
    <w:rsid w:val="00BB72D9"/>
    <w:pPr>
      <w:spacing w:after="1200"/>
    </w:pPr>
    <w:rPr>
      <w:caps w:val="0"/>
      <w:sz w:val="36"/>
    </w:rPr>
  </w:style>
  <w:style w:type="table" w:customStyle="1" w:styleId="TableMOE4">
    <w:name w:val="Table MOE 4"/>
    <w:basedOn w:val="TableMOE3"/>
    <w:uiPriority w:val="99"/>
    <w:rsid w:val="005B2792"/>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Heading1A">
    <w:name w:val="Heading 1A"/>
    <w:basedOn w:val="Normal"/>
    <w:next w:val="BodyText"/>
    <w:uiPriority w:val="99"/>
    <w:rsid w:val="00CC3EDB"/>
    <w:pPr>
      <w:spacing w:after="240" w:line="260" w:lineRule="atLeast"/>
      <w:jc w:val="both"/>
    </w:pPr>
    <w:rPr>
      <w:rFonts w:ascii="Arial" w:hAnsi="Arial" w:cs="Arial"/>
      <w:color w:val="347FB9"/>
      <w:sz w:val="24"/>
    </w:rPr>
  </w:style>
  <w:style w:type="paragraph" w:customStyle="1" w:styleId="Heading1BnotinTOC">
    <w:name w:val="Heading 1B (not in TOC)"/>
    <w:basedOn w:val="Normal"/>
    <w:next w:val="BodyText"/>
    <w:uiPriority w:val="99"/>
    <w:rsid w:val="00720CBD"/>
    <w:pPr>
      <w:spacing w:after="240" w:line="260" w:lineRule="atLeast"/>
      <w:jc w:val="both"/>
    </w:pPr>
    <w:rPr>
      <w:rFonts w:ascii="Arial" w:hAnsi="Arial"/>
      <w:color w:val="347FB9"/>
      <w:sz w:val="24"/>
    </w:rPr>
  </w:style>
  <w:style w:type="paragraph" w:customStyle="1" w:styleId="AppendixSub">
    <w:name w:val="Appendix Sub"/>
    <w:basedOn w:val="Appendix"/>
    <w:next w:val="BodyText"/>
    <w:rsid w:val="00D04B97"/>
    <w:pPr>
      <w:numPr>
        <w:ilvl w:val="1"/>
      </w:numPr>
      <w:pBdr>
        <w:bottom w:val="none" w:sz="0" w:space="0" w:color="auto"/>
      </w:pBdr>
      <w:tabs>
        <w:tab w:val="num" w:pos="1440"/>
      </w:tabs>
      <w:spacing w:before="240" w:after="240" w:line="260" w:lineRule="atLeast"/>
    </w:pPr>
    <w:rPr>
      <w:caps w:val="0"/>
      <w:sz w:val="28"/>
    </w:rPr>
  </w:style>
  <w:style w:type="paragraph" w:customStyle="1" w:styleId="Heading2a">
    <w:name w:val="Heading 2a"/>
    <w:basedOn w:val="Normal"/>
    <w:next w:val="BodyText"/>
    <w:rsid w:val="005A41A0"/>
    <w:pPr>
      <w:keepNext/>
      <w:numPr>
        <w:ilvl w:val="2"/>
        <w:numId w:val="3"/>
      </w:numPr>
      <w:spacing w:before="240" w:after="240" w:line="260" w:lineRule="atLeast"/>
    </w:pPr>
    <w:rPr>
      <w:rFonts w:ascii="Arial" w:hAnsi="Arial"/>
      <w:sz w:val="24"/>
    </w:rPr>
  </w:style>
  <w:style w:type="paragraph" w:styleId="TOC3">
    <w:name w:val="toc 3"/>
    <w:basedOn w:val="Normal"/>
    <w:next w:val="Normal"/>
    <w:autoRedefine/>
    <w:uiPriority w:val="99"/>
    <w:semiHidden/>
    <w:rsid w:val="00400AC4"/>
    <w:pPr>
      <w:ind w:left="440"/>
    </w:pPr>
  </w:style>
  <w:style w:type="character" w:styleId="FollowedHyperlink">
    <w:name w:val="FollowedHyperlink"/>
    <w:basedOn w:val="DefaultParagraphFont"/>
    <w:uiPriority w:val="99"/>
    <w:rsid w:val="005F720E"/>
    <w:rPr>
      <w:rFonts w:cs="Times New Roman"/>
      <w:color w:val="800080"/>
      <w:u w:val="single"/>
    </w:rPr>
  </w:style>
  <w:style w:type="paragraph" w:styleId="ListBullet">
    <w:name w:val="List Bullet"/>
    <w:basedOn w:val="Normal"/>
    <w:uiPriority w:val="99"/>
    <w:rsid w:val="00EF6430"/>
    <w:pPr>
      <w:tabs>
        <w:tab w:val="num" w:pos="360"/>
      </w:tabs>
      <w:ind w:left="360" w:hanging="360"/>
      <w:contextualSpacing/>
    </w:pPr>
  </w:style>
  <w:style w:type="paragraph" w:customStyle="1" w:styleId="ListPara">
    <w:name w:val="List Para"/>
    <w:basedOn w:val="Normal"/>
    <w:uiPriority w:val="99"/>
    <w:rsid w:val="00EF6430"/>
    <w:pPr>
      <w:numPr>
        <w:numId w:val="7"/>
      </w:numPr>
      <w:tabs>
        <w:tab w:val="left" w:pos="851"/>
        <w:tab w:val="left" w:pos="1276"/>
      </w:tabs>
      <w:spacing w:line="280" w:lineRule="exact"/>
    </w:pPr>
    <w:rPr>
      <w:szCs w:val="20"/>
    </w:rPr>
  </w:style>
  <w:style w:type="paragraph" w:customStyle="1" w:styleId="Default">
    <w:name w:val="Default"/>
    <w:uiPriority w:val="99"/>
    <w:rsid w:val="001620B7"/>
    <w:pPr>
      <w:autoSpaceDE w:val="0"/>
      <w:autoSpaceDN w:val="0"/>
      <w:adjustRightInd w:val="0"/>
    </w:pPr>
    <w:rPr>
      <w:color w:val="000000"/>
      <w:sz w:val="24"/>
      <w:szCs w:val="24"/>
      <w:lang w:val="en-GB" w:eastAsia="en-GB"/>
    </w:rPr>
  </w:style>
  <w:style w:type="character" w:customStyle="1" w:styleId="FigurelabelChar">
    <w:name w:val="Figure label Char"/>
    <w:basedOn w:val="DefaultParagraphFont"/>
    <w:link w:val="Figurelabel"/>
    <w:locked/>
    <w:rsid w:val="002C0A23"/>
    <w:rPr>
      <w:rFonts w:ascii="Arial" w:hAnsi="Arial" w:cs="Arial"/>
      <w:bCs/>
      <w:sz w:val="15"/>
      <w:lang w:eastAsia="en-US"/>
    </w:rPr>
  </w:style>
  <w:style w:type="character" w:styleId="CommentReference">
    <w:name w:val="annotation reference"/>
    <w:basedOn w:val="DefaultParagraphFont"/>
    <w:uiPriority w:val="99"/>
    <w:rsid w:val="000F0EAA"/>
    <w:rPr>
      <w:rFonts w:cs="Times New Roman"/>
      <w:sz w:val="16"/>
      <w:szCs w:val="16"/>
    </w:rPr>
  </w:style>
  <w:style w:type="paragraph" w:styleId="CommentText">
    <w:name w:val="annotation text"/>
    <w:basedOn w:val="Normal"/>
    <w:link w:val="CommentTextChar"/>
    <w:uiPriority w:val="99"/>
    <w:rsid w:val="000F0EAA"/>
    <w:rPr>
      <w:sz w:val="20"/>
      <w:szCs w:val="20"/>
    </w:rPr>
  </w:style>
  <w:style w:type="character" w:customStyle="1" w:styleId="CommentTextChar">
    <w:name w:val="Comment Text Char"/>
    <w:basedOn w:val="DefaultParagraphFont"/>
    <w:link w:val="CommentText"/>
    <w:uiPriority w:val="99"/>
    <w:locked/>
    <w:rsid w:val="000F0EAA"/>
    <w:rPr>
      <w:rFonts w:cs="Times New Roman"/>
      <w:lang w:eastAsia="en-US"/>
    </w:rPr>
  </w:style>
  <w:style w:type="paragraph" w:styleId="CommentSubject">
    <w:name w:val="annotation subject"/>
    <w:basedOn w:val="CommentText"/>
    <w:next w:val="CommentText"/>
    <w:link w:val="CommentSubjectChar"/>
    <w:uiPriority w:val="99"/>
    <w:rsid w:val="000F0EAA"/>
    <w:rPr>
      <w:b/>
      <w:bCs/>
    </w:rPr>
  </w:style>
  <w:style w:type="character" w:customStyle="1" w:styleId="CommentSubjectChar">
    <w:name w:val="Comment Subject Char"/>
    <w:basedOn w:val="CommentTextChar"/>
    <w:link w:val="CommentSubject"/>
    <w:uiPriority w:val="99"/>
    <w:locked/>
    <w:rsid w:val="000F0EAA"/>
    <w:rPr>
      <w:rFonts w:cs="Times New Roman"/>
      <w:b/>
      <w:bCs/>
      <w:lang w:eastAsia="en-US"/>
    </w:rPr>
  </w:style>
  <w:style w:type="character" w:styleId="HTMLCite">
    <w:name w:val="HTML Cite"/>
    <w:basedOn w:val="DefaultParagraphFont"/>
    <w:uiPriority w:val="99"/>
    <w:unhideWhenUsed/>
    <w:rsid w:val="00517CA7"/>
    <w:rPr>
      <w:i/>
      <w:iCs/>
    </w:rPr>
  </w:style>
  <w:style w:type="paragraph" w:customStyle="1" w:styleId="TGnumberedbodytext">
    <w:name w:val="*TG numbered body text"/>
    <w:basedOn w:val="Normal"/>
    <w:rsid w:val="0000550C"/>
    <w:pPr>
      <w:numPr>
        <w:numId w:val="39"/>
      </w:numPr>
      <w:spacing w:before="240" w:after="240"/>
      <w:jc w:val="both"/>
    </w:pPr>
    <w:rPr>
      <w:rFonts w:ascii="Arial" w:hAnsi="Arial"/>
      <w:szCs w:val="20"/>
    </w:rPr>
  </w:style>
  <w:style w:type="paragraph" w:customStyle="1" w:styleId="TGabcindent">
    <w:name w:val="*TG abc indent"/>
    <w:basedOn w:val="TGnumberedbodytext"/>
    <w:rsid w:val="0000550C"/>
    <w:pPr>
      <w:numPr>
        <w:ilvl w:val="1"/>
      </w:numPr>
      <w:spacing w:before="0"/>
    </w:pPr>
  </w:style>
  <w:style w:type="paragraph" w:customStyle="1" w:styleId="TGabcdoubleindent">
    <w:name w:val="*TG abc double indent"/>
    <w:basedOn w:val="TGabcindent"/>
    <w:rsid w:val="0000550C"/>
    <w:pPr>
      <w:numPr>
        <w:ilvl w:val="2"/>
      </w:numPr>
      <w:tabs>
        <w:tab w:val="num" w:pos="1800"/>
      </w:tabs>
      <w:ind w:left="1800"/>
    </w:pPr>
  </w:style>
  <w:style w:type="paragraph" w:styleId="Revision">
    <w:name w:val="Revision"/>
    <w:hidden/>
    <w:uiPriority w:val="99"/>
    <w:semiHidden/>
    <w:rsid w:val="0056481B"/>
    <w:rPr>
      <w:szCs w:val="24"/>
      <w:lang w:eastAsia="en-US"/>
    </w:rPr>
  </w:style>
  <w:style w:type="character" w:customStyle="1" w:styleId="apple-converted-space">
    <w:name w:val="apple-converted-space"/>
    <w:basedOn w:val="DefaultParagraphFont"/>
    <w:rsid w:val="00EB3C5D"/>
  </w:style>
  <w:style w:type="character" w:styleId="Emphasis">
    <w:name w:val="Emphasis"/>
    <w:basedOn w:val="DefaultParagraphFont"/>
    <w:qFormat/>
    <w:locked/>
    <w:rsid w:val="008602E5"/>
    <w:rPr>
      <w:i/>
      <w:iCs/>
    </w:rPr>
  </w:style>
  <w:style w:type="character" w:styleId="Strong">
    <w:name w:val="Strong"/>
    <w:basedOn w:val="DefaultParagraphFont"/>
    <w:uiPriority w:val="22"/>
    <w:qFormat/>
    <w:locked/>
    <w:rsid w:val="004C516B"/>
    <w:rPr>
      <w:b/>
      <w:bCs/>
    </w:rPr>
  </w:style>
  <w:style w:type="character" w:customStyle="1" w:styleId="sourceissn">
    <w:name w:val="source_issn"/>
    <w:basedOn w:val="DefaultParagraphFont"/>
    <w:rsid w:val="004C516B"/>
  </w:style>
  <w:style w:type="character" w:customStyle="1" w:styleId="sourcevolume">
    <w:name w:val="source_volume"/>
    <w:basedOn w:val="DefaultParagraphFont"/>
    <w:rsid w:val="004C516B"/>
  </w:style>
  <w:style w:type="character" w:customStyle="1" w:styleId="sourceissue">
    <w:name w:val="source_issue"/>
    <w:basedOn w:val="DefaultParagraphFont"/>
    <w:rsid w:val="004C516B"/>
  </w:style>
</w:styles>
</file>

<file path=word/webSettings.xml><?xml version="1.0" encoding="utf-8"?>
<w:webSettings xmlns:r="http://schemas.openxmlformats.org/officeDocument/2006/relationships" xmlns:w="http://schemas.openxmlformats.org/wordprocessingml/2006/main">
  <w:divs>
    <w:div w:id="341131884">
      <w:bodyDiv w:val="1"/>
      <w:marLeft w:val="0"/>
      <w:marRight w:val="0"/>
      <w:marTop w:val="0"/>
      <w:marBottom w:val="0"/>
      <w:divBdr>
        <w:top w:val="none" w:sz="0" w:space="0" w:color="auto"/>
        <w:left w:val="none" w:sz="0" w:space="0" w:color="auto"/>
        <w:bottom w:val="none" w:sz="0" w:space="0" w:color="auto"/>
        <w:right w:val="none" w:sz="0" w:space="0" w:color="auto"/>
      </w:divBdr>
    </w:div>
    <w:div w:id="695230025">
      <w:bodyDiv w:val="1"/>
      <w:marLeft w:val="0"/>
      <w:marRight w:val="0"/>
      <w:marTop w:val="0"/>
      <w:marBottom w:val="0"/>
      <w:divBdr>
        <w:top w:val="none" w:sz="0" w:space="0" w:color="auto"/>
        <w:left w:val="none" w:sz="0" w:space="0" w:color="auto"/>
        <w:bottom w:val="none" w:sz="0" w:space="0" w:color="auto"/>
        <w:right w:val="none" w:sz="0" w:space="0" w:color="auto"/>
      </w:divBdr>
    </w:div>
    <w:div w:id="916404693">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
    <w:div w:id="1157111222">
      <w:bodyDiv w:val="1"/>
      <w:marLeft w:val="0"/>
      <w:marRight w:val="0"/>
      <w:marTop w:val="0"/>
      <w:marBottom w:val="0"/>
      <w:divBdr>
        <w:top w:val="none" w:sz="0" w:space="0" w:color="auto"/>
        <w:left w:val="none" w:sz="0" w:space="0" w:color="auto"/>
        <w:bottom w:val="none" w:sz="0" w:space="0" w:color="auto"/>
        <w:right w:val="none" w:sz="0" w:space="0" w:color="auto"/>
      </w:divBdr>
    </w:div>
    <w:div w:id="1250043001">
      <w:marLeft w:val="0"/>
      <w:marRight w:val="0"/>
      <w:marTop w:val="0"/>
      <w:marBottom w:val="0"/>
      <w:divBdr>
        <w:top w:val="none" w:sz="0" w:space="0" w:color="auto"/>
        <w:left w:val="none" w:sz="0" w:space="0" w:color="auto"/>
        <w:bottom w:val="none" w:sz="0" w:space="0" w:color="auto"/>
        <w:right w:val="none" w:sz="0" w:space="0" w:color="auto"/>
      </w:divBdr>
    </w:div>
    <w:div w:id="1250043002">
      <w:marLeft w:val="0"/>
      <w:marRight w:val="0"/>
      <w:marTop w:val="0"/>
      <w:marBottom w:val="0"/>
      <w:divBdr>
        <w:top w:val="none" w:sz="0" w:space="0" w:color="auto"/>
        <w:left w:val="none" w:sz="0" w:space="0" w:color="auto"/>
        <w:bottom w:val="none" w:sz="0" w:space="0" w:color="auto"/>
        <w:right w:val="none" w:sz="0" w:space="0" w:color="auto"/>
      </w:divBdr>
      <w:divsChild>
        <w:div w:id="1250042999">
          <w:marLeft w:val="0"/>
          <w:marRight w:val="0"/>
          <w:marTop w:val="0"/>
          <w:marBottom w:val="0"/>
          <w:divBdr>
            <w:top w:val="none" w:sz="0" w:space="0" w:color="auto"/>
            <w:left w:val="none" w:sz="0" w:space="0" w:color="auto"/>
            <w:bottom w:val="none" w:sz="0" w:space="0" w:color="auto"/>
            <w:right w:val="none" w:sz="0" w:space="0" w:color="auto"/>
          </w:divBdr>
        </w:div>
        <w:div w:id="1250043000">
          <w:marLeft w:val="0"/>
          <w:marRight w:val="0"/>
          <w:marTop w:val="0"/>
          <w:marBottom w:val="0"/>
          <w:divBdr>
            <w:top w:val="none" w:sz="0" w:space="0" w:color="auto"/>
            <w:left w:val="none" w:sz="0" w:space="0" w:color="auto"/>
            <w:bottom w:val="none" w:sz="0" w:space="0" w:color="auto"/>
            <w:right w:val="none" w:sz="0" w:space="0" w:color="auto"/>
          </w:divBdr>
        </w:div>
        <w:div w:id="1250043003">
          <w:marLeft w:val="0"/>
          <w:marRight w:val="0"/>
          <w:marTop w:val="0"/>
          <w:marBottom w:val="0"/>
          <w:divBdr>
            <w:top w:val="none" w:sz="0" w:space="0" w:color="auto"/>
            <w:left w:val="none" w:sz="0" w:space="0" w:color="auto"/>
            <w:bottom w:val="none" w:sz="0" w:space="0" w:color="auto"/>
            <w:right w:val="none" w:sz="0" w:space="0" w:color="auto"/>
          </w:divBdr>
        </w:div>
      </w:divsChild>
    </w:div>
    <w:div w:id="208741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hyperlink" Target="http://researchcommons.waikato.ac.nz/bitstream/handle/10289/4885/thesis.pdf?sequence=3" TargetMode="External"/><Relationship Id="rId21" Type="http://schemas.openxmlformats.org/officeDocument/2006/relationships/chart" Target="charts/chart11.xml"/><Relationship Id="rId42" Type="http://schemas.openxmlformats.org/officeDocument/2006/relationships/hyperlink" Target="http://www.irrodl.org/index.php/irrodl/article/view/769/1503" TargetMode="External"/><Relationship Id="rId47" Type="http://schemas.openxmlformats.org/officeDocument/2006/relationships/hyperlink" Target="http://educationnext.org/online-learning-in-higher-education/" TargetMode="External"/><Relationship Id="rId63" Type="http://schemas.openxmlformats.org/officeDocument/2006/relationships/hyperlink" Target="http://www.irrodl.org/index.php/irrodl/article/view/2/22" TargetMode="External"/><Relationship Id="rId68" Type="http://schemas.openxmlformats.org/officeDocument/2006/relationships/hyperlink" Target="http://www.educationcounts.govt.nz/publications/ict/organisational-approaches-to-e-learning-in-the-tertiary-sector" TargetMode="External"/><Relationship Id="rId84" Type="http://schemas.openxmlformats.org/officeDocument/2006/relationships/hyperlink" Target="http://www.massey.ac.nz/massey/learning/distance-learning/profiles/ages.cfm" TargetMode="External"/><Relationship Id="rId89" Type="http://schemas.openxmlformats.org/officeDocument/2006/relationships/hyperlink" Target="http://www.irrodl.org/index.php/irrodl/article/view/455/1042" TargetMode="External"/><Relationship Id="rId112" Type="http://schemas.openxmlformats.org/officeDocument/2006/relationships/hyperlink" Target="http://jolt.merlot.org/Vol2_No2_TylerSmith.htm" TargetMode="External"/><Relationship Id="rId16" Type="http://schemas.openxmlformats.org/officeDocument/2006/relationships/chart" Target="charts/chart6.xml"/><Relationship Id="rId107" Type="http://schemas.openxmlformats.org/officeDocument/2006/relationships/hyperlink" Target="http://unitec.researchbank.ac.nz/bitstream/handle/10652/1278/fulltext.pdf?sequence=1" TargetMode="Externa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hyperlink" Target="http://www.irrodl.org/index.php/irrodl/article/view/630/1296" TargetMode="External"/><Relationship Id="rId58" Type="http://schemas.openxmlformats.org/officeDocument/2006/relationships/hyperlink" Target="http://www.educationcounts.govt.nz/__data/assets/pdf_file/0019/108703/Staying-the-course.pdf" TargetMode="External"/><Relationship Id="rId74" Type="http://schemas.openxmlformats.org/officeDocument/2006/relationships/hyperlink" Target="http://www.eurodl.org/materials/contrib/2009/Kelly_Stevens.pdf" TargetMode="External"/><Relationship Id="rId79" Type="http://schemas.openxmlformats.org/officeDocument/2006/relationships/hyperlink" Target="http://www.qou.edu/english/scientificResearch/eLearningResearchs/eLDropout.pdf" TargetMode="External"/><Relationship Id="rId102" Type="http://schemas.openxmlformats.org/officeDocument/2006/relationships/hyperlink" Target="http://repository.openpolytechnic.ac.nz/view.php?pid=openpoly:689" TargetMode="External"/><Relationship Id="rId123" Type="http://schemas.openxmlformats.org/officeDocument/2006/relationships/header" Target="header6.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scilite.org.au/conferences/sydney10/procs/Narayan-full.pdf" TargetMode="External"/><Relationship Id="rId95" Type="http://schemas.openxmlformats.org/officeDocument/2006/relationships/hyperlink" Target="http://www.col.org/pcf3/papers/pdfs/nooriafshar_mehryar.pdf"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hyperlink" Target="http://www.boppoly.ac.nz/go/faq/online-learning-faqs" TargetMode="External"/><Relationship Id="rId48" Type="http://schemas.openxmlformats.org/officeDocument/2006/relationships/hyperlink" Target="http://www.ascilite.org.au/ajet/ajet22/brine.html" TargetMode="External"/><Relationship Id="rId56" Type="http://schemas.openxmlformats.org/officeDocument/2006/relationships/hyperlink" Target="http://www.irrodl.org/index.php/irrodl/article/view/251/498" TargetMode="External"/><Relationship Id="rId64" Type="http://schemas.openxmlformats.org/officeDocument/2006/relationships/hyperlink" Target="http://www.eric.ed.gov/PDFS/EJ872409.pdf" TargetMode="External"/><Relationship Id="rId69" Type="http://schemas.openxmlformats.org/officeDocument/2006/relationships/hyperlink" Target="http://muir.massey.ac.nz/bitstream/handle/10179/2043/02_whole.pdf?sequence=1" TargetMode="External"/><Relationship Id="rId77" Type="http://schemas.openxmlformats.org/officeDocument/2006/relationships/hyperlink" Target="http://www.ascilite.org.au/ajet/ajet20/ladyshewsky.html" TargetMode="External"/><Relationship Id="rId100" Type="http://schemas.openxmlformats.org/officeDocument/2006/relationships/hyperlink" Target="http://books.google.co.nz/books?hl=en&amp;lr=&amp;id=iaIGpJj2JnQC&amp;oi=fnd&amp;pg=PR11&amp;dq=distance+student+profiles&amp;ots=u4Gp8lusNL&amp;sig=suZsuMoQAJLS1zjF8R-buoc1wLY" TargetMode="External"/><Relationship Id="rId105" Type="http://schemas.openxmlformats.org/officeDocument/2006/relationships/hyperlink" Target="http://www.educationcounts.govt.nz/publications/tertiary_education/42059" TargetMode="External"/><Relationship Id="rId113" Type="http://schemas.openxmlformats.org/officeDocument/2006/relationships/hyperlink" Target="http://muir.massey.ac.nz/bitstream/handle/10179/1591/Walker%20%20vom%20Brocke%20Clesol%20Proceedings%2009.pdf?sequence=3" TargetMode="External"/><Relationship Id="rId118" Type="http://schemas.openxmlformats.org/officeDocument/2006/relationships/header" Target="header3.xml"/><Relationship Id="rId12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www.ascilite.org.au/conferences/auckland09/procs/cartner.pdf" TargetMode="External"/><Relationship Id="rId72" Type="http://schemas.openxmlformats.org/officeDocument/2006/relationships/hyperlink" Target="http://www.educationcounts.govt.nz/publications/ict/57985" TargetMode="External"/><Relationship Id="rId80" Type="http://schemas.openxmlformats.org/officeDocument/2006/relationships/hyperlink" Target="http://researchcommons.waikato.ac.nz/bitstream/10289/3295/1/CEEOL_Article1.pdf" TargetMode="External"/><Relationship Id="rId85" Type="http://schemas.openxmlformats.org/officeDocument/2006/relationships/hyperlink" Target="http://www.massey.ac.nz/massey/learning/distance-learning/profiles/gender.cfm" TargetMode="External"/><Relationship Id="rId93" Type="http://schemas.openxmlformats.org/officeDocument/2006/relationships/hyperlink" Target="http://www.minedu.govt.nz/NZEducation/EducationPolicies/TertiaryEducation/PublicationsAndResources/~/media/MinEdu/Files/EducationSectors/TertiaryEducation/NZCERFinalReport.pdf" TargetMode="External"/><Relationship Id="rId98" Type="http://schemas.openxmlformats.org/officeDocument/2006/relationships/hyperlink" Target="http://www.openpolytechnic.ac.nz/study-with-us/our-students/" TargetMode="Externa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yperlink" Target="http://www.ascilite.org.au/conferences/sydney10/procs/Blyth-concise.pdf" TargetMode="External"/><Relationship Id="rId59" Type="http://schemas.openxmlformats.org/officeDocument/2006/relationships/hyperlink" Target="http://onlinelibrary.wiley.com/doi/10.1111/j.1540-4609.2006.00114.x/full" TargetMode="External"/><Relationship Id="rId67" Type="http://schemas.openxmlformats.org/officeDocument/2006/relationships/hyperlink" Target="http://www.educationcounts.govt.nz/__data/assets/pdf_file/0003/108462/E-Learning-Achievement-Report-2013.pdf" TargetMode="External"/><Relationship Id="rId103" Type="http://schemas.openxmlformats.org/officeDocument/2006/relationships/hyperlink" Target="http://cmapspublic2.ihmc.us/rid%3D1150160110784_1923299501_2758/rovai%25202003%2520persistenace%2520in%2520de%2520and%2520online%2520ed-%2520theory.pdf" TargetMode="External"/><Relationship Id="rId108" Type="http://schemas.openxmlformats.org/officeDocument/2006/relationships/hyperlink" Target="http://www.ascilite.org.au/ajet/ajet21/smith.html" TargetMode="External"/><Relationship Id="rId116" Type="http://schemas.openxmlformats.org/officeDocument/2006/relationships/hyperlink" Target="http://www.westga.edu/~distance/ojdla/summer82/wojciechowski82.htm" TargetMode="External"/><Relationship Id="rId124" Type="http://schemas.openxmlformats.org/officeDocument/2006/relationships/header" Target="header7.xml"/><Relationship Id="rId129" Type="http://schemas.microsoft.com/office/2007/relationships/stylesWithEffects" Target="stylesWithEffects.xml"/><Relationship Id="rId20" Type="http://schemas.openxmlformats.org/officeDocument/2006/relationships/chart" Target="charts/chart10.xml"/><Relationship Id="rId41" Type="http://schemas.openxmlformats.org/officeDocument/2006/relationships/hyperlink" Target="http://www.irrodl.org/index.php/irrodl/article/view/516/1075" TargetMode="External"/><Relationship Id="rId54" Type="http://schemas.openxmlformats.org/officeDocument/2006/relationships/hyperlink" Target="http://www.elsinnet.org.uk/research/mgg_files/BJET2005.pdf" TargetMode="External"/><Relationship Id="rId62" Type="http://schemas.openxmlformats.org/officeDocument/2006/relationships/hyperlink" Target="http://www.irrodl.org/index.php/irrodl/article/view/375/957" TargetMode="External"/><Relationship Id="rId70" Type="http://schemas.openxmlformats.org/officeDocument/2006/relationships/hyperlink" Target="http://www.educationcounts.govt.nz/__data/assets/pdf_file/0006/80628/Digital-Information-Literacy-Research-Report-FINAL-pdf.pdf" TargetMode="External"/><Relationship Id="rId75" Type="http://schemas.openxmlformats.org/officeDocument/2006/relationships/hyperlink" Target="http://www.ascilite.org.au/ajet/ajet24/kennedy.pdf" TargetMode="External"/><Relationship Id="rId83" Type="http://schemas.openxmlformats.org/officeDocument/2006/relationships/hyperlink" Target="http://connect.massey.ac.nz/distance_Learning" TargetMode="External"/><Relationship Id="rId88" Type="http://schemas.openxmlformats.org/officeDocument/2006/relationships/hyperlink" Target="http://cms.steo.govt.nz/NR/rdonlyres/D3CB4F3D-C4F4-4D0B-BDDC-D9D5B1C265FC/0/SingleDataReturnManual2013ver13.pdf" TargetMode="External"/><Relationship Id="rId91" Type="http://schemas.openxmlformats.org/officeDocument/2006/relationships/hyperlink" Target="http://www.ascilite.org.au/conferences/sydney10/procs/Naughton-full.pdf" TargetMode="External"/><Relationship Id="rId96" Type="http://schemas.openxmlformats.org/officeDocument/2006/relationships/hyperlink" Target="http://www.ncolr.org/jiol/issues/pdf/4.1.4.pdf" TargetMode="External"/><Relationship Id="rId111" Type="http://schemas.openxmlformats.org/officeDocument/2006/relationships/hyperlink" Target="http://www.tec.govt.nz/Reports/2012/Open-Polytechnic.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ir.canterbury.ac.nz/bitstream/10092/4203/2/thesis_fulltext.pdf" TargetMode="External"/><Relationship Id="rId57" Type="http://schemas.openxmlformats.org/officeDocument/2006/relationships/hyperlink" Target="http://learningleadersupport.com/wp-content/uploads/2012/01/Ellis-et-al-2009-R078.pdf" TargetMode="External"/><Relationship Id="rId106" Type="http://schemas.openxmlformats.org/officeDocument/2006/relationships/hyperlink" Target="http://www.heacademy.ac.uk/assets/documents/teachingandresearch/sharpe_benfield_roberts_francis.pdf" TargetMode="External"/><Relationship Id="rId114" Type="http://schemas.openxmlformats.org/officeDocument/2006/relationships/hyperlink" Target="http://www.educationcounts.govt.nz/__data/assets/pdf_file/0007/88288/Achivement-in-formal-tertiary-education.pdf" TargetMode="External"/><Relationship Id="rId119" Type="http://schemas.openxmlformats.org/officeDocument/2006/relationships/header" Target="header4.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chart" Target="charts/chart21.xml"/><Relationship Id="rId44" Type="http://schemas.openxmlformats.org/officeDocument/2006/relationships/hyperlink" Target="http://www.jstor.org/discover/10.2307/1170245?uid=3738776&amp;uid=2129&amp;uid=2&amp;uid=70&amp;uid=4&amp;sid=21102348990007" TargetMode="External"/><Relationship Id="rId52" Type="http://schemas.openxmlformats.org/officeDocument/2006/relationships/hyperlink" Target="http://www.deakin.edu.au/dro/eserv/DU:30017242/coldwell-onlinestudents-2008.pdf" TargetMode="External"/><Relationship Id="rId60" Type="http://schemas.openxmlformats.org/officeDocument/2006/relationships/hyperlink" Target="http://onlinelibrary.wiley.com/doi/10.1002/bmb.112/full" TargetMode="External"/><Relationship Id="rId65" Type="http://schemas.openxmlformats.org/officeDocument/2006/relationships/hyperlink" Target="http://www.ascilite.org.au/ajet/ajet22/giddings.html" TargetMode="External"/><Relationship Id="rId73" Type="http://schemas.openxmlformats.org/officeDocument/2006/relationships/hyperlink" Target="http://www.eurodl.org/materials/contrib/2007/Henry_Johnson.htm" TargetMode="External"/><Relationship Id="rId78" Type="http://schemas.openxmlformats.org/officeDocument/2006/relationships/hyperlink" Target="http://mro.massey.ac.nz/bitstream/handle/10179/680/DEANZ08White_Lamond.pdf?sequence=3" TargetMode="External"/><Relationship Id="rId81" Type="http://schemas.openxmlformats.org/officeDocument/2006/relationships/hyperlink" Target="http://www.ascilite.org.au/conferences/sydney10/procs/Loke-concise.pdf" TargetMode="External"/><Relationship Id="rId86" Type="http://schemas.openxmlformats.org/officeDocument/2006/relationships/hyperlink" Target="http://www.massey.ac.nz/massey/learning/distance-learning/profiles/ethnicity.cfm" TargetMode="External"/><Relationship Id="rId94" Type="http://schemas.openxmlformats.org/officeDocument/2006/relationships/hyperlink" Target="http://akoaotearoa.ac.nz/download/ng/file/group-661/n877-1---e-learning-in-context.pdf" TargetMode="External"/><Relationship Id="rId99" Type="http://schemas.openxmlformats.org/officeDocument/2006/relationships/hyperlink" Target="http://www.emeraldinsight.com/journals.htm?articleid=837824&amp;show=abstract" TargetMode="External"/><Relationship Id="rId101" Type="http://schemas.openxmlformats.org/officeDocument/2006/relationships/hyperlink" Target="http://www.irrodl.org/index.php/irrodl/article/view/603/1178" TargetMode="External"/><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educationcounts.govt.nz/" TargetMode="Externa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hyperlink" Target="http://www.irrodl.org/index.php/irrodl/article/viewArticle/765/1436" TargetMode="External"/><Relationship Id="rId109" Type="http://schemas.openxmlformats.org/officeDocument/2006/relationships/hyperlink" Target="http://www.irrodl.org/index.php/irrodl/article/view/325/743" TargetMode="External"/><Relationship Id="rId34" Type="http://schemas.openxmlformats.org/officeDocument/2006/relationships/chart" Target="charts/chart24.xml"/><Relationship Id="rId50" Type="http://schemas.openxmlformats.org/officeDocument/2006/relationships/hyperlink" Target="http://researcharchive.wintec.ac.nz/328/2/brown-poster.pdf" TargetMode="External"/><Relationship Id="rId55" Type="http://schemas.openxmlformats.org/officeDocument/2006/relationships/hyperlink" Target="http://www.educationcounts.govt.nz/__data/assets/word_doc/0009/77067/eLearningAdultLiteracy-summary.doc" TargetMode="External"/><Relationship Id="rId76" Type="http://schemas.openxmlformats.org/officeDocument/2006/relationships/hyperlink" Target="http://researchcommons.waikato.ac.nz/bitstream/10289/3961/1/thesis.pdf" TargetMode="External"/><Relationship Id="rId97" Type="http://schemas.openxmlformats.org/officeDocument/2006/relationships/hyperlink" Target="http://www.openpolytechnic.ac.nz/study-with-us/why-us/what-is-it-like-to-study-by-distance/" TargetMode="External"/><Relationship Id="rId104" Type="http://schemas.openxmlformats.org/officeDocument/2006/relationships/hyperlink" Target="http://books.google.co.nz/books?hl=en&amp;lr=&amp;id=FHCunwzqfEYC&amp;oi=fnd&amp;pg=PR7&amp;dq=definitions+of+distance+education&amp;ots=RLOPI_Qam7&amp;sig=wVw1gCajM3Dra_oEJvuBBd1wjzw" TargetMode="External"/><Relationship Id="rId120" Type="http://schemas.openxmlformats.org/officeDocument/2006/relationships/footer" Target="foot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eric.ed.gov/PDFS/ED402857.pdf" TargetMode="External"/><Relationship Id="rId92" Type="http://schemas.openxmlformats.org/officeDocument/2006/relationships/hyperlink" Target="http://ecampus.nmit.ac.nz/moodle/file.php/1/student_help_files/Online_study_-_whats_involved.pdf" TargetMode="Externa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hyperlink" Target="http://www.irrodl.org/index.php/irrodl/article/viewArticle/208/291" TargetMode="External"/><Relationship Id="rId45" Type="http://schemas.openxmlformats.org/officeDocument/2006/relationships/hyperlink" Target="http://www.irrodl.org/index.php/irrodl/article/viewArticle/385/1036" TargetMode="External"/><Relationship Id="rId66" Type="http://schemas.openxmlformats.org/officeDocument/2006/relationships/hyperlink" Target="http://www.educationcounts.govt.nz/__data/assets/pdf_file/0016/91222/E-LearningProvisionParticipation-25052011.pdf" TargetMode="External"/><Relationship Id="rId87" Type="http://schemas.openxmlformats.org/officeDocument/2006/relationships/hyperlink" Target="http://www.ascilite.org.au/conferences/melbourne08/procs/mcgrath.pdf" TargetMode="External"/><Relationship Id="rId110" Type="http://schemas.openxmlformats.org/officeDocument/2006/relationships/hyperlink" Target="http://www.tec.govt.nz/Reports/2012/Massey-University.pdf" TargetMode="External"/><Relationship Id="rId115" Type="http://schemas.openxmlformats.org/officeDocument/2006/relationships/hyperlink" Target="http://researchcommons.waikato.ac.nz/bitstream/10289/4184/3/thesis.pdf" TargetMode="External"/><Relationship Id="rId61" Type="http://schemas.openxmlformats.org/officeDocument/2006/relationships/hyperlink" Target="http://www.irrodl.org/index.php/irrodl/article/viewArticle/772/1547" TargetMode="External"/><Relationship Id="rId82" Type="http://schemas.openxmlformats.org/officeDocument/2006/relationships/hyperlink" Target="http://www.herdsa.org.au/wp-content/uploads/conference/2009/papers/HERDSA2009_Lynch_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inedu.govt.nz/NZEducation/EducationPolicies/TertiaryEducation/ELearning/WhatIsELearn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Provision%20and%20participation\Intramural-extramural%20provision%20and%20participation%20spread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ocfs02\tspar\Learners\e-Learning\Publications\Reports\Extramural%20Students%20Report\Information%20Sources\Achievement\Intramural%20&amp;%20extramural%20achievement%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'Overall graphs'!$A$3</c:f>
              <c:strCache>
                <c:ptCount val="1"/>
                <c:pt idx="0">
                  <c:v>2005</c:v>
                </c:pt>
              </c:strCache>
            </c:strRef>
          </c:tx>
          <c:cat>
            <c:strRef>
              <c:f>'Overall graphs'!$B$2:$C$2</c:f>
              <c:strCache>
                <c:ptCount val="2"/>
                <c:pt idx="0">
                  <c:v>Extramural</c:v>
                </c:pt>
                <c:pt idx="1">
                  <c:v>Intramural</c:v>
                </c:pt>
              </c:strCache>
            </c:strRef>
          </c:cat>
          <c:val>
            <c:numRef>
              <c:f>'Overall graphs'!$B$3:$C$3</c:f>
              <c:numCache>
                <c:formatCode>_-* #,##0.00_-;\-* #,##0.00_-;_-* "-"??_-;_-@_-</c:formatCode>
                <c:ptCount val="2"/>
                <c:pt idx="0">
                  <c:v>13.02</c:v>
                </c:pt>
                <c:pt idx="1">
                  <c:v>86.98</c:v>
                </c:pt>
              </c:numCache>
            </c:numRef>
          </c:val>
        </c:ser>
        <c:ser>
          <c:idx val="1"/>
          <c:order val="1"/>
          <c:tx>
            <c:strRef>
              <c:f>'Overall graphs'!$A$4</c:f>
              <c:strCache>
                <c:ptCount val="1"/>
                <c:pt idx="0">
                  <c:v>2011</c:v>
                </c:pt>
              </c:strCache>
            </c:strRef>
          </c:tx>
          <c:cat>
            <c:strRef>
              <c:f>'Overall graphs'!$B$2:$C$2</c:f>
              <c:strCache>
                <c:ptCount val="2"/>
                <c:pt idx="0">
                  <c:v>Extramural</c:v>
                </c:pt>
                <c:pt idx="1">
                  <c:v>Intramural</c:v>
                </c:pt>
              </c:strCache>
            </c:strRef>
          </c:cat>
          <c:val>
            <c:numRef>
              <c:f>'Overall graphs'!$B$4:$C$4</c:f>
              <c:numCache>
                <c:formatCode>_-* #,##0.00_-;\-* #,##0.00_-;_-* "-"??_-;_-@_-</c:formatCode>
                <c:ptCount val="2"/>
                <c:pt idx="0">
                  <c:v>12.5</c:v>
                </c:pt>
                <c:pt idx="1">
                  <c:v>87.5</c:v>
                </c:pt>
              </c:numCache>
            </c:numRef>
          </c:val>
        </c:ser>
        <c:axId val="80637952"/>
        <c:axId val="80639872"/>
      </c:barChart>
      <c:catAx>
        <c:axId val="80637952"/>
        <c:scaling>
          <c:orientation val="minMax"/>
        </c:scaling>
        <c:axPos val="b"/>
        <c:tickLblPos val="nextTo"/>
        <c:crossAx val="80639872"/>
        <c:crossesAt val="0"/>
        <c:auto val="1"/>
        <c:lblAlgn val="ctr"/>
        <c:lblOffset val="100"/>
      </c:catAx>
      <c:valAx>
        <c:axId val="80639872"/>
        <c:scaling>
          <c:orientation val="minMax"/>
          <c:max val="100"/>
          <c:min val="0"/>
        </c:scaling>
        <c:axPos val="l"/>
        <c:majorGridlines/>
        <c:title>
          <c:tx>
            <c:rich>
              <a:bodyPr rot="-5400000" vert="horz"/>
              <a:lstStyle/>
              <a:p>
                <a:pPr>
                  <a:defRPr/>
                </a:pPr>
                <a:r>
                  <a:rPr lang="en-US"/>
                  <a:t>Percent</a:t>
                </a:r>
              </a:p>
            </c:rich>
          </c:tx>
        </c:title>
        <c:numFmt formatCode="0" sourceLinked="0"/>
        <c:tickLblPos val="nextTo"/>
        <c:crossAx val="80637952"/>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'Ethnicity graphs'!$L$2</c:f>
              <c:strCache>
                <c:ptCount val="1"/>
                <c:pt idx="0">
                  <c:v>2005</c:v>
                </c:pt>
              </c:strCache>
            </c:strRef>
          </c:tx>
          <c:cat>
            <c:strRef>
              <c:f>'Ethnicity graphs'!$K$3:$K$6</c:f>
              <c:strCache>
                <c:ptCount val="4"/>
                <c:pt idx="0">
                  <c:v>European</c:v>
                </c:pt>
                <c:pt idx="1">
                  <c:v>Māori</c:v>
                </c:pt>
                <c:pt idx="2">
                  <c:v>Pasifika</c:v>
                </c:pt>
                <c:pt idx="3">
                  <c:v>Asian</c:v>
                </c:pt>
              </c:strCache>
            </c:strRef>
          </c:cat>
          <c:val>
            <c:numRef>
              <c:f>'Ethnicity graphs'!$L$3:$L$6</c:f>
              <c:numCache>
                <c:formatCode>General</c:formatCode>
                <c:ptCount val="4"/>
                <c:pt idx="0" formatCode="0.00">
                  <c:v>14</c:v>
                </c:pt>
                <c:pt idx="1">
                  <c:v>17.55</c:v>
                </c:pt>
                <c:pt idx="2">
                  <c:v>10.120000000000001</c:v>
                </c:pt>
                <c:pt idx="3">
                  <c:v>9.43</c:v>
                </c:pt>
              </c:numCache>
            </c:numRef>
          </c:val>
        </c:ser>
        <c:ser>
          <c:idx val="1"/>
          <c:order val="1"/>
          <c:tx>
            <c:strRef>
              <c:f>'Ethnicity graphs'!$M$2</c:f>
              <c:strCache>
                <c:ptCount val="1"/>
                <c:pt idx="0">
                  <c:v>2011</c:v>
                </c:pt>
              </c:strCache>
            </c:strRef>
          </c:tx>
          <c:cat>
            <c:strRef>
              <c:f>'Ethnicity graphs'!$K$3:$K$6</c:f>
              <c:strCache>
                <c:ptCount val="4"/>
                <c:pt idx="0">
                  <c:v>European</c:v>
                </c:pt>
                <c:pt idx="1">
                  <c:v>Māori</c:v>
                </c:pt>
                <c:pt idx="2">
                  <c:v>Pasifika</c:v>
                </c:pt>
                <c:pt idx="3">
                  <c:v>Asian</c:v>
                </c:pt>
              </c:strCache>
            </c:strRef>
          </c:cat>
          <c:val>
            <c:numRef>
              <c:f>'Ethnicity graphs'!$M$3:$M$6</c:f>
              <c:numCache>
                <c:formatCode>General</c:formatCode>
                <c:ptCount val="4"/>
                <c:pt idx="0">
                  <c:v>13.33</c:v>
                </c:pt>
                <c:pt idx="1">
                  <c:v>17.779999999999987</c:v>
                </c:pt>
                <c:pt idx="2">
                  <c:v>8.41</c:v>
                </c:pt>
                <c:pt idx="3">
                  <c:v>8.07</c:v>
                </c:pt>
              </c:numCache>
            </c:numRef>
          </c:val>
        </c:ser>
        <c:axId val="51652096"/>
        <c:axId val="51653632"/>
      </c:barChart>
      <c:catAx>
        <c:axId val="51652096"/>
        <c:scaling>
          <c:orientation val="minMax"/>
        </c:scaling>
        <c:axPos val="b"/>
        <c:tickLblPos val="nextTo"/>
        <c:crossAx val="51653632"/>
        <c:crosses val="autoZero"/>
        <c:auto val="1"/>
        <c:lblAlgn val="ctr"/>
        <c:lblOffset val="100"/>
      </c:catAx>
      <c:valAx>
        <c:axId val="51653632"/>
        <c:scaling>
          <c:orientation val="minMax"/>
          <c:max val="100"/>
        </c:scaling>
        <c:axPos val="l"/>
        <c:majorGridlines/>
        <c:title>
          <c:tx>
            <c:rich>
              <a:bodyPr rot="-5400000" vert="horz"/>
              <a:lstStyle/>
              <a:p>
                <a:pPr>
                  <a:defRPr/>
                </a:pPr>
                <a:r>
                  <a:rPr lang="en-US"/>
                  <a:t>Percent</a:t>
                </a:r>
              </a:p>
            </c:rich>
          </c:tx>
        </c:title>
        <c:numFmt formatCode="0" sourceLinked="0"/>
        <c:tickLblPos val="nextTo"/>
        <c:crossAx val="51652096"/>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5"/>
            <c:spPr>
              <a:solidFill>
                <a:schemeClr val="accent2"/>
              </a:solidFill>
            </c:spPr>
          </c:dPt>
          <c:dPt>
            <c:idx val="6"/>
            <c:spPr>
              <a:solidFill>
                <a:schemeClr val="accent3"/>
              </a:solidFill>
            </c:spPr>
          </c:dPt>
          <c:dPt>
            <c:idx val="7"/>
            <c:spPr>
              <a:solidFill>
                <a:schemeClr val="accent4"/>
              </a:solidFill>
            </c:spPr>
          </c:dPt>
          <c:dPt>
            <c:idx val="9"/>
            <c:spPr>
              <a:solidFill>
                <a:schemeClr val="accent2"/>
              </a:solidFill>
            </c:spPr>
          </c:dPt>
          <c:dPt>
            <c:idx val="10"/>
            <c:spPr>
              <a:solidFill>
                <a:schemeClr val="accent3"/>
              </a:solidFill>
            </c:spPr>
          </c:dPt>
          <c:dPt>
            <c:idx val="11"/>
            <c:spPr>
              <a:solidFill>
                <a:schemeClr val="accent4"/>
              </a:solidFill>
            </c:spPr>
          </c:dPt>
          <c:dPt>
            <c:idx val="13"/>
            <c:spPr>
              <a:solidFill>
                <a:schemeClr val="accent2"/>
              </a:solidFill>
            </c:spPr>
          </c:dPt>
          <c:dPt>
            <c:idx val="14"/>
            <c:spPr>
              <a:solidFill>
                <a:schemeClr val="accent3"/>
              </a:solidFill>
            </c:spPr>
          </c:dPt>
          <c:dPt>
            <c:idx val="15"/>
            <c:spPr>
              <a:solidFill>
                <a:schemeClr val="accent4"/>
              </a:solidFill>
            </c:spPr>
          </c:dPt>
          <c:cat>
            <c:multiLvlStrRef>
              <c:f>'Ethnicity graphs'!$O$23:$AD$24</c:f>
              <c:multiLvlStrCache>
                <c:ptCount val="16"/>
                <c:lvl>
                  <c:pt idx="0">
                    <c:v>Europeans</c:v>
                  </c:pt>
                  <c:pt idx="1">
                    <c:v>Māori </c:v>
                  </c:pt>
                  <c:pt idx="2">
                    <c:v>Pasifika</c:v>
                  </c:pt>
                  <c:pt idx="3">
                    <c:v>Asians</c:v>
                  </c:pt>
                  <c:pt idx="4">
                    <c:v>Europeans</c:v>
                  </c:pt>
                  <c:pt idx="5">
                    <c:v>Māori </c:v>
                  </c:pt>
                  <c:pt idx="6">
                    <c:v>Pasifika</c:v>
                  </c:pt>
                  <c:pt idx="7">
                    <c:v>Asians</c:v>
                  </c:pt>
                  <c:pt idx="8">
                    <c:v>Europeans</c:v>
                  </c:pt>
                  <c:pt idx="9">
                    <c:v>Māori </c:v>
                  </c:pt>
                  <c:pt idx="10">
                    <c:v>Pasifika</c:v>
                  </c:pt>
                  <c:pt idx="11">
                    <c:v>Asians</c:v>
                  </c:pt>
                  <c:pt idx="12">
                    <c:v>Europeans</c:v>
                  </c:pt>
                  <c:pt idx="13">
                    <c:v>Māori </c:v>
                  </c:pt>
                  <c:pt idx="14">
                    <c:v>Pasifika</c:v>
                  </c:pt>
                  <c:pt idx="15">
                    <c:v>Asians</c:v>
                  </c:pt>
                </c:lvl>
                <c:lvl>
                  <c:pt idx="0">
                    <c:v>Extramural             e-learning 2005</c:v>
                  </c:pt>
                  <c:pt idx="4">
                    <c:v>Extramural             e-learning 2011</c:v>
                  </c:pt>
                  <c:pt idx="8">
                    <c:v>Intramural             e-learning 2005</c:v>
                  </c:pt>
                  <c:pt idx="12">
                    <c:v>Intramural             e-learning 2011</c:v>
                  </c:pt>
                </c:lvl>
              </c:multiLvlStrCache>
            </c:multiLvlStrRef>
          </c:cat>
          <c:val>
            <c:numRef>
              <c:f>'Ethnicity graphs'!$O$25:$AD$25</c:f>
              <c:numCache>
                <c:formatCode>0.00</c:formatCode>
                <c:ptCount val="16"/>
                <c:pt idx="0" formatCode="General">
                  <c:v>68.669999999999987</c:v>
                </c:pt>
                <c:pt idx="1">
                  <c:v>48.6</c:v>
                </c:pt>
                <c:pt idx="2" formatCode="General">
                  <c:v>54.04</c:v>
                </c:pt>
                <c:pt idx="3" formatCode="General">
                  <c:v>23.19</c:v>
                </c:pt>
                <c:pt idx="4" formatCode="General">
                  <c:v>66.239999999999995</c:v>
                </c:pt>
                <c:pt idx="5">
                  <c:v>35.800000000000004</c:v>
                </c:pt>
                <c:pt idx="6" formatCode="General">
                  <c:v>60.620000000000012</c:v>
                </c:pt>
                <c:pt idx="7" formatCode="General">
                  <c:v>52.81</c:v>
                </c:pt>
                <c:pt idx="8">
                  <c:v>43.3</c:v>
                </c:pt>
                <c:pt idx="9" formatCode="General">
                  <c:v>20.71</c:v>
                </c:pt>
                <c:pt idx="10" formatCode="General">
                  <c:v>34.290000000000013</c:v>
                </c:pt>
                <c:pt idx="11" formatCode="General">
                  <c:v>59.38</c:v>
                </c:pt>
                <c:pt idx="12" formatCode="General">
                  <c:v>57.33</c:v>
                </c:pt>
                <c:pt idx="13" formatCode="General">
                  <c:v>35.720000000000013</c:v>
                </c:pt>
                <c:pt idx="14" formatCode="General">
                  <c:v>56.13</c:v>
                </c:pt>
                <c:pt idx="15" formatCode="General">
                  <c:v>64.95</c:v>
                </c:pt>
              </c:numCache>
            </c:numRef>
          </c:val>
        </c:ser>
        <c:axId val="51748864"/>
        <c:axId val="51750400"/>
      </c:barChart>
      <c:catAx>
        <c:axId val="51748864"/>
        <c:scaling>
          <c:orientation val="minMax"/>
        </c:scaling>
        <c:axPos val="b"/>
        <c:tickLblPos val="nextTo"/>
        <c:crossAx val="51750400"/>
        <c:crosses val="autoZero"/>
        <c:auto val="1"/>
        <c:lblAlgn val="ctr"/>
        <c:lblOffset val="100"/>
      </c:catAx>
      <c:valAx>
        <c:axId val="51750400"/>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51748864"/>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'Ethnicity Graphs'!$A$3</c:f>
              <c:strCache>
                <c:ptCount val="1"/>
                <c:pt idx="0">
                  <c:v>Europeans</c:v>
                </c:pt>
              </c:strCache>
            </c:strRef>
          </c:tx>
          <c:cat>
            <c:strRef>
              <c:f>'Ethnicity Graphs'!$B$2:$E$2</c:f>
              <c:strCache>
                <c:ptCount val="4"/>
                <c:pt idx="0">
                  <c:v>Extramural        No ICT</c:v>
                </c:pt>
                <c:pt idx="1">
                  <c:v>Intramural         No ICT</c:v>
                </c:pt>
                <c:pt idx="2">
                  <c:v>Extramural             e-learning</c:v>
                </c:pt>
                <c:pt idx="3">
                  <c:v>Intramural              e-learning</c:v>
                </c:pt>
              </c:strCache>
            </c:strRef>
          </c:cat>
          <c:val>
            <c:numRef>
              <c:f>'Ethnicity Graphs'!$B$3:$E$3</c:f>
              <c:numCache>
                <c:formatCode>General</c:formatCode>
                <c:ptCount val="4"/>
                <c:pt idx="0">
                  <c:v>65.099999999999994</c:v>
                </c:pt>
                <c:pt idx="1">
                  <c:v>77.7</c:v>
                </c:pt>
                <c:pt idx="2">
                  <c:v>61.8</c:v>
                </c:pt>
                <c:pt idx="3">
                  <c:v>77.400000000000006</c:v>
                </c:pt>
              </c:numCache>
            </c:numRef>
          </c:val>
        </c:ser>
        <c:ser>
          <c:idx val="1"/>
          <c:order val="1"/>
          <c:tx>
            <c:strRef>
              <c:f>'Ethnicity Graphs'!$A$4</c:f>
              <c:strCache>
                <c:ptCount val="1"/>
                <c:pt idx="0">
                  <c:v>Māori</c:v>
                </c:pt>
              </c:strCache>
            </c:strRef>
          </c:tx>
          <c:cat>
            <c:strRef>
              <c:f>'Ethnicity Graphs'!$B$2:$E$2</c:f>
              <c:strCache>
                <c:ptCount val="4"/>
                <c:pt idx="0">
                  <c:v>Extramural        No ICT</c:v>
                </c:pt>
                <c:pt idx="1">
                  <c:v>Intramural         No ICT</c:v>
                </c:pt>
                <c:pt idx="2">
                  <c:v>Extramural             e-learning</c:v>
                </c:pt>
                <c:pt idx="3">
                  <c:v>Intramural              e-learning</c:v>
                </c:pt>
              </c:strCache>
            </c:strRef>
          </c:cat>
          <c:val>
            <c:numRef>
              <c:f>'Ethnicity Graphs'!$B$4:$E$4</c:f>
              <c:numCache>
                <c:formatCode>General</c:formatCode>
                <c:ptCount val="4"/>
                <c:pt idx="0">
                  <c:v>57.2</c:v>
                </c:pt>
                <c:pt idx="1">
                  <c:v>61.6</c:v>
                </c:pt>
                <c:pt idx="2">
                  <c:v>44.8</c:v>
                </c:pt>
                <c:pt idx="3">
                  <c:v>56.2</c:v>
                </c:pt>
              </c:numCache>
            </c:numRef>
          </c:val>
        </c:ser>
        <c:ser>
          <c:idx val="2"/>
          <c:order val="2"/>
          <c:tx>
            <c:strRef>
              <c:f>'Ethnicity Graphs'!$A$5</c:f>
              <c:strCache>
                <c:ptCount val="1"/>
                <c:pt idx="0">
                  <c:v>Pasifika</c:v>
                </c:pt>
              </c:strCache>
            </c:strRef>
          </c:tx>
          <c:cat>
            <c:strRef>
              <c:f>'Ethnicity Graphs'!$B$2:$E$2</c:f>
              <c:strCache>
                <c:ptCount val="4"/>
                <c:pt idx="0">
                  <c:v>Extramural        No ICT</c:v>
                </c:pt>
                <c:pt idx="1">
                  <c:v>Intramural         No ICT</c:v>
                </c:pt>
                <c:pt idx="2">
                  <c:v>Extramural             e-learning</c:v>
                </c:pt>
                <c:pt idx="3">
                  <c:v>Intramural              e-learning</c:v>
                </c:pt>
              </c:strCache>
            </c:strRef>
          </c:cat>
          <c:val>
            <c:numRef>
              <c:f>'Ethnicity Graphs'!$B$5:$E$5</c:f>
              <c:numCache>
                <c:formatCode>General</c:formatCode>
                <c:ptCount val="4"/>
                <c:pt idx="0">
                  <c:v>54.2</c:v>
                </c:pt>
                <c:pt idx="1">
                  <c:v>61.4</c:v>
                </c:pt>
                <c:pt idx="2">
                  <c:v>43.2</c:v>
                </c:pt>
                <c:pt idx="3">
                  <c:v>59.2</c:v>
                </c:pt>
              </c:numCache>
            </c:numRef>
          </c:val>
        </c:ser>
        <c:ser>
          <c:idx val="3"/>
          <c:order val="3"/>
          <c:tx>
            <c:strRef>
              <c:f>'Ethnicity Graphs'!$A$6</c:f>
              <c:strCache>
                <c:ptCount val="1"/>
                <c:pt idx="0">
                  <c:v>Asians</c:v>
                </c:pt>
              </c:strCache>
            </c:strRef>
          </c:tx>
          <c:cat>
            <c:strRef>
              <c:f>'Ethnicity Graphs'!$B$2:$E$2</c:f>
              <c:strCache>
                <c:ptCount val="4"/>
                <c:pt idx="0">
                  <c:v>Extramural        No ICT</c:v>
                </c:pt>
                <c:pt idx="1">
                  <c:v>Intramural         No ICT</c:v>
                </c:pt>
                <c:pt idx="2">
                  <c:v>Extramural             e-learning</c:v>
                </c:pt>
                <c:pt idx="3">
                  <c:v>Intramural              e-learning</c:v>
                </c:pt>
              </c:strCache>
            </c:strRef>
          </c:cat>
          <c:val>
            <c:numRef>
              <c:f>'Ethnicity Graphs'!$B$6:$E$6</c:f>
              <c:numCache>
                <c:formatCode>General</c:formatCode>
                <c:ptCount val="4"/>
                <c:pt idx="0">
                  <c:v>73.900000000000006</c:v>
                </c:pt>
                <c:pt idx="1">
                  <c:v>79.8</c:v>
                </c:pt>
                <c:pt idx="2">
                  <c:v>62.3</c:v>
                </c:pt>
                <c:pt idx="3">
                  <c:v>78.8</c:v>
                </c:pt>
              </c:numCache>
            </c:numRef>
          </c:val>
        </c:ser>
        <c:axId val="66071552"/>
        <c:axId val="66536192"/>
      </c:barChart>
      <c:catAx>
        <c:axId val="66071552"/>
        <c:scaling>
          <c:orientation val="minMax"/>
        </c:scaling>
        <c:axPos val="b"/>
        <c:tickLblPos val="nextTo"/>
        <c:crossAx val="66536192"/>
        <c:crosses val="autoZero"/>
        <c:auto val="1"/>
        <c:lblAlgn val="ctr"/>
        <c:lblOffset val="100"/>
      </c:catAx>
      <c:valAx>
        <c:axId val="66536192"/>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6607155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'Prior Activity Graphs'!$M$2</c:f>
              <c:strCache>
                <c:ptCount val="1"/>
                <c:pt idx="0">
                  <c:v>2005</c:v>
                </c:pt>
              </c:strCache>
            </c:strRef>
          </c:tx>
          <c:cat>
            <c:strRef>
              <c:f>'Prior Activity Graphs'!$L$3:$L$7</c:f>
              <c:strCache>
                <c:ptCount val="5"/>
                <c:pt idx="0">
                  <c:v>Working</c:v>
                </c:pt>
                <c:pt idx="1">
                  <c:v>HP/R</c:v>
                </c:pt>
                <c:pt idx="2">
                  <c:v>Not Working</c:v>
                </c:pt>
                <c:pt idx="3">
                  <c:v>School Leavers</c:v>
                </c:pt>
                <c:pt idx="4">
                  <c:v>Tertiary</c:v>
                </c:pt>
              </c:strCache>
            </c:strRef>
          </c:cat>
          <c:val>
            <c:numRef>
              <c:f>'Prior Activity Graphs'!$M$3:$M$7</c:f>
              <c:numCache>
                <c:formatCode>General</c:formatCode>
                <c:ptCount val="5"/>
                <c:pt idx="0">
                  <c:v>19.82</c:v>
                </c:pt>
                <c:pt idx="1">
                  <c:v>29.29</c:v>
                </c:pt>
                <c:pt idx="2">
                  <c:v>21.650000000000002</c:v>
                </c:pt>
                <c:pt idx="3">
                  <c:v>4.4700000000000006</c:v>
                </c:pt>
                <c:pt idx="4">
                  <c:v>9.91</c:v>
                </c:pt>
              </c:numCache>
            </c:numRef>
          </c:val>
        </c:ser>
        <c:ser>
          <c:idx val="1"/>
          <c:order val="1"/>
          <c:tx>
            <c:strRef>
              <c:f>'Prior Activity Graphs'!$N$2</c:f>
              <c:strCache>
                <c:ptCount val="1"/>
                <c:pt idx="0">
                  <c:v>2011</c:v>
                </c:pt>
              </c:strCache>
            </c:strRef>
          </c:tx>
          <c:cat>
            <c:strRef>
              <c:f>'Prior Activity Graphs'!$L$3:$L$7</c:f>
              <c:strCache>
                <c:ptCount val="5"/>
                <c:pt idx="0">
                  <c:v>Working</c:v>
                </c:pt>
                <c:pt idx="1">
                  <c:v>HP/R</c:v>
                </c:pt>
                <c:pt idx="2">
                  <c:v>Not Working</c:v>
                </c:pt>
                <c:pt idx="3">
                  <c:v>School Leavers</c:v>
                </c:pt>
                <c:pt idx="4">
                  <c:v>Tertiary</c:v>
                </c:pt>
              </c:strCache>
            </c:strRef>
          </c:cat>
          <c:val>
            <c:numRef>
              <c:f>'Prior Activity Graphs'!$N$3:$N$7</c:f>
              <c:numCache>
                <c:formatCode>General</c:formatCode>
                <c:ptCount val="5"/>
                <c:pt idx="0">
                  <c:v>21.85</c:v>
                </c:pt>
                <c:pt idx="1">
                  <c:v>34.01</c:v>
                </c:pt>
                <c:pt idx="2">
                  <c:v>17.479999999999997</c:v>
                </c:pt>
                <c:pt idx="3">
                  <c:v>1.9100000000000001</c:v>
                </c:pt>
                <c:pt idx="4">
                  <c:v>12.96</c:v>
                </c:pt>
              </c:numCache>
            </c:numRef>
          </c:val>
        </c:ser>
        <c:axId val="66618880"/>
        <c:axId val="66620416"/>
      </c:barChart>
      <c:catAx>
        <c:axId val="66618880"/>
        <c:scaling>
          <c:orientation val="minMax"/>
        </c:scaling>
        <c:axPos val="b"/>
        <c:tickLblPos val="nextTo"/>
        <c:crossAx val="66620416"/>
        <c:crosses val="autoZero"/>
        <c:auto val="1"/>
        <c:lblAlgn val="ctr"/>
        <c:lblOffset val="100"/>
      </c:catAx>
      <c:valAx>
        <c:axId val="66620416"/>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66618880"/>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4"/>
            <c:spPr>
              <a:solidFill>
                <a:srgbClr val="00B0F0"/>
              </a:solidFill>
            </c:spPr>
          </c:dPt>
          <c:dPt>
            <c:idx val="6"/>
            <c:spPr>
              <a:solidFill>
                <a:schemeClr val="accent2"/>
              </a:solidFill>
            </c:spPr>
          </c:dPt>
          <c:dPt>
            <c:idx val="7"/>
            <c:spPr>
              <a:solidFill>
                <a:schemeClr val="accent3"/>
              </a:solidFill>
            </c:spPr>
          </c:dPt>
          <c:dPt>
            <c:idx val="8"/>
            <c:spPr>
              <a:solidFill>
                <a:schemeClr val="accent4"/>
              </a:solidFill>
            </c:spPr>
          </c:dPt>
          <c:dPt>
            <c:idx val="9"/>
            <c:spPr>
              <a:solidFill>
                <a:schemeClr val="accent5"/>
              </a:solidFill>
            </c:spPr>
          </c:dPt>
          <c:dPt>
            <c:idx val="11"/>
            <c:spPr>
              <a:solidFill>
                <a:schemeClr val="accent2"/>
              </a:solidFill>
            </c:spPr>
          </c:dPt>
          <c:dPt>
            <c:idx val="12"/>
            <c:spPr>
              <a:solidFill>
                <a:schemeClr val="accent3"/>
              </a:solidFill>
            </c:spPr>
          </c:dPt>
          <c:dPt>
            <c:idx val="13"/>
            <c:spPr>
              <a:solidFill>
                <a:schemeClr val="accent4"/>
              </a:solidFill>
            </c:spPr>
          </c:dPt>
          <c:dPt>
            <c:idx val="14"/>
            <c:spPr>
              <a:solidFill>
                <a:schemeClr val="accent5"/>
              </a:solidFill>
            </c:spPr>
          </c:dPt>
          <c:dPt>
            <c:idx val="16"/>
            <c:spPr>
              <a:solidFill>
                <a:schemeClr val="accent2"/>
              </a:solidFill>
            </c:spPr>
          </c:dPt>
          <c:dPt>
            <c:idx val="17"/>
            <c:spPr>
              <a:solidFill>
                <a:schemeClr val="accent3"/>
              </a:solidFill>
            </c:spPr>
          </c:dPt>
          <c:dPt>
            <c:idx val="18"/>
            <c:spPr>
              <a:solidFill>
                <a:schemeClr val="accent4"/>
              </a:solidFill>
            </c:spPr>
          </c:dPt>
          <c:dPt>
            <c:idx val="19"/>
            <c:spPr>
              <a:solidFill>
                <a:schemeClr val="accent5"/>
              </a:solidFill>
            </c:spPr>
          </c:dPt>
          <c:cat>
            <c:multiLvlStrRef>
              <c:f>'Prior Activity Graphs'!$A$25:$T$26</c:f>
              <c:multiLvlStrCache>
                <c:ptCount val="20"/>
                <c:lvl>
                  <c:pt idx="0">
                    <c:v>Working</c:v>
                  </c:pt>
                  <c:pt idx="1">
                    <c:v>HP/R</c:v>
                  </c:pt>
                  <c:pt idx="2">
                    <c:v>Not Working</c:v>
                  </c:pt>
                  <c:pt idx="3">
                    <c:v>School Leavers</c:v>
                  </c:pt>
                  <c:pt idx="4">
                    <c:v>Tertiary</c:v>
                  </c:pt>
                  <c:pt idx="5">
                    <c:v>Working</c:v>
                  </c:pt>
                  <c:pt idx="6">
                    <c:v>HP/R</c:v>
                  </c:pt>
                  <c:pt idx="7">
                    <c:v>Not Working</c:v>
                  </c:pt>
                  <c:pt idx="8">
                    <c:v>School Leavers</c:v>
                  </c:pt>
                  <c:pt idx="9">
                    <c:v>Tertiary</c:v>
                  </c:pt>
                  <c:pt idx="10">
                    <c:v>Working</c:v>
                  </c:pt>
                  <c:pt idx="11">
                    <c:v>HP/R</c:v>
                  </c:pt>
                  <c:pt idx="12">
                    <c:v>Not Working</c:v>
                  </c:pt>
                  <c:pt idx="13">
                    <c:v>School Leavers</c:v>
                  </c:pt>
                  <c:pt idx="14">
                    <c:v>Tertiary</c:v>
                  </c:pt>
                  <c:pt idx="15">
                    <c:v>Working</c:v>
                  </c:pt>
                  <c:pt idx="16">
                    <c:v>HP/R</c:v>
                  </c:pt>
                  <c:pt idx="17">
                    <c:v>Not Working</c:v>
                  </c:pt>
                  <c:pt idx="18">
                    <c:v>School Leavers</c:v>
                  </c:pt>
                  <c:pt idx="19">
                    <c:v>Tertiary</c:v>
                  </c:pt>
                </c:lvl>
                <c:lvl>
                  <c:pt idx="0">
                    <c:v>Extramural        No ICT 2005</c:v>
                  </c:pt>
                  <c:pt idx="5">
                    <c:v>Extramural        No ICT 2011</c:v>
                  </c:pt>
                  <c:pt idx="10">
                    <c:v>Extramural             e-learning 2005</c:v>
                  </c:pt>
                  <c:pt idx="15">
                    <c:v>Extramural             e-learning 2011</c:v>
                  </c:pt>
                </c:lvl>
              </c:multiLvlStrCache>
            </c:multiLvlStrRef>
          </c:cat>
          <c:val>
            <c:numRef>
              <c:f>'Prior Activity Graphs'!$A$27:$T$27</c:f>
              <c:numCache>
                <c:formatCode>General</c:formatCode>
                <c:ptCount val="20"/>
                <c:pt idx="0">
                  <c:v>41.49</c:v>
                </c:pt>
                <c:pt idx="1">
                  <c:v>46.260000000000005</c:v>
                </c:pt>
                <c:pt idx="2">
                  <c:v>49.730000000000004</c:v>
                </c:pt>
                <c:pt idx="3">
                  <c:v>22.91</c:v>
                </c:pt>
                <c:pt idx="4">
                  <c:v>41.42</c:v>
                </c:pt>
                <c:pt idx="5">
                  <c:v>40.28</c:v>
                </c:pt>
                <c:pt idx="6" formatCode="0.00">
                  <c:v>50.7</c:v>
                </c:pt>
                <c:pt idx="7">
                  <c:v>60.13</c:v>
                </c:pt>
                <c:pt idx="8">
                  <c:v>42.690000000000005</c:v>
                </c:pt>
                <c:pt idx="9">
                  <c:v>32.15</c:v>
                </c:pt>
                <c:pt idx="10">
                  <c:v>58.51</c:v>
                </c:pt>
                <c:pt idx="11">
                  <c:v>53.74</c:v>
                </c:pt>
                <c:pt idx="12">
                  <c:v>50.27</c:v>
                </c:pt>
                <c:pt idx="13">
                  <c:v>77.09</c:v>
                </c:pt>
                <c:pt idx="14">
                  <c:v>58.58</c:v>
                </c:pt>
                <c:pt idx="15">
                  <c:v>59.720000000000006</c:v>
                </c:pt>
                <c:pt idx="16" formatCode="_-* #,##0.00_-;\-* #,##0.00_-;_-* &quot;-&quot;??_-;_-@_-">
                  <c:v>49.3</c:v>
                </c:pt>
                <c:pt idx="17">
                  <c:v>39.870000000000005</c:v>
                </c:pt>
                <c:pt idx="18">
                  <c:v>57.309999999999995</c:v>
                </c:pt>
                <c:pt idx="19">
                  <c:v>67.849999999999994</c:v>
                </c:pt>
              </c:numCache>
            </c:numRef>
          </c:val>
        </c:ser>
        <c:axId val="71742592"/>
        <c:axId val="71744128"/>
      </c:barChart>
      <c:catAx>
        <c:axId val="71742592"/>
        <c:scaling>
          <c:orientation val="minMax"/>
        </c:scaling>
        <c:axPos val="b"/>
        <c:tickLblPos val="nextTo"/>
        <c:crossAx val="71744128"/>
        <c:crosses val="autoZero"/>
        <c:auto val="1"/>
        <c:lblAlgn val="ctr"/>
        <c:lblOffset val="100"/>
      </c:catAx>
      <c:valAx>
        <c:axId val="71744128"/>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174259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'Prior Activity Graphs'!$B$2</c:f>
              <c:strCache>
                <c:ptCount val="1"/>
                <c:pt idx="0">
                  <c:v>Extramural No ICT</c:v>
                </c:pt>
              </c:strCache>
            </c:strRef>
          </c:tx>
          <c:cat>
            <c:strRef>
              <c:f>'Prior Activity Graphs'!$A$3:$A$7</c:f>
              <c:strCache>
                <c:ptCount val="5"/>
                <c:pt idx="0">
                  <c:v>Working</c:v>
                </c:pt>
                <c:pt idx="1">
                  <c:v>HP/R</c:v>
                </c:pt>
                <c:pt idx="2">
                  <c:v>Not Working</c:v>
                </c:pt>
                <c:pt idx="3">
                  <c:v>School Leavers</c:v>
                </c:pt>
                <c:pt idx="4">
                  <c:v>Tertiary</c:v>
                </c:pt>
              </c:strCache>
            </c:strRef>
          </c:cat>
          <c:val>
            <c:numRef>
              <c:f>'Prior Activity Graphs'!$B$3:$B$7</c:f>
              <c:numCache>
                <c:formatCode>General</c:formatCode>
                <c:ptCount val="5"/>
                <c:pt idx="0">
                  <c:v>64.099999999999994</c:v>
                </c:pt>
                <c:pt idx="1">
                  <c:v>71.8</c:v>
                </c:pt>
                <c:pt idx="2">
                  <c:v>55.5</c:v>
                </c:pt>
                <c:pt idx="3">
                  <c:v>59.9</c:v>
                </c:pt>
                <c:pt idx="4">
                  <c:v>68.7</c:v>
                </c:pt>
              </c:numCache>
            </c:numRef>
          </c:val>
        </c:ser>
        <c:ser>
          <c:idx val="1"/>
          <c:order val="1"/>
          <c:tx>
            <c:strRef>
              <c:f>'Prior Activity Graphs'!$C$2</c:f>
              <c:strCache>
                <c:ptCount val="1"/>
                <c:pt idx="0">
                  <c:v>Intramural No ICT</c:v>
                </c:pt>
              </c:strCache>
            </c:strRef>
          </c:tx>
          <c:cat>
            <c:strRef>
              <c:f>'Prior Activity Graphs'!$A$3:$A$7</c:f>
              <c:strCache>
                <c:ptCount val="5"/>
                <c:pt idx="0">
                  <c:v>Working</c:v>
                </c:pt>
                <c:pt idx="1">
                  <c:v>HP/R</c:v>
                </c:pt>
                <c:pt idx="2">
                  <c:v>Not Working</c:v>
                </c:pt>
                <c:pt idx="3">
                  <c:v>School Leavers</c:v>
                </c:pt>
                <c:pt idx="4">
                  <c:v>Tertiary</c:v>
                </c:pt>
              </c:strCache>
            </c:strRef>
          </c:cat>
          <c:val>
            <c:numRef>
              <c:f>'Prior Activity Graphs'!$C$3:$C$7</c:f>
              <c:numCache>
                <c:formatCode>General</c:formatCode>
                <c:ptCount val="5"/>
                <c:pt idx="0">
                  <c:v>71.8</c:v>
                </c:pt>
                <c:pt idx="1">
                  <c:v>74.400000000000006</c:v>
                </c:pt>
                <c:pt idx="2" formatCode="0.0">
                  <c:v>55</c:v>
                </c:pt>
                <c:pt idx="3">
                  <c:v>79.7</c:v>
                </c:pt>
                <c:pt idx="4">
                  <c:v>75.5</c:v>
                </c:pt>
              </c:numCache>
            </c:numRef>
          </c:val>
        </c:ser>
        <c:ser>
          <c:idx val="2"/>
          <c:order val="2"/>
          <c:tx>
            <c:strRef>
              <c:f>'Prior Activity Graphs'!$D$2</c:f>
              <c:strCache>
                <c:ptCount val="1"/>
                <c:pt idx="0">
                  <c:v>Extramural e-learning</c:v>
                </c:pt>
              </c:strCache>
            </c:strRef>
          </c:tx>
          <c:cat>
            <c:strRef>
              <c:f>'Prior Activity Graphs'!$A$3:$A$7</c:f>
              <c:strCache>
                <c:ptCount val="5"/>
                <c:pt idx="0">
                  <c:v>Working</c:v>
                </c:pt>
                <c:pt idx="1">
                  <c:v>HP/R</c:v>
                </c:pt>
                <c:pt idx="2">
                  <c:v>Not Working</c:v>
                </c:pt>
                <c:pt idx="3">
                  <c:v>School Leavers</c:v>
                </c:pt>
                <c:pt idx="4">
                  <c:v>Tertiary</c:v>
                </c:pt>
              </c:strCache>
            </c:strRef>
          </c:cat>
          <c:val>
            <c:numRef>
              <c:f>'Prior Activity Graphs'!$D$3:$D$7</c:f>
              <c:numCache>
                <c:formatCode>General</c:formatCode>
                <c:ptCount val="5"/>
                <c:pt idx="0">
                  <c:v>59.2</c:v>
                </c:pt>
                <c:pt idx="1">
                  <c:v>59.8</c:v>
                </c:pt>
                <c:pt idx="2">
                  <c:v>42.6</c:v>
                </c:pt>
                <c:pt idx="3">
                  <c:v>58.8</c:v>
                </c:pt>
                <c:pt idx="4">
                  <c:v>60.6</c:v>
                </c:pt>
              </c:numCache>
            </c:numRef>
          </c:val>
        </c:ser>
        <c:ser>
          <c:idx val="3"/>
          <c:order val="3"/>
          <c:tx>
            <c:strRef>
              <c:f>'Prior Activity Graphs'!$E$2</c:f>
              <c:strCache>
                <c:ptCount val="1"/>
                <c:pt idx="0">
                  <c:v>Intramural e-learning</c:v>
                </c:pt>
              </c:strCache>
            </c:strRef>
          </c:tx>
          <c:cat>
            <c:strRef>
              <c:f>'Prior Activity Graphs'!$A$3:$A$7</c:f>
              <c:strCache>
                <c:ptCount val="5"/>
                <c:pt idx="0">
                  <c:v>Working</c:v>
                </c:pt>
                <c:pt idx="1">
                  <c:v>HP/R</c:v>
                </c:pt>
                <c:pt idx="2">
                  <c:v>Not Working</c:v>
                </c:pt>
                <c:pt idx="3">
                  <c:v>School Leavers</c:v>
                </c:pt>
                <c:pt idx="4">
                  <c:v>Tertiary</c:v>
                </c:pt>
              </c:strCache>
            </c:strRef>
          </c:cat>
          <c:val>
            <c:numRef>
              <c:f>'Prior Activity Graphs'!$E$3:$E$7</c:f>
              <c:numCache>
                <c:formatCode>General</c:formatCode>
                <c:ptCount val="5"/>
                <c:pt idx="0">
                  <c:v>70.599999999999994</c:v>
                </c:pt>
                <c:pt idx="1">
                  <c:v>74.2</c:v>
                </c:pt>
                <c:pt idx="2">
                  <c:v>53.1</c:v>
                </c:pt>
                <c:pt idx="3">
                  <c:v>78.599999999999994</c:v>
                </c:pt>
                <c:pt idx="4">
                  <c:v>74.3</c:v>
                </c:pt>
              </c:numCache>
            </c:numRef>
          </c:val>
        </c:ser>
        <c:axId val="72966912"/>
        <c:axId val="72968448"/>
      </c:barChart>
      <c:catAx>
        <c:axId val="72966912"/>
        <c:scaling>
          <c:orientation val="minMax"/>
        </c:scaling>
        <c:axPos val="b"/>
        <c:tickLblPos val="nextTo"/>
        <c:crossAx val="72968448"/>
        <c:crosses val="autoZero"/>
        <c:auto val="1"/>
        <c:lblAlgn val="ctr"/>
        <c:lblOffset val="100"/>
      </c:catAx>
      <c:valAx>
        <c:axId val="72968448"/>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7296691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'Full-time part-time graphs'!$H$3</c:f>
              <c:strCache>
                <c:ptCount val="1"/>
                <c:pt idx="0">
                  <c:v>Full-time</c:v>
                </c:pt>
              </c:strCache>
            </c:strRef>
          </c:tx>
          <c:cat>
            <c:strRef>
              <c:f>'Full-time part-time graphs'!$I$2:$L$2</c:f>
              <c:strCache>
                <c:ptCount val="4"/>
                <c:pt idx="0">
                  <c:v>Extramural 2005</c:v>
                </c:pt>
                <c:pt idx="1">
                  <c:v>Intramural 2005</c:v>
                </c:pt>
                <c:pt idx="2">
                  <c:v>Extramural 2011</c:v>
                </c:pt>
                <c:pt idx="3">
                  <c:v>Intramural 2011</c:v>
                </c:pt>
              </c:strCache>
            </c:strRef>
          </c:cat>
          <c:val>
            <c:numRef>
              <c:f>'Full-time part-time graphs'!$I$3:$L$3</c:f>
              <c:numCache>
                <c:formatCode>General</c:formatCode>
                <c:ptCount val="4"/>
                <c:pt idx="0">
                  <c:v>5.3599999999999985</c:v>
                </c:pt>
                <c:pt idx="1">
                  <c:v>94.64</c:v>
                </c:pt>
                <c:pt idx="2" formatCode="0.00">
                  <c:v>6.7</c:v>
                </c:pt>
                <c:pt idx="3" formatCode="0.00">
                  <c:v>93.3</c:v>
                </c:pt>
              </c:numCache>
            </c:numRef>
          </c:val>
        </c:ser>
        <c:ser>
          <c:idx val="1"/>
          <c:order val="1"/>
          <c:tx>
            <c:strRef>
              <c:f>'Full-time part-time graphs'!$H$4</c:f>
              <c:strCache>
                <c:ptCount val="1"/>
                <c:pt idx="0">
                  <c:v>Part-time</c:v>
                </c:pt>
              </c:strCache>
            </c:strRef>
          </c:tx>
          <c:cat>
            <c:strRef>
              <c:f>'Full-time part-time graphs'!$I$2:$L$2</c:f>
              <c:strCache>
                <c:ptCount val="4"/>
                <c:pt idx="0">
                  <c:v>Extramural 2005</c:v>
                </c:pt>
                <c:pt idx="1">
                  <c:v>Intramural 2005</c:v>
                </c:pt>
                <c:pt idx="2">
                  <c:v>Extramural 2011</c:v>
                </c:pt>
                <c:pt idx="3">
                  <c:v>Intramural 2011</c:v>
                </c:pt>
              </c:strCache>
            </c:strRef>
          </c:cat>
          <c:val>
            <c:numRef>
              <c:f>'Full-time part-time graphs'!$I$4:$L$4</c:f>
              <c:numCache>
                <c:formatCode>General</c:formatCode>
                <c:ptCount val="4"/>
                <c:pt idx="0">
                  <c:v>36.550000000000004</c:v>
                </c:pt>
                <c:pt idx="1">
                  <c:v>63.449999999999996</c:v>
                </c:pt>
                <c:pt idx="2">
                  <c:v>35.349999999999994</c:v>
                </c:pt>
                <c:pt idx="3">
                  <c:v>64.649999999999991</c:v>
                </c:pt>
              </c:numCache>
            </c:numRef>
          </c:val>
        </c:ser>
        <c:axId val="73308800"/>
        <c:axId val="73355648"/>
      </c:barChart>
      <c:catAx>
        <c:axId val="73308800"/>
        <c:scaling>
          <c:orientation val="minMax"/>
        </c:scaling>
        <c:axPos val="b"/>
        <c:tickLblPos val="nextTo"/>
        <c:crossAx val="73355648"/>
        <c:crosses val="autoZero"/>
        <c:auto val="1"/>
        <c:lblAlgn val="ctr"/>
        <c:lblOffset val="100"/>
      </c:catAx>
      <c:valAx>
        <c:axId val="73355648"/>
        <c:scaling>
          <c:orientation val="minMax"/>
        </c:scaling>
        <c:axPos val="l"/>
        <c:majorGridlines/>
        <c:title>
          <c:tx>
            <c:rich>
              <a:bodyPr rot="-5400000" vert="horz"/>
              <a:lstStyle/>
              <a:p>
                <a:pPr>
                  <a:defRPr/>
                </a:pPr>
                <a:r>
                  <a:rPr lang="en-US"/>
                  <a:t>Percent</a:t>
                </a:r>
              </a:p>
            </c:rich>
          </c:tx>
        </c:title>
        <c:numFmt formatCode="General" sourceLinked="1"/>
        <c:tickLblPos val="nextTo"/>
        <c:crossAx val="73308800"/>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'Full-time part-time graphs'!$B$27</c:f>
              <c:strCache>
                <c:ptCount val="1"/>
                <c:pt idx="0">
                  <c:v>2005</c:v>
                </c:pt>
              </c:strCache>
            </c:strRef>
          </c:tx>
          <c:cat>
            <c:strRef>
              <c:f>'Full-time part-time graphs'!$A$28:$A$31</c:f>
              <c:strCache>
                <c:ptCount val="4"/>
                <c:pt idx="0">
                  <c:v>Full-time            No ICT</c:v>
                </c:pt>
                <c:pt idx="1">
                  <c:v>Part-time           No ICT</c:v>
                </c:pt>
                <c:pt idx="2">
                  <c:v>Full-time                e-learning</c:v>
                </c:pt>
                <c:pt idx="3">
                  <c:v>Part-time                e-learning</c:v>
                </c:pt>
              </c:strCache>
            </c:strRef>
          </c:cat>
          <c:val>
            <c:numRef>
              <c:f>'Full-time part-time graphs'!$B$28:$B$31</c:f>
              <c:numCache>
                <c:formatCode>_-* #,##0.00_-;\-* #,##0.00_-;_-* "-"??_-;_-@_-</c:formatCode>
                <c:ptCount val="4"/>
                <c:pt idx="0">
                  <c:v>42.71</c:v>
                </c:pt>
                <c:pt idx="1">
                  <c:v>43.06</c:v>
                </c:pt>
                <c:pt idx="2" formatCode="General">
                  <c:v>57.290000000000006</c:v>
                </c:pt>
                <c:pt idx="3">
                  <c:v>56.94</c:v>
                </c:pt>
              </c:numCache>
            </c:numRef>
          </c:val>
        </c:ser>
        <c:ser>
          <c:idx val="1"/>
          <c:order val="1"/>
          <c:tx>
            <c:strRef>
              <c:f>'Full-time part-time graphs'!$C$27</c:f>
              <c:strCache>
                <c:ptCount val="1"/>
                <c:pt idx="0">
                  <c:v>2011</c:v>
                </c:pt>
              </c:strCache>
            </c:strRef>
          </c:tx>
          <c:cat>
            <c:strRef>
              <c:f>'Full-time part-time graphs'!$A$28:$A$31</c:f>
              <c:strCache>
                <c:ptCount val="4"/>
                <c:pt idx="0">
                  <c:v>Full-time            No ICT</c:v>
                </c:pt>
                <c:pt idx="1">
                  <c:v>Part-time           No ICT</c:v>
                </c:pt>
                <c:pt idx="2">
                  <c:v>Full-time                e-learning</c:v>
                </c:pt>
                <c:pt idx="3">
                  <c:v>Part-time                e-learning</c:v>
                </c:pt>
              </c:strCache>
            </c:strRef>
          </c:cat>
          <c:val>
            <c:numRef>
              <c:f>'Full-time part-time graphs'!$C$28:$C$31</c:f>
              <c:numCache>
                <c:formatCode>General</c:formatCode>
                <c:ptCount val="4"/>
                <c:pt idx="0" formatCode="0.00">
                  <c:v>42.92</c:v>
                </c:pt>
                <c:pt idx="1">
                  <c:v>42.949999999999996</c:v>
                </c:pt>
                <c:pt idx="2">
                  <c:v>57.08</c:v>
                </c:pt>
                <c:pt idx="3">
                  <c:v>57.05</c:v>
                </c:pt>
              </c:numCache>
            </c:numRef>
          </c:val>
        </c:ser>
        <c:axId val="73368320"/>
        <c:axId val="73369856"/>
      </c:barChart>
      <c:catAx>
        <c:axId val="73368320"/>
        <c:scaling>
          <c:orientation val="minMax"/>
        </c:scaling>
        <c:axPos val="b"/>
        <c:tickLblPos val="nextTo"/>
        <c:crossAx val="73369856"/>
        <c:crosses val="autoZero"/>
        <c:auto val="1"/>
        <c:lblAlgn val="ctr"/>
        <c:lblOffset val="100"/>
      </c:catAx>
      <c:valAx>
        <c:axId val="73369856"/>
        <c:scaling>
          <c:orientation val="minMax"/>
          <c:max val="100"/>
        </c:scaling>
        <c:axPos val="l"/>
        <c:majorGridlines/>
        <c:title>
          <c:tx>
            <c:rich>
              <a:bodyPr rot="-5400000" vert="horz"/>
              <a:lstStyle/>
              <a:p>
                <a:pPr>
                  <a:defRPr/>
                </a:pPr>
                <a:r>
                  <a:rPr lang="en-US"/>
                  <a:t>Percent</a:t>
                </a:r>
              </a:p>
            </c:rich>
          </c:tx>
        </c:title>
        <c:numFmt formatCode="0" sourceLinked="0"/>
        <c:tickLblPos val="nextTo"/>
        <c:crossAx val="73368320"/>
        <c:crosses val="autoZero"/>
        <c:crossBetween val="between"/>
        <c:majorUnit val="10"/>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'Full-time part-time Graphs'!$A$3</c:f>
              <c:strCache>
                <c:ptCount val="1"/>
                <c:pt idx="0">
                  <c:v>Full-time</c:v>
                </c:pt>
              </c:strCache>
            </c:strRef>
          </c:tx>
          <c:cat>
            <c:strRef>
              <c:f>'Full-time part-time Graphs'!$B$2:$E$2</c:f>
              <c:strCache>
                <c:ptCount val="4"/>
                <c:pt idx="0">
                  <c:v>Extramural        No ICT</c:v>
                </c:pt>
                <c:pt idx="1">
                  <c:v>Intramural         No ICT</c:v>
                </c:pt>
                <c:pt idx="2">
                  <c:v>Extramural             e-learning</c:v>
                </c:pt>
                <c:pt idx="3">
                  <c:v>Intramural             e-learning</c:v>
                </c:pt>
              </c:strCache>
            </c:strRef>
          </c:cat>
          <c:val>
            <c:numRef>
              <c:f>'Full-time part-time Graphs'!$B$3:$E$3</c:f>
              <c:numCache>
                <c:formatCode>General</c:formatCode>
                <c:ptCount val="4"/>
                <c:pt idx="0">
                  <c:v>68.099999999999994</c:v>
                </c:pt>
                <c:pt idx="1">
                  <c:v>75.2</c:v>
                </c:pt>
                <c:pt idx="2">
                  <c:v>61.4</c:v>
                </c:pt>
                <c:pt idx="3">
                  <c:v>74.400000000000006</c:v>
                </c:pt>
              </c:numCache>
            </c:numRef>
          </c:val>
        </c:ser>
        <c:ser>
          <c:idx val="1"/>
          <c:order val="1"/>
          <c:tx>
            <c:strRef>
              <c:f>'Full-time part-time Graphs'!$A$4</c:f>
              <c:strCache>
                <c:ptCount val="1"/>
                <c:pt idx="0">
                  <c:v>Part-time</c:v>
                </c:pt>
              </c:strCache>
            </c:strRef>
          </c:tx>
          <c:cat>
            <c:strRef>
              <c:f>'Full-time part-time Graphs'!$B$2:$E$2</c:f>
              <c:strCache>
                <c:ptCount val="4"/>
                <c:pt idx="0">
                  <c:v>Extramural        No ICT</c:v>
                </c:pt>
                <c:pt idx="1">
                  <c:v>Intramural         No ICT</c:v>
                </c:pt>
                <c:pt idx="2">
                  <c:v>Extramural             e-learning</c:v>
                </c:pt>
                <c:pt idx="3">
                  <c:v>Intramural             e-learning</c:v>
                </c:pt>
              </c:strCache>
            </c:strRef>
          </c:cat>
          <c:val>
            <c:numRef>
              <c:f>'Full-time part-time Graphs'!$B$4:$E$4</c:f>
              <c:numCache>
                <c:formatCode>General</c:formatCode>
                <c:ptCount val="4"/>
                <c:pt idx="0">
                  <c:v>61.9</c:v>
                </c:pt>
                <c:pt idx="1">
                  <c:v>65.8</c:v>
                </c:pt>
                <c:pt idx="2">
                  <c:v>55.1</c:v>
                </c:pt>
                <c:pt idx="3">
                  <c:v>62.5</c:v>
                </c:pt>
              </c:numCache>
            </c:numRef>
          </c:val>
        </c:ser>
        <c:axId val="77687040"/>
        <c:axId val="77799424"/>
      </c:barChart>
      <c:catAx>
        <c:axId val="77687040"/>
        <c:scaling>
          <c:orientation val="minMax"/>
        </c:scaling>
        <c:axPos val="b"/>
        <c:tickLblPos val="nextTo"/>
        <c:crossAx val="77799424"/>
        <c:crosses val="autoZero"/>
        <c:auto val="1"/>
        <c:lblAlgn val="ctr"/>
        <c:lblOffset val="100"/>
      </c:catAx>
      <c:valAx>
        <c:axId val="77799424"/>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77687040"/>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5"/>
            <c:spPr>
              <a:solidFill>
                <a:schemeClr val="accent2"/>
              </a:solidFill>
            </c:spPr>
          </c:dPt>
          <c:dPt>
            <c:idx val="6"/>
            <c:spPr>
              <a:solidFill>
                <a:schemeClr val="accent3"/>
              </a:solidFill>
            </c:spPr>
          </c:dPt>
          <c:dPt>
            <c:idx val="7"/>
            <c:spPr>
              <a:solidFill>
                <a:schemeClr val="accent4"/>
              </a:solidFill>
            </c:spPr>
          </c:dPt>
          <c:cat>
            <c:multiLvlStrRef>
              <c:f>'Sub-sector graphs'!$A$2:$H$3</c:f>
              <c:multiLvlStrCache>
                <c:ptCount val="8"/>
                <c:lvl>
                  <c:pt idx="0">
                    <c:v>Universities </c:v>
                  </c:pt>
                  <c:pt idx="1">
                    <c:v>Polytechnics </c:v>
                  </c:pt>
                  <c:pt idx="2">
                    <c:v>Wānanga </c:v>
                  </c:pt>
                  <c:pt idx="3">
                    <c:v>PTEs</c:v>
                  </c:pt>
                  <c:pt idx="4">
                    <c:v>Universities </c:v>
                  </c:pt>
                  <c:pt idx="5">
                    <c:v>Polytechnics </c:v>
                  </c:pt>
                  <c:pt idx="6">
                    <c:v>Wānanga </c:v>
                  </c:pt>
                  <c:pt idx="7">
                    <c:v>PTEs</c:v>
                  </c:pt>
                </c:lvl>
                <c:lvl>
                  <c:pt idx="0">
                    <c:v>Extramural 2005</c:v>
                  </c:pt>
                  <c:pt idx="4">
                    <c:v>Extramural 2011</c:v>
                  </c:pt>
                </c:lvl>
              </c:multiLvlStrCache>
            </c:multiLvlStrRef>
          </c:cat>
          <c:val>
            <c:numRef>
              <c:f>'Sub-sector graphs'!$A$4:$H$4</c:f>
              <c:numCache>
                <c:formatCode>General</c:formatCode>
                <c:ptCount val="8"/>
                <c:pt idx="0">
                  <c:v>23.01</c:v>
                </c:pt>
                <c:pt idx="1">
                  <c:v>42.84</c:v>
                </c:pt>
                <c:pt idx="2">
                  <c:v>20.27</c:v>
                </c:pt>
                <c:pt idx="3">
                  <c:v>13.89</c:v>
                </c:pt>
                <c:pt idx="4">
                  <c:v>29.87</c:v>
                </c:pt>
                <c:pt idx="5">
                  <c:v>31.56</c:v>
                </c:pt>
                <c:pt idx="6" formatCode="0.00">
                  <c:v>20.37</c:v>
                </c:pt>
                <c:pt idx="7" formatCode="0.00">
                  <c:v>18.2</c:v>
                </c:pt>
              </c:numCache>
            </c:numRef>
          </c:val>
        </c:ser>
        <c:axId val="77825536"/>
        <c:axId val="77827072"/>
      </c:barChart>
      <c:catAx>
        <c:axId val="77825536"/>
        <c:scaling>
          <c:orientation val="minMax"/>
        </c:scaling>
        <c:axPos val="b"/>
        <c:tickLblPos val="nextTo"/>
        <c:crossAx val="77827072"/>
        <c:crosses val="autoZero"/>
        <c:auto val="1"/>
        <c:lblAlgn val="ctr"/>
        <c:lblOffset val="100"/>
      </c:catAx>
      <c:valAx>
        <c:axId val="77827072"/>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7825536"/>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'Overall graphs'!$A$24</c:f>
              <c:strCache>
                <c:ptCount val="1"/>
                <c:pt idx="0">
                  <c:v>Extramural e-learning</c:v>
                </c:pt>
              </c:strCache>
            </c:strRef>
          </c:tx>
          <c:cat>
            <c:numRef>
              <c:f>'Overall graphs'!$B$23:$C$23</c:f>
              <c:numCache>
                <c:formatCode>General</c:formatCode>
                <c:ptCount val="2"/>
                <c:pt idx="0">
                  <c:v>2005</c:v>
                </c:pt>
                <c:pt idx="1">
                  <c:v>2011</c:v>
                </c:pt>
              </c:numCache>
            </c:numRef>
          </c:cat>
          <c:val>
            <c:numRef>
              <c:f>'Overall graphs'!$B$24:$C$24</c:f>
              <c:numCache>
                <c:formatCode>_-* #,##0.00_-;\-* #,##0.00_-;_-* "-"??_-;_-@_-</c:formatCode>
                <c:ptCount val="2"/>
                <c:pt idx="0">
                  <c:v>57.56</c:v>
                </c:pt>
                <c:pt idx="1">
                  <c:v>56.9</c:v>
                </c:pt>
              </c:numCache>
            </c:numRef>
          </c:val>
        </c:ser>
        <c:ser>
          <c:idx val="1"/>
          <c:order val="1"/>
          <c:tx>
            <c:strRef>
              <c:f>'Overall graphs'!$A$25</c:f>
              <c:strCache>
                <c:ptCount val="1"/>
                <c:pt idx="0">
                  <c:v>Intramural e-learning</c:v>
                </c:pt>
              </c:strCache>
            </c:strRef>
          </c:tx>
          <c:cat>
            <c:numRef>
              <c:f>'Overall graphs'!$B$23:$C$23</c:f>
              <c:numCache>
                <c:formatCode>General</c:formatCode>
                <c:ptCount val="2"/>
                <c:pt idx="0">
                  <c:v>2005</c:v>
                </c:pt>
                <c:pt idx="1">
                  <c:v>2011</c:v>
                </c:pt>
              </c:numCache>
            </c:numRef>
          </c:cat>
          <c:val>
            <c:numRef>
              <c:f>'Overall graphs'!$B$25:$C$25</c:f>
              <c:numCache>
                <c:formatCode>_-* #,##0.00_-;\-* #,##0.00_-;_-* "-"??_-;_-@_-</c:formatCode>
                <c:ptCount val="2"/>
                <c:pt idx="0">
                  <c:v>43.78</c:v>
                </c:pt>
                <c:pt idx="1">
                  <c:v>55.39</c:v>
                </c:pt>
              </c:numCache>
            </c:numRef>
          </c:val>
        </c:ser>
        <c:axId val="84004224"/>
        <c:axId val="88745472"/>
      </c:barChart>
      <c:catAx>
        <c:axId val="84004224"/>
        <c:scaling>
          <c:orientation val="minMax"/>
        </c:scaling>
        <c:axPos val="b"/>
        <c:numFmt formatCode="General" sourceLinked="1"/>
        <c:tickLblPos val="nextTo"/>
        <c:crossAx val="88745472"/>
        <c:crosses val="autoZero"/>
        <c:auto val="1"/>
        <c:lblAlgn val="ctr"/>
        <c:lblOffset val="100"/>
      </c:catAx>
      <c:valAx>
        <c:axId val="88745472"/>
        <c:scaling>
          <c:orientation val="minMax"/>
          <c:max val="100"/>
        </c:scaling>
        <c:axPos val="l"/>
        <c:majorGridlines/>
        <c:title>
          <c:tx>
            <c:rich>
              <a:bodyPr rot="-5400000" vert="horz"/>
              <a:lstStyle/>
              <a:p>
                <a:pPr>
                  <a:defRPr/>
                </a:pPr>
                <a:r>
                  <a:rPr lang="en-US"/>
                  <a:t>Percent</a:t>
                </a:r>
              </a:p>
            </c:rich>
          </c:tx>
        </c:title>
        <c:numFmt formatCode="0" sourceLinked="0"/>
        <c:tickLblPos val="nextTo"/>
        <c:crossAx val="84004224"/>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5"/>
            <c:spPr>
              <a:solidFill>
                <a:schemeClr val="accent2"/>
              </a:solidFill>
            </c:spPr>
          </c:dPt>
          <c:dPt>
            <c:idx val="6"/>
            <c:spPr>
              <a:solidFill>
                <a:schemeClr val="accent3"/>
              </a:solidFill>
            </c:spPr>
          </c:dPt>
          <c:dPt>
            <c:idx val="7"/>
            <c:spPr>
              <a:solidFill>
                <a:schemeClr val="accent4"/>
              </a:solidFill>
            </c:spPr>
          </c:dPt>
          <c:dPt>
            <c:idx val="9"/>
            <c:spPr>
              <a:solidFill>
                <a:schemeClr val="accent2"/>
              </a:solidFill>
            </c:spPr>
          </c:dPt>
          <c:dPt>
            <c:idx val="10"/>
            <c:spPr>
              <a:solidFill>
                <a:schemeClr val="accent3"/>
              </a:solidFill>
            </c:spPr>
          </c:dPt>
          <c:dPt>
            <c:idx val="11"/>
            <c:spPr>
              <a:solidFill>
                <a:schemeClr val="accent4"/>
              </a:solidFill>
            </c:spPr>
          </c:dPt>
          <c:dPt>
            <c:idx val="13"/>
            <c:spPr>
              <a:solidFill>
                <a:schemeClr val="accent2"/>
              </a:solidFill>
            </c:spPr>
          </c:dPt>
          <c:dPt>
            <c:idx val="14"/>
            <c:spPr>
              <a:solidFill>
                <a:schemeClr val="accent3"/>
              </a:solidFill>
            </c:spPr>
          </c:dPt>
          <c:dPt>
            <c:idx val="15"/>
            <c:spPr>
              <a:solidFill>
                <a:schemeClr val="accent4"/>
              </a:solidFill>
            </c:spPr>
          </c:dPt>
          <c:cat>
            <c:multiLvlStrRef>
              <c:f>'Sub-sector graphs'!$A$24:$P$25</c:f>
              <c:multiLvlStrCache>
                <c:ptCount val="16"/>
                <c:lvl>
                  <c:pt idx="0">
                    <c:v>Universities</c:v>
                  </c:pt>
                  <c:pt idx="1">
                    <c:v>Polytechnics</c:v>
                  </c:pt>
                  <c:pt idx="2">
                    <c:v>Wānanga </c:v>
                  </c:pt>
                  <c:pt idx="3">
                    <c:v>PTEs</c:v>
                  </c:pt>
                  <c:pt idx="4">
                    <c:v>Universities</c:v>
                  </c:pt>
                  <c:pt idx="5">
                    <c:v>Polytechnics</c:v>
                  </c:pt>
                  <c:pt idx="6">
                    <c:v>Wānanga </c:v>
                  </c:pt>
                  <c:pt idx="7">
                    <c:v>PTEs</c:v>
                  </c:pt>
                  <c:pt idx="8">
                    <c:v>Universities</c:v>
                  </c:pt>
                  <c:pt idx="9">
                    <c:v>Polytechnics</c:v>
                  </c:pt>
                  <c:pt idx="10">
                    <c:v>Wānanga </c:v>
                  </c:pt>
                  <c:pt idx="11">
                    <c:v>PTEs</c:v>
                  </c:pt>
                  <c:pt idx="12">
                    <c:v>Universities</c:v>
                  </c:pt>
                  <c:pt idx="13">
                    <c:v>Polytechnics</c:v>
                  </c:pt>
                  <c:pt idx="14">
                    <c:v>Wānanga </c:v>
                  </c:pt>
                  <c:pt idx="15">
                    <c:v>PTEs</c:v>
                  </c:pt>
                </c:lvl>
                <c:lvl>
                  <c:pt idx="0">
                    <c:v>Extramural                No ICT 2005</c:v>
                  </c:pt>
                  <c:pt idx="4">
                    <c:v>Extramural                  e-learning 2005</c:v>
                  </c:pt>
                  <c:pt idx="8">
                    <c:v>Extramural                No ICT 2011</c:v>
                  </c:pt>
                  <c:pt idx="12">
                    <c:v>Extramural                  e-learning 2011</c:v>
                  </c:pt>
                </c:lvl>
              </c:multiLvlStrCache>
            </c:multiLvlStrRef>
          </c:cat>
          <c:val>
            <c:numRef>
              <c:f>'Sub-sector graphs'!$A$26:$P$26</c:f>
              <c:numCache>
                <c:formatCode>General</c:formatCode>
                <c:ptCount val="16"/>
                <c:pt idx="0">
                  <c:v>17.04</c:v>
                </c:pt>
                <c:pt idx="1">
                  <c:v>24.110000000000003</c:v>
                </c:pt>
                <c:pt idx="2">
                  <c:v>41.42</c:v>
                </c:pt>
                <c:pt idx="3">
                  <c:v>17.43</c:v>
                </c:pt>
                <c:pt idx="4" formatCode="0.00">
                  <c:v>27.4</c:v>
                </c:pt>
                <c:pt idx="5">
                  <c:v>56.65</c:v>
                </c:pt>
                <c:pt idx="6">
                  <c:v>4.67</c:v>
                </c:pt>
                <c:pt idx="7">
                  <c:v>11.27</c:v>
                </c:pt>
                <c:pt idx="8">
                  <c:v>10.08</c:v>
                </c:pt>
                <c:pt idx="9">
                  <c:v>23.35</c:v>
                </c:pt>
                <c:pt idx="10" formatCode="0.00">
                  <c:v>43.6</c:v>
                </c:pt>
                <c:pt idx="11">
                  <c:v>22.959999999999997</c:v>
                </c:pt>
                <c:pt idx="12">
                  <c:v>44.86</c:v>
                </c:pt>
                <c:pt idx="13">
                  <c:v>37.78</c:v>
                </c:pt>
                <c:pt idx="14">
                  <c:v>2.77</c:v>
                </c:pt>
                <c:pt idx="15">
                  <c:v>14.59</c:v>
                </c:pt>
              </c:numCache>
            </c:numRef>
          </c:val>
        </c:ser>
        <c:axId val="77852032"/>
        <c:axId val="77927552"/>
      </c:barChart>
      <c:catAx>
        <c:axId val="77852032"/>
        <c:scaling>
          <c:orientation val="minMax"/>
        </c:scaling>
        <c:axPos val="b"/>
        <c:tickLblPos val="nextTo"/>
        <c:crossAx val="77927552"/>
        <c:crosses val="autoZero"/>
        <c:auto val="1"/>
        <c:lblAlgn val="ctr"/>
        <c:lblOffset val="100"/>
      </c:catAx>
      <c:valAx>
        <c:axId val="77927552"/>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785203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'Sub-sector graphs'!$A$3</c:f>
              <c:strCache>
                <c:ptCount val="1"/>
                <c:pt idx="0">
                  <c:v>Universities</c:v>
                </c:pt>
              </c:strCache>
            </c:strRef>
          </c:tx>
          <c:cat>
            <c:strRef>
              <c:f>'Sub-sector graphs'!$B$2:$E$2</c:f>
              <c:strCache>
                <c:ptCount val="4"/>
                <c:pt idx="0">
                  <c:v>Extramural        No ICT</c:v>
                </c:pt>
                <c:pt idx="1">
                  <c:v>Intramural         No ICT</c:v>
                </c:pt>
                <c:pt idx="2">
                  <c:v>Extramural             e-learning</c:v>
                </c:pt>
                <c:pt idx="3">
                  <c:v>Intramural              e-learning</c:v>
                </c:pt>
              </c:strCache>
            </c:strRef>
          </c:cat>
          <c:val>
            <c:numRef>
              <c:f>'Sub-sector graphs'!$B$3:$E$3</c:f>
              <c:numCache>
                <c:formatCode>General</c:formatCode>
                <c:ptCount val="4"/>
                <c:pt idx="0">
                  <c:v>75.099999999999994</c:v>
                </c:pt>
                <c:pt idx="1">
                  <c:v>83.5</c:v>
                </c:pt>
                <c:pt idx="2">
                  <c:v>72.7</c:v>
                </c:pt>
                <c:pt idx="3">
                  <c:v>83.2</c:v>
                </c:pt>
              </c:numCache>
            </c:numRef>
          </c:val>
        </c:ser>
        <c:ser>
          <c:idx val="1"/>
          <c:order val="1"/>
          <c:tx>
            <c:strRef>
              <c:f>'Sub-sector graphs'!$A$4</c:f>
              <c:strCache>
                <c:ptCount val="1"/>
                <c:pt idx="0">
                  <c:v>Polytechnics</c:v>
                </c:pt>
              </c:strCache>
            </c:strRef>
          </c:tx>
          <c:cat>
            <c:strRef>
              <c:f>'Sub-sector graphs'!$B$2:$E$2</c:f>
              <c:strCache>
                <c:ptCount val="4"/>
                <c:pt idx="0">
                  <c:v>Extramural        No ICT</c:v>
                </c:pt>
                <c:pt idx="1">
                  <c:v>Intramural         No ICT</c:v>
                </c:pt>
                <c:pt idx="2">
                  <c:v>Extramural             e-learning</c:v>
                </c:pt>
                <c:pt idx="3">
                  <c:v>Intramural              e-learning</c:v>
                </c:pt>
              </c:strCache>
            </c:strRef>
          </c:cat>
          <c:val>
            <c:numRef>
              <c:f>'Sub-sector graphs'!$B$4:$E$4</c:f>
              <c:numCache>
                <c:formatCode>General</c:formatCode>
                <c:ptCount val="4"/>
                <c:pt idx="0">
                  <c:v>47.2</c:v>
                </c:pt>
                <c:pt idx="1">
                  <c:v>69.3</c:v>
                </c:pt>
                <c:pt idx="2">
                  <c:v>51.6</c:v>
                </c:pt>
                <c:pt idx="3">
                  <c:v>69.8</c:v>
                </c:pt>
              </c:numCache>
            </c:numRef>
          </c:val>
        </c:ser>
        <c:ser>
          <c:idx val="2"/>
          <c:order val="2"/>
          <c:tx>
            <c:strRef>
              <c:f>'Sub-sector graphs'!$A$5</c:f>
              <c:strCache>
                <c:ptCount val="1"/>
                <c:pt idx="0">
                  <c:v>Wānanga</c:v>
                </c:pt>
              </c:strCache>
            </c:strRef>
          </c:tx>
          <c:cat>
            <c:strRef>
              <c:f>'Sub-sector graphs'!$B$2:$E$2</c:f>
              <c:strCache>
                <c:ptCount val="4"/>
                <c:pt idx="0">
                  <c:v>Extramural        No ICT</c:v>
                </c:pt>
                <c:pt idx="1">
                  <c:v>Intramural         No ICT</c:v>
                </c:pt>
                <c:pt idx="2">
                  <c:v>Extramural             e-learning</c:v>
                </c:pt>
                <c:pt idx="3">
                  <c:v>Intramural              e-learning</c:v>
                </c:pt>
              </c:strCache>
            </c:strRef>
          </c:cat>
          <c:val>
            <c:numRef>
              <c:f>'Sub-sector graphs'!$B$5:$E$5</c:f>
              <c:numCache>
                <c:formatCode>General</c:formatCode>
                <c:ptCount val="4"/>
                <c:pt idx="0">
                  <c:v>71.599999999999994</c:v>
                </c:pt>
                <c:pt idx="1">
                  <c:v>65.599999999999994</c:v>
                </c:pt>
                <c:pt idx="2">
                  <c:v>64.099999999999994</c:v>
                </c:pt>
                <c:pt idx="3">
                  <c:v>78.3</c:v>
                </c:pt>
              </c:numCache>
            </c:numRef>
          </c:val>
        </c:ser>
        <c:ser>
          <c:idx val="3"/>
          <c:order val="3"/>
          <c:tx>
            <c:strRef>
              <c:f>'Sub-sector graphs'!$A$6</c:f>
              <c:strCache>
                <c:ptCount val="1"/>
                <c:pt idx="0">
                  <c:v>PTEs</c:v>
                </c:pt>
              </c:strCache>
            </c:strRef>
          </c:tx>
          <c:cat>
            <c:strRef>
              <c:f>'Sub-sector graphs'!$B$2:$E$2</c:f>
              <c:strCache>
                <c:ptCount val="4"/>
                <c:pt idx="0">
                  <c:v>Extramural        No ICT</c:v>
                </c:pt>
                <c:pt idx="1">
                  <c:v>Intramural         No ICT</c:v>
                </c:pt>
                <c:pt idx="2">
                  <c:v>Extramural             e-learning</c:v>
                </c:pt>
                <c:pt idx="3">
                  <c:v>Intramural              e-learning</c:v>
                </c:pt>
              </c:strCache>
            </c:strRef>
          </c:cat>
          <c:val>
            <c:numRef>
              <c:f>'Sub-sector graphs'!$B$6:$E$6</c:f>
              <c:numCache>
                <c:formatCode>General</c:formatCode>
                <c:ptCount val="4"/>
                <c:pt idx="0">
                  <c:v>56.4</c:v>
                </c:pt>
                <c:pt idx="1">
                  <c:v>58.1</c:v>
                </c:pt>
                <c:pt idx="2">
                  <c:v>57.7</c:v>
                </c:pt>
                <c:pt idx="3">
                  <c:v>60.4</c:v>
                </c:pt>
              </c:numCache>
            </c:numRef>
          </c:val>
        </c:ser>
        <c:axId val="77949568"/>
        <c:axId val="77967744"/>
      </c:barChart>
      <c:catAx>
        <c:axId val="77949568"/>
        <c:scaling>
          <c:orientation val="minMax"/>
        </c:scaling>
        <c:axPos val="b"/>
        <c:tickLblPos val="nextTo"/>
        <c:crossAx val="77967744"/>
        <c:crosses val="autoZero"/>
        <c:auto val="1"/>
        <c:lblAlgn val="ctr"/>
        <c:lblOffset val="100"/>
      </c:catAx>
      <c:valAx>
        <c:axId val="77967744"/>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7794956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'Provider Graphs'!$B$2</c:f>
              <c:strCache>
                <c:ptCount val="1"/>
                <c:pt idx="0">
                  <c:v>Extramural</c:v>
                </c:pt>
              </c:strCache>
            </c:strRef>
          </c:tx>
          <c:cat>
            <c:strRef>
              <c:f>'Provider Graphs'!$A$3:$A$5</c:f>
              <c:strCache>
                <c:ptCount val="3"/>
                <c:pt idx="0">
                  <c:v>Massey University</c:v>
                </c:pt>
                <c:pt idx="1">
                  <c:v>The Open Polytechnic of New Zealand</c:v>
                </c:pt>
                <c:pt idx="2">
                  <c:v>Open University</c:v>
                </c:pt>
              </c:strCache>
            </c:strRef>
          </c:cat>
          <c:val>
            <c:numRef>
              <c:f>'Provider Graphs'!$B$3:$B$5</c:f>
              <c:numCache>
                <c:formatCode>General</c:formatCode>
                <c:ptCount val="3"/>
                <c:pt idx="0">
                  <c:v>32.090000000000003</c:v>
                </c:pt>
                <c:pt idx="1">
                  <c:v>96.51</c:v>
                </c:pt>
                <c:pt idx="2">
                  <c:v>99.76</c:v>
                </c:pt>
              </c:numCache>
            </c:numRef>
          </c:val>
        </c:ser>
        <c:ser>
          <c:idx val="1"/>
          <c:order val="1"/>
          <c:tx>
            <c:strRef>
              <c:f>'Provider Graphs'!$C$2</c:f>
              <c:strCache>
                <c:ptCount val="1"/>
                <c:pt idx="0">
                  <c:v>Intramural </c:v>
                </c:pt>
              </c:strCache>
            </c:strRef>
          </c:tx>
          <c:cat>
            <c:strRef>
              <c:f>'Provider Graphs'!$A$3:$A$5</c:f>
              <c:strCache>
                <c:ptCount val="3"/>
                <c:pt idx="0">
                  <c:v>Massey University</c:v>
                </c:pt>
                <c:pt idx="1">
                  <c:v>The Open Polytechnic of New Zealand</c:v>
                </c:pt>
                <c:pt idx="2">
                  <c:v>Open University</c:v>
                </c:pt>
              </c:strCache>
            </c:strRef>
          </c:cat>
          <c:val>
            <c:numRef>
              <c:f>'Provider Graphs'!$C$3:$C$5</c:f>
              <c:numCache>
                <c:formatCode>General</c:formatCode>
                <c:ptCount val="3"/>
                <c:pt idx="0">
                  <c:v>67.910000000000025</c:v>
                </c:pt>
                <c:pt idx="1">
                  <c:v>3.4899999999999998</c:v>
                </c:pt>
                <c:pt idx="2">
                  <c:v>0.24000000000000021</c:v>
                </c:pt>
              </c:numCache>
            </c:numRef>
          </c:val>
        </c:ser>
        <c:axId val="77988608"/>
        <c:axId val="77990144"/>
      </c:barChart>
      <c:catAx>
        <c:axId val="77988608"/>
        <c:scaling>
          <c:orientation val="minMax"/>
        </c:scaling>
        <c:axPos val="b"/>
        <c:tickLblPos val="nextTo"/>
        <c:crossAx val="77990144"/>
        <c:crosses val="autoZero"/>
        <c:auto val="1"/>
        <c:lblAlgn val="ctr"/>
        <c:lblOffset val="100"/>
      </c:catAx>
      <c:valAx>
        <c:axId val="77990144"/>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7988608"/>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'Provider Graphs'!$A$27</c:f>
              <c:strCache>
                <c:ptCount val="1"/>
                <c:pt idx="0">
                  <c:v>Massey University</c:v>
                </c:pt>
              </c:strCache>
            </c:strRef>
          </c:tx>
          <c:cat>
            <c:strRef>
              <c:f>'Provider Graphs'!$B$26:$C$26</c:f>
              <c:strCache>
                <c:ptCount val="2"/>
                <c:pt idx="0">
                  <c:v>Extramural e-learning</c:v>
                </c:pt>
                <c:pt idx="1">
                  <c:v>Intramural e-learning</c:v>
                </c:pt>
              </c:strCache>
            </c:strRef>
          </c:cat>
          <c:val>
            <c:numRef>
              <c:f>'Provider Graphs'!$B$27:$C$27</c:f>
              <c:numCache>
                <c:formatCode>General</c:formatCode>
                <c:ptCount val="2"/>
                <c:pt idx="0">
                  <c:v>81.52</c:v>
                </c:pt>
                <c:pt idx="1">
                  <c:v>65.149999999999991</c:v>
                </c:pt>
              </c:numCache>
            </c:numRef>
          </c:val>
        </c:ser>
        <c:ser>
          <c:idx val="1"/>
          <c:order val="1"/>
          <c:tx>
            <c:strRef>
              <c:f>'Provider Graphs'!$A$28</c:f>
              <c:strCache>
                <c:ptCount val="1"/>
                <c:pt idx="0">
                  <c:v>The Open Polytechnic of New Zealand</c:v>
                </c:pt>
              </c:strCache>
            </c:strRef>
          </c:tx>
          <c:cat>
            <c:strRef>
              <c:f>'Provider Graphs'!$B$26:$C$26</c:f>
              <c:strCache>
                <c:ptCount val="2"/>
                <c:pt idx="0">
                  <c:v>Extramural e-learning</c:v>
                </c:pt>
                <c:pt idx="1">
                  <c:v>Intramural e-learning</c:v>
                </c:pt>
              </c:strCache>
            </c:strRef>
          </c:cat>
          <c:val>
            <c:numRef>
              <c:f>'Provider Graphs'!$B$28:$C$28</c:f>
              <c:numCache>
                <c:formatCode>0.00</c:formatCode>
                <c:ptCount val="2"/>
                <c:pt idx="0">
                  <c:v>100</c:v>
                </c:pt>
                <c:pt idx="1">
                  <c:v>100</c:v>
                </c:pt>
              </c:numCache>
            </c:numRef>
          </c:val>
        </c:ser>
        <c:axId val="78002816"/>
        <c:axId val="78012800"/>
      </c:barChart>
      <c:catAx>
        <c:axId val="78002816"/>
        <c:scaling>
          <c:orientation val="minMax"/>
        </c:scaling>
        <c:axPos val="b"/>
        <c:tickLblPos val="nextTo"/>
        <c:crossAx val="78012800"/>
        <c:crosses val="autoZero"/>
        <c:auto val="1"/>
        <c:lblAlgn val="ctr"/>
        <c:lblOffset val="100"/>
      </c:catAx>
      <c:valAx>
        <c:axId val="78012800"/>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8002816"/>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dPt>
            <c:idx val="1"/>
            <c:spPr>
              <a:solidFill>
                <a:schemeClr val="accent2"/>
              </a:solidFill>
            </c:spPr>
          </c:dPt>
          <c:dPt>
            <c:idx val="2"/>
            <c:spPr>
              <a:solidFill>
                <a:schemeClr val="accent3"/>
              </a:solidFill>
            </c:spPr>
          </c:dPt>
          <c:cat>
            <c:strRef>
              <c:f>'Provider Graphs'!$A$46:$A$48</c:f>
              <c:strCache>
                <c:ptCount val="3"/>
                <c:pt idx="0">
                  <c:v>UK University Sector Intramural Average</c:v>
                </c:pt>
                <c:pt idx="1">
                  <c:v>UK University Sector Extramural Average</c:v>
                </c:pt>
                <c:pt idx="2">
                  <c:v>UK Open University Average</c:v>
                </c:pt>
              </c:strCache>
            </c:strRef>
          </c:cat>
          <c:val>
            <c:numRef>
              <c:f>'Provider Graphs'!$B$46:$B$48</c:f>
              <c:numCache>
                <c:formatCode>General</c:formatCode>
                <c:ptCount val="3"/>
                <c:pt idx="0">
                  <c:v>87.1</c:v>
                </c:pt>
                <c:pt idx="1">
                  <c:v>84.1</c:v>
                </c:pt>
                <c:pt idx="2">
                  <c:v>69.7</c:v>
                </c:pt>
              </c:numCache>
            </c:numRef>
          </c:val>
        </c:ser>
        <c:axId val="78029952"/>
        <c:axId val="78031488"/>
      </c:barChart>
      <c:catAx>
        <c:axId val="78029952"/>
        <c:scaling>
          <c:orientation val="minMax"/>
        </c:scaling>
        <c:axPos val="b"/>
        <c:tickLblPos val="nextTo"/>
        <c:crossAx val="78031488"/>
        <c:crosses val="autoZero"/>
        <c:auto val="1"/>
        <c:lblAlgn val="ctr"/>
        <c:lblOffset val="100"/>
      </c:catAx>
      <c:valAx>
        <c:axId val="78031488"/>
        <c:scaling>
          <c:orientation val="minMax"/>
        </c:scaling>
        <c:axPos val="l"/>
        <c:majorGridlines/>
        <c:title>
          <c:tx>
            <c:rich>
              <a:bodyPr rot="-5400000" vert="horz"/>
              <a:lstStyle/>
              <a:p>
                <a:pPr>
                  <a:defRPr/>
                </a:pPr>
                <a:r>
                  <a:rPr lang="en-US"/>
                  <a:t>Completion Rates (%)</a:t>
                </a:r>
              </a:p>
            </c:rich>
          </c:tx>
        </c:title>
        <c:numFmt formatCode="General" sourceLinked="1"/>
        <c:tickLblPos val="nextTo"/>
        <c:crossAx val="7802995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'Provider Graphs'!$B$68</c:f>
              <c:strCache>
                <c:ptCount val="1"/>
                <c:pt idx="0">
                  <c:v>Massey University</c:v>
                </c:pt>
              </c:strCache>
            </c:strRef>
          </c:tx>
          <c:cat>
            <c:numRef>
              <c:f>'Provider Graphs'!$A$69:$A$73</c:f>
              <c:numCache>
                <c:formatCode>General</c:formatCode>
                <c:ptCount val="5"/>
                <c:pt idx="0">
                  <c:v>2008</c:v>
                </c:pt>
                <c:pt idx="1">
                  <c:v>2009</c:v>
                </c:pt>
                <c:pt idx="2">
                  <c:v>2010</c:v>
                </c:pt>
                <c:pt idx="3">
                  <c:v>2011</c:v>
                </c:pt>
                <c:pt idx="4">
                  <c:v>2012</c:v>
                </c:pt>
              </c:numCache>
            </c:numRef>
          </c:cat>
          <c:val>
            <c:numRef>
              <c:f>'Provider Graphs'!$B$69:$B$73</c:f>
              <c:numCache>
                <c:formatCode>0.0</c:formatCode>
                <c:ptCount val="5"/>
                <c:pt idx="0">
                  <c:v>67</c:v>
                </c:pt>
                <c:pt idx="1">
                  <c:v>67</c:v>
                </c:pt>
                <c:pt idx="2">
                  <c:v>67</c:v>
                </c:pt>
                <c:pt idx="3">
                  <c:v>69</c:v>
                </c:pt>
                <c:pt idx="4">
                  <c:v>65</c:v>
                </c:pt>
              </c:numCache>
            </c:numRef>
          </c:val>
        </c:ser>
        <c:ser>
          <c:idx val="1"/>
          <c:order val="1"/>
          <c:tx>
            <c:strRef>
              <c:f>'Provider Graphs'!$C$68</c:f>
              <c:strCache>
                <c:ptCount val="1"/>
                <c:pt idx="0">
                  <c:v>Open University</c:v>
                </c:pt>
              </c:strCache>
            </c:strRef>
          </c:tx>
          <c:cat>
            <c:numRef>
              <c:f>'Provider Graphs'!$A$69:$A$73</c:f>
              <c:numCache>
                <c:formatCode>General</c:formatCode>
                <c:ptCount val="5"/>
                <c:pt idx="0">
                  <c:v>2008</c:v>
                </c:pt>
                <c:pt idx="1">
                  <c:v>2009</c:v>
                </c:pt>
                <c:pt idx="2">
                  <c:v>2010</c:v>
                </c:pt>
                <c:pt idx="3">
                  <c:v>2011</c:v>
                </c:pt>
                <c:pt idx="4">
                  <c:v>2012</c:v>
                </c:pt>
              </c:numCache>
            </c:numRef>
          </c:cat>
          <c:val>
            <c:numRef>
              <c:f>'Provider Graphs'!$C$69:$C$73</c:f>
              <c:numCache>
                <c:formatCode>0.0</c:formatCode>
                <c:ptCount val="5"/>
                <c:pt idx="0">
                  <c:v>40</c:v>
                </c:pt>
                <c:pt idx="1">
                  <c:v>42</c:v>
                </c:pt>
                <c:pt idx="2">
                  <c:v>42</c:v>
                </c:pt>
                <c:pt idx="3">
                  <c:v>43</c:v>
                </c:pt>
                <c:pt idx="4">
                  <c:v>45</c:v>
                </c:pt>
              </c:numCache>
            </c:numRef>
          </c:val>
        </c:ser>
        <c:axId val="78199808"/>
        <c:axId val="78201600"/>
      </c:barChart>
      <c:catAx>
        <c:axId val="78199808"/>
        <c:scaling>
          <c:orientation val="minMax"/>
        </c:scaling>
        <c:axPos val="b"/>
        <c:numFmt formatCode="General" sourceLinked="1"/>
        <c:tickLblPos val="nextTo"/>
        <c:crossAx val="78201600"/>
        <c:crosses val="autoZero"/>
        <c:auto val="1"/>
        <c:lblAlgn val="ctr"/>
        <c:lblOffset val="100"/>
      </c:catAx>
      <c:valAx>
        <c:axId val="78201600"/>
        <c:scaling>
          <c:orientation val="minMax"/>
          <c:max val="100"/>
        </c:scaling>
        <c:axPos val="l"/>
        <c:majorGridlines/>
        <c:title>
          <c:tx>
            <c:rich>
              <a:bodyPr rot="-5400000" vert="horz"/>
              <a:lstStyle/>
              <a:p>
                <a:pPr>
                  <a:defRPr/>
                </a:pPr>
                <a:r>
                  <a:rPr lang="en-US"/>
                  <a:t>Completion Rates (%)</a:t>
                </a:r>
              </a:p>
            </c:rich>
          </c:tx>
        </c:title>
        <c:numFmt formatCode="0" sourceLinked="0"/>
        <c:tickLblPos val="nextTo"/>
        <c:crossAx val="7819980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dPt>
            <c:idx val="1"/>
            <c:spPr>
              <a:solidFill>
                <a:schemeClr val="accent2"/>
              </a:solidFill>
            </c:spPr>
          </c:dPt>
          <c:dPt>
            <c:idx val="2"/>
            <c:spPr>
              <a:solidFill>
                <a:schemeClr val="accent3"/>
              </a:solidFill>
            </c:spPr>
          </c:dPt>
          <c:cat>
            <c:strRef>
              <c:f>'Provider Graphs'!$A$24:$A$26</c:f>
              <c:strCache>
                <c:ptCount val="3"/>
                <c:pt idx="0">
                  <c:v>Polytechnic Sector  2012 Average</c:v>
                </c:pt>
                <c:pt idx="1">
                  <c:v>The Open Polytechnic 2012 Average</c:v>
                </c:pt>
                <c:pt idx="2">
                  <c:v>Open Polytechnic Course-Level-Adjusted 2004-2011</c:v>
                </c:pt>
              </c:strCache>
            </c:strRef>
          </c:cat>
          <c:val>
            <c:numRef>
              <c:f>'Provider Graphs'!$B$24:$B$26</c:f>
              <c:numCache>
                <c:formatCode>0.0</c:formatCode>
                <c:ptCount val="3"/>
                <c:pt idx="0">
                  <c:v>79</c:v>
                </c:pt>
                <c:pt idx="1">
                  <c:v>80</c:v>
                </c:pt>
                <c:pt idx="2">
                  <c:v>55</c:v>
                </c:pt>
              </c:numCache>
            </c:numRef>
          </c:val>
        </c:ser>
        <c:axId val="78222848"/>
        <c:axId val="78224384"/>
      </c:barChart>
      <c:catAx>
        <c:axId val="78222848"/>
        <c:scaling>
          <c:orientation val="minMax"/>
        </c:scaling>
        <c:axPos val="b"/>
        <c:tickLblPos val="nextTo"/>
        <c:crossAx val="78224384"/>
        <c:crosses val="autoZero"/>
        <c:auto val="1"/>
        <c:lblAlgn val="ctr"/>
        <c:lblOffset val="100"/>
      </c:catAx>
      <c:valAx>
        <c:axId val="78224384"/>
        <c:scaling>
          <c:orientation val="minMax"/>
          <c:max val="100"/>
        </c:scaling>
        <c:axPos val="l"/>
        <c:majorGridlines/>
        <c:title>
          <c:tx>
            <c:rich>
              <a:bodyPr rot="-5400000" vert="horz"/>
              <a:lstStyle/>
              <a:p>
                <a:pPr>
                  <a:defRPr/>
                </a:pPr>
                <a:r>
                  <a:rPr lang="en-US"/>
                  <a:t>Completion Rates (%)</a:t>
                </a:r>
              </a:p>
            </c:rich>
          </c:tx>
        </c:title>
        <c:numFmt formatCode="0" sourceLinked="0"/>
        <c:tickLblPos val="nextTo"/>
        <c:crossAx val="7822284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4"/>
            <c:spPr>
              <a:solidFill>
                <a:schemeClr val="accent5"/>
              </a:solidFill>
            </c:spPr>
          </c:dPt>
          <c:dPt>
            <c:idx val="6"/>
            <c:spPr>
              <a:solidFill>
                <a:schemeClr val="accent2"/>
              </a:solidFill>
            </c:spPr>
          </c:dPt>
          <c:dPt>
            <c:idx val="7"/>
            <c:spPr>
              <a:solidFill>
                <a:schemeClr val="accent3"/>
              </a:solidFill>
            </c:spPr>
          </c:dPt>
          <c:dPt>
            <c:idx val="8"/>
            <c:spPr>
              <a:solidFill>
                <a:schemeClr val="accent4"/>
              </a:solidFill>
            </c:spPr>
          </c:dPt>
          <c:dPt>
            <c:idx val="9"/>
            <c:spPr>
              <a:solidFill>
                <a:schemeClr val="accent5"/>
              </a:solidFill>
            </c:spPr>
          </c:dPt>
          <c:cat>
            <c:multiLvlStrRef>
              <c:f>'Course level graphs'!$A$3:$J$4</c:f>
              <c:multiLvlStrCache>
                <c:ptCount val="10"/>
                <c:lvl>
                  <c:pt idx="0">
                    <c:v>Certificates</c:v>
                  </c:pt>
                  <c:pt idx="1">
                    <c:v>Diplomas</c:v>
                  </c:pt>
                  <c:pt idx="2">
                    <c:v>Degrees</c:v>
                  </c:pt>
                  <c:pt idx="3">
                    <c:v>Postgraduate</c:v>
                  </c:pt>
                  <c:pt idx="4">
                    <c:v>Masters</c:v>
                  </c:pt>
                  <c:pt idx="5">
                    <c:v>Certificates</c:v>
                  </c:pt>
                  <c:pt idx="6">
                    <c:v>Diplomas</c:v>
                  </c:pt>
                  <c:pt idx="7">
                    <c:v>Degrees</c:v>
                  </c:pt>
                  <c:pt idx="8">
                    <c:v>Postgraduate</c:v>
                  </c:pt>
                  <c:pt idx="9">
                    <c:v>Masters</c:v>
                  </c:pt>
                </c:lvl>
                <c:lvl>
                  <c:pt idx="0">
                    <c:v>Extramural 2005</c:v>
                  </c:pt>
                  <c:pt idx="5">
                    <c:v>Extramural 2011</c:v>
                  </c:pt>
                </c:lvl>
              </c:multiLvlStrCache>
            </c:multiLvlStrRef>
          </c:cat>
          <c:val>
            <c:numRef>
              <c:f>'Course level graphs'!$A$5:$J$5</c:f>
              <c:numCache>
                <c:formatCode>General</c:formatCode>
                <c:ptCount val="10"/>
                <c:pt idx="0">
                  <c:v>62.95</c:v>
                </c:pt>
                <c:pt idx="1">
                  <c:v>25.479999999999986</c:v>
                </c:pt>
                <c:pt idx="2">
                  <c:v>6.1599999999999975</c:v>
                </c:pt>
                <c:pt idx="3">
                  <c:v>2.0499999999999998</c:v>
                </c:pt>
                <c:pt idx="4">
                  <c:v>3.3699999999999997</c:v>
                </c:pt>
                <c:pt idx="5">
                  <c:v>46.25</c:v>
                </c:pt>
                <c:pt idx="6">
                  <c:v>33.75</c:v>
                </c:pt>
                <c:pt idx="7">
                  <c:v>11.370000000000006</c:v>
                </c:pt>
                <c:pt idx="8">
                  <c:v>4.4800000000000004</c:v>
                </c:pt>
                <c:pt idx="9">
                  <c:v>4.1499999999999995</c:v>
                </c:pt>
              </c:numCache>
            </c:numRef>
          </c:val>
        </c:ser>
        <c:axId val="78251520"/>
        <c:axId val="78253056"/>
      </c:barChart>
      <c:catAx>
        <c:axId val="78251520"/>
        <c:scaling>
          <c:orientation val="minMax"/>
        </c:scaling>
        <c:axPos val="b"/>
        <c:tickLblPos val="nextTo"/>
        <c:crossAx val="78253056"/>
        <c:crosses val="autoZero"/>
        <c:auto val="1"/>
        <c:lblAlgn val="ctr"/>
        <c:lblOffset val="100"/>
      </c:catAx>
      <c:valAx>
        <c:axId val="78253056"/>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78251520"/>
        <c:crosses val="autoZero"/>
        <c:crossBetween val="between"/>
        <c:majorUnit val="10"/>
        <c:minorUnit val="2"/>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4"/>
            <c:spPr>
              <a:solidFill>
                <a:schemeClr val="accent5"/>
              </a:solidFill>
            </c:spPr>
          </c:dPt>
          <c:dPt>
            <c:idx val="6"/>
            <c:spPr>
              <a:solidFill>
                <a:schemeClr val="accent2"/>
              </a:solidFill>
            </c:spPr>
          </c:dPt>
          <c:dPt>
            <c:idx val="7"/>
            <c:spPr>
              <a:solidFill>
                <a:schemeClr val="accent3"/>
              </a:solidFill>
            </c:spPr>
          </c:dPt>
          <c:dPt>
            <c:idx val="8"/>
            <c:spPr>
              <a:solidFill>
                <a:schemeClr val="accent4"/>
              </a:solidFill>
            </c:spPr>
          </c:dPt>
          <c:dPt>
            <c:idx val="9"/>
            <c:spPr>
              <a:solidFill>
                <a:schemeClr val="accent5"/>
              </a:solidFill>
            </c:spPr>
          </c:dPt>
          <c:dPt>
            <c:idx val="11"/>
            <c:spPr>
              <a:solidFill>
                <a:schemeClr val="accent2"/>
              </a:solidFill>
            </c:spPr>
          </c:dPt>
          <c:dPt>
            <c:idx val="12"/>
            <c:spPr>
              <a:solidFill>
                <a:schemeClr val="accent3"/>
              </a:solidFill>
            </c:spPr>
          </c:dPt>
          <c:dPt>
            <c:idx val="13"/>
            <c:spPr>
              <a:solidFill>
                <a:schemeClr val="accent4"/>
              </a:solidFill>
            </c:spPr>
          </c:dPt>
          <c:dPt>
            <c:idx val="14"/>
            <c:spPr>
              <a:solidFill>
                <a:schemeClr val="accent5"/>
              </a:solidFill>
            </c:spPr>
          </c:dPt>
          <c:dPt>
            <c:idx val="16"/>
            <c:spPr>
              <a:solidFill>
                <a:schemeClr val="accent2"/>
              </a:solidFill>
            </c:spPr>
          </c:dPt>
          <c:dPt>
            <c:idx val="17"/>
            <c:spPr>
              <a:solidFill>
                <a:schemeClr val="accent3"/>
              </a:solidFill>
            </c:spPr>
          </c:dPt>
          <c:dPt>
            <c:idx val="18"/>
            <c:spPr>
              <a:solidFill>
                <a:schemeClr val="accent4"/>
              </a:solidFill>
            </c:spPr>
          </c:dPt>
          <c:dPt>
            <c:idx val="19"/>
            <c:spPr>
              <a:solidFill>
                <a:schemeClr val="accent5"/>
              </a:solidFill>
            </c:spPr>
          </c:dPt>
          <c:cat>
            <c:multiLvlStrRef>
              <c:f>'Course level graphs'!$A$24:$T$25</c:f>
              <c:multiLvlStrCache>
                <c:ptCount val="20"/>
                <c:lvl>
                  <c:pt idx="0">
                    <c:v>Certificates</c:v>
                  </c:pt>
                  <c:pt idx="1">
                    <c:v>Diplomas</c:v>
                  </c:pt>
                  <c:pt idx="2">
                    <c:v>Degrees</c:v>
                  </c:pt>
                  <c:pt idx="3">
                    <c:v>Postgraduate</c:v>
                  </c:pt>
                  <c:pt idx="4">
                    <c:v>Masters</c:v>
                  </c:pt>
                  <c:pt idx="5">
                    <c:v>Certificates</c:v>
                  </c:pt>
                  <c:pt idx="6">
                    <c:v>Diplomas</c:v>
                  </c:pt>
                  <c:pt idx="7">
                    <c:v>Degrees</c:v>
                  </c:pt>
                  <c:pt idx="8">
                    <c:v>Postgraduate</c:v>
                  </c:pt>
                  <c:pt idx="9">
                    <c:v>Masters</c:v>
                  </c:pt>
                  <c:pt idx="10">
                    <c:v>Certificates</c:v>
                  </c:pt>
                  <c:pt idx="11">
                    <c:v>Diplomas</c:v>
                  </c:pt>
                  <c:pt idx="12">
                    <c:v>Degrees</c:v>
                  </c:pt>
                  <c:pt idx="13">
                    <c:v>Postgraduate</c:v>
                  </c:pt>
                  <c:pt idx="14">
                    <c:v>Masters</c:v>
                  </c:pt>
                  <c:pt idx="15">
                    <c:v>Certificates</c:v>
                  </c:pt>
                  <c:pt idx="16">
                    <c:v>Diplomas</c:v>
                  </c:pt>
                  <c:pt idx="17">
                    <c:v>Degrees</c:v>
                  </c:pt>
                  <c:pt idx="18">
                    <c:v>Postgraduate</c:v>
                  </c:pt>
                  <c:pt idx="19">
                    <c:v>Masters</c:v>
                  </c:pt>
                </c:lvl>
                <c:lvl>
                  <c:pt idx="0">
                    <c:v>Extramural        No ICT 2005</c:v>
                  </c:pt>
                  <c:pt idx="5">
                    <c:v>Extramural            e-learning 2005</c:v>
                  </c:pt>
                  <c:pt idx="10">
                    <c:v>Extramural        No ICT 2011</c:v>
                  </c:pt>
                  <c:pt idx="15">
                    <c:v>Extramural            e-learning 2011</c:v>
                  </c:pt>
                </c:lvl>
              </c:multiLvlStrCache>
            </c:multiLvlStrRef>
          </c:cat>
          <c:val>
            <c:numRef>
              <c:f>'Course level graphs'!$A$26:$T$26</c:f>
              <c:numCache>
                <c:formatCode>General</c:formatCode>
                <c:ptCount val="20"/>
                <c:pt idx="0">
                  <c:v>51.99</c:v>
                </c:pt>
                <c:pt idx="1">
                  <c:v>22.24</c:v>
                </c:pt>
                <c:pt idx="2">
                  <c:v>37.370000000000005</c:v>
                </c:pt>
                <c:pt idx="3">
                  <c:v>19.29</c:v>
                </c:pt>
                <c:pt idx="4">
                  <c:v>40.25</c:v>
                </c:pt>
                <c:pt idx="5">
                  <c:v>48.01</c:v>
                </c:pt>
                <c:pt idx="6">
                  <c:v>77.260000000000005</c:v>
                </c:pt>
                <c:pt idx="7">
                  <c:v>62.63</c:v>
                </c:pt>
                <c:pt idx="8">
                  <c:v>80.709999999999994</c:v>
                </c:pt>
                <c:pt idx="9">
                  <c:v>59.75</c:v>
                </c:pt>
                <c:pt idx="10">
                  <c:v>69.209999999999994</c:v>
                </c:pt>
                <c:pt idx="11">
                  <c:v>20.58</c:v>
                </c:pt>
                <c:pt idx="12">
                  <c:v>23.979999999999997</c:v>
                </c:pt>
                <c:pt idx="13">
                  <c:v>5.78</c:v>
                </c:pt>
                <c:pt idx="14" formatCode="0.00">
                  <c:v>28</c:v>
                </c:pt>
                <c:pt idx="15">
                  <c:v>30.79</c:v>
                </c:pt>
                <c:pt idx="16">
                  <c:v>79.42</c:v>
                </c:pt>
                <c:pt idx="17">
                  <c:v>76.02</c:v>
                </c:pt>
                <c:pt idx="18">
                  <c:v>94.22</c:v>
                </c:pt>
                <c:pt idx="19" formatCode="0.00">
                  <c:v>72</c:v>
                </c:pt>
              </c:numCache>
            </c:numRef>
          </c:val>
        </c:ser>
        <c:axId val="78300288"/>
        <c:axId val="78301824"/>
      </c:barChart>
      <c:catAx>
        <c:axId val="78300288"/>
        <c:scaling>
          <c:orientation val="minMax"/>
        </c:scaling>
        <c:axPos val="b"/>
        <c:tickLblPos val="nextTo"/>
        <c:crossAx val="78301824"/>
        <c:crosses val="autoZero"/>
        <c:auto val="1"/>
        <c:lblAlgn val="ctr"/>
        <c:lblOffset val="100"/>
      </c:catAx>
      <c:valAx>
        <c:axId val="78301824"/>
        <c:scaling>
          <c:orientation val="minMax"/>
          <c:max val="100"/>
        </c:scaling>
        <c:axPos val="l"/>
        <c:majorGridlines/>
        <c:title>
          <c:tx>
            <c:rich>
              <a:bodyPr rot="-5400000" vert="horz"/>
              <a:lstStyle/>
              <a:p>
                <a:pPr>
                  <a:defRPr/>
                </a:pPr>
                <a:r>
                  <a:rPr lang="en-US"/>
                  <a:t>Percent</a:t>
                </a:r>
              </a:p>
            </c:rich>
          </c:tx>
        </c:title>
        <c:numFmt formatCode="0" sourceLinked="0"/>
        <c:tickLblPos val="nextTo"/>
        <c:crossAx val="7830028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'System Level Graphs'!$A$3</c:f>
              <c:strCache>
                <c:ptCount val="1"/>
                <c:pt idx="0">
                  <c:v>Extramural</c:v>
                </c:pt>
              </c:strCache>
            </c:strRef>
          </c:tx>
          <c:cat>
            <c:strRef>
              <c:f>'System Level Graphs'!$B$2:$C$2</c:f>
              <c:strCache>
                <c:ptCount val="2"/>
                <c:pt idx="0">
                  <c:v>No ICT</c:v>
                </c:pt>
                <c:pt idx="1">
                  <c:v>e-learning</c:v>
                </c:pt>
              </c:strCache>
            </c:strRef>
          </c:cat>
          <c:val>
            <c:numRef>
              <c:f>'System Level Graphs'!$B$3:$C$3</c:f>
              <c:numCache>
                <c:formatCode>General</c:formatCode>
                <c:ptCount val="2"/>
                <c:pt idx="0">
                  <c:v>63.1</c:v>
                </c:pt>
                <c:pt idx="1">
                  <c:v>57.8</c:v>
                </c:pt>
              </c:numCache>
            </c:numRef>
          </c:val>
        </c:ser>
        <c:ser>
          <c:idx val="1"/>
          <c:order val="1"/>
          <c:tx>
            <c:strRef>
              <c:f>'System Level Graphs'!$A$4</c:f>
              <c:strCache>
                <c:ptCount val="1"/>
                <c:pt idx="0">
                  <c:v>Intramural</c:v>
                </c:pt>
              </c:strCache>
            </c:strRef>
          </c:tx>
          <c:cat>
            <c:strRef>
              <c:f>'System Level Graphs'!$B$2:$C$2</c:f>
              <c:strCache>
                <c:ptCount val="2"/>
                <c:pt idx="0">
                  <c:v>No ICT</c:v>
                </c:pt>
                <c:pt idx="1">
                  <c:v>e-learning</c:v>
                </c:pt>
              </c:strCache>
            </c:strRef>
          </c:cat>
          <c:val>
            <c:numRef>
              <c:f>'System Level Graphs'!$B$4:$C$4</c:f>
              <c:numCache>
                <c:formatCode>General</c:formatCode>
                <c:ptCount val="2"/>
                <c:pt idx="0">
                  <c:v>73.099999999999994</c:v>
                </c:pt>
                <c:pt idx="1">
                  <c:v>74.599999999999994</c:v>
                </c:pt>
              </c:numCache>
            </c:numRef>
          </c:val>
        </c:ser>
        <c:axId val="97494912"/>
        <c:axId val="97496448"/>
      </c:barChart>
      <c:catAx>
        <c:axId val="97494912"/>
        <c:scaling>
          <c:orientation val="minMax"/>
        </c:scaling>
        <c:axPos val="b"/>
        <c:tickLblPos val="nextTo"/>
        <c:crossAx val="97496448"/>
        <c:crosses val="autoZero"/>
        <c:auto val="1"/>
        <c:lblAlgn val="ctr"/>
        <c:lblOffset val="100"/>
      </c:catAx>
      <c:valAx>
        <c:axId val="97496448"/>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9749491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'Gender graphs'!$B$2</c:f>
              <c:strCache>
                <c:ptCount val="1"/>
                <c:pt idx="0">
                  <c:v>2005</c:v>
                </c:pt>
              </c:strCache>
            </c:strRef>
          </c:tx>
          <c:cat>
            <c:strRef>
              <c:f>'Gender graphs'!$A$3:$A$6</c:f>
              <c:strCache>
                <c:ptCount val="4"/>
                <c:pt idx="0">
                  <c:v>Female Extramural</c:v>
                </c:pt>
                <c:pt idx="1">
                  <c:v>Male    Extramural</c:v>
                </c:pt>
                <c:pt idx="2">
                  <c:v>Female Intramural</c:v>
                </c:pt>
                <c:pt idx="3">
                  <c:v>Male     Intramural</c:v>
                </c:pt>
              </c:strCache>
            </c:strRef>
          </c:cat>
          <c:val>
            <c:numRef>
              <c:f>'Gender graphs'!$B$3:$B$6</c:f>
              <c:numCache>
                <c:formatCode>General</c:formatCode>
                <c:ptCount val="4"/>
                <c:pt idx="0">
                  <c:v>14.65</c:v>
                </c:pt>
                <c:pt idx="1">
                  <c:v>10.84</c:v>
                </c:pt>
                <c:pt idx="2">
                  <c:v>85.35</c:v>
                </c:pt>
                <c:pt idx="3">
                  <c:v>89.16</c:v>
                </c:pt>
              </c:numCache>
            </c:numRef>
          </c:val>
        </c:ser>
        <c:ser>
          <c:idx val="1"/>
          <c:order val="1"/>
          <c:tx>
            <c:strRef>
              <c:f>'Gender graphs'!$C$2</c:f>
              <c:strCache>
                <c:ptCount val="1"/>
                <c:pt idx="0">
                  <c:v>2011</c:v>
                </c:pt>
              </c:strCache>
            </c:strRef>
          </c:tx>
          <c:cat>
            <c:strRef>
              <c:f>'Gender graphs'!$A$3:$A$6</c:f>
              <c:strCache>
                <c:ptCount val="4"/>
                <c:pt idx="0">
                  <c:v>Female Extramural</c:v>
                </c:pt>
                <c:pt idx="1">
                  <c:v>Male    Extramural</c:v>
                </c:pt>
                <c:pt idx="2">
                  <c:v>Female Intramural</c:v>
                </c:pt>
                <c:pt idx="3">
                  <c:v>Male     Intramural</c:v>
                </c:pt>
              </c:strCache>
            </c:strRef>
          </c:cat>
          <c:val>
            <c:numRef>
              <c:f>'Gender graphs'!$C$3:$C$6</c:f>
              <c:numCache>
                <c:formatCode>General</c:formatCode>
                <c:ptCount val="4"/>
                <c:pt idx="0">
                  <c:v>15.24</c:v>
                </c:pt>
                <c:pt idx="1">
                  <c:v>8.9600000000000026</c:v>
                </c:pt>
                <c:pt idx="2">
                  <c:v>84.76</c:v>
                </c:pt>
                <c:pt idx="3">
                  <c:v>91.04</c:v>
                </c:pt>
              </c:numCache>
            </c:numRef>
          </c:val>
        </c:ser>
        <c:axId val="50563328"/>
        <c:axId val="50569216"/>
      </c:barChart>
      <c:catAx>
        <c:axId val="50563328"/>
        <c:scaling>
          <c:orientation val="minMax"/>
        </c:scaling>
        <c:axPos val="b"/>
        <c:tickLblPos val="nextTo"/>
        <c:crossAx val="50569216"/>
        <c:crosses val="autoZero"/>
        <c:auto val="1"/>
        <c:lblAlgn val="ctr"/>
        <c:lblOffset val="100"/>
      </c:catAx>
      <c:valAx>
        <c:axId val="50569216"/>
        <c:scaling>
          <c:orientation val="minMax"/>
        </c:scaling>
        <c:axPos val="l"/>
        <c:majorGridlines/>
        <c:title>
          <c:tx>
            <c:rich>
              <a:bodyPr rot="-5400000" vert="horz"/>
              <a:lstStyle/>
              <a:p>
                <a:pPr>
                  <a:defRPr/>
                </a:pPr>
                <a:r>
                  <a:rPr lang="en-US"/>
                  <a:t>Percent</a:t>
                </a:r>
              </a:p>
            </c:rich>
          </c:tx>
        </c:title>
        <c:numFmt formatCode="General" sourceLinked="1"/>
        <c:tickLblPos val="nextTo"/>
        <c:crossAx val="5056332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'Gender graphs'!$B$54</c:f>
              <c:strCache>
                <c:ptCount val="1"/>
                <c:pt idx="0">
                  <c:v>Extramural</c:v>
                </c:pt>
              </c:strCache>
            </c:strRef>
          </c:tx>
          <c:cat>
            <c:strRef>
              <c:f>'Gender graphs'!$A$55:$A$62</c:f>
              <c:strCache>
                <c:ptCount val="8"/>
                <c:pt idx="0">
                  <c:v>Female No ICT 2005</c:v>
                </c:pt>
                <c:pt idx="1">
                  <c:v>Female No ICT 2011</c:v>
                </c:pt>
                <c:pt idx="2">
                  <c:v>Male   No ICT 2005</c:v>
                </c:pt>
                <c:pt idx="3">
                  <c:v>Male   No ICT 2011</c:v>
                </c:pt>
                <c:pt idx="4">
                  <c:v>Female EL 2005</c:v>
                </c:pt>
                <c:pt idx="5">
                  <c:v>Female EL 2011</c:v>
                </c:pt>
                <c:pt idx="6">
                  <c:v>Male    EL 2005 </c:v>
                </c:pt>
                <c:pt idx="7">
                  <c:v>Male    EL 2011</c:v>
                </c:pt>
              </c:strCache>
            </c:strRef>
          </c:cat>
          <c:val>
            <c:numRef>
              <c:f>'Gender graphs'!$B$55:$B$62</c:f>
              <c:numCache>
                <c:formatCode>0.00</c:formatCode>
                <c:ptCount val="8"/>
                <c:pt idx="0">
                  <c:v>40.6</c:v>
                </c:pt>
                <c:pt idx="1">
                  <c:v>42.7</c:v>
                </c:pt>
                <c:pt idx="2" formatCode="General">
                  <c:v>45.77</c:v>
                </c:pt>
                <c:pt idx="3" formatCode="General">
                  <c:v>43.99</c:v>
                </c:pt>
                <c:pt idx="4">
                  <c:v>59.4</c:v>
                </c:pt>
                <c:pt idx="5">
                  <c:v>57.3</c:v>
                </c:pt>
                <c:pt idx="6" formatCode="General">
                  <c:v>54.230000000000004</c:v>
                </c:pt>
                <c:pt idx="7" formatCode="General">
                  <c:v>56.01</c:v>
                </c:pt>
              </c:numCache>
            </c:numRef>
          </c:val>
        </c:ser>
        <c:ser>
          <c:idx val="1"/>
          <c:order val="1"/>
          <c:tx>
            <c:strRef>
              <c:f>'Gender graphs'!$C$54</c:f>
              <c:strCache>
                <c:ptCount val="1"/>
                <c:pt idx="0">
                  <c:v>Intramural</c:v>
                </c:pt>
              </c:strCache>
            </c:strRef>
          </c:tx>
          <c:cat>
            <c:strRef>
              <c:f>'Gender graphs'!$A$55:$A$62</c:f>
              <c:strCache>
                <c:ptCount val="8"/>
                <c:pt idx="0">
                  <c:v>Female No ICT 2005</c:v>
                </c:pt>
                <c:pt idx="1">
                  <c:v>Female No ICT 2011</c:v>
                </c:pt>
                <c:pt idx="2">
                  <c:v>Male   No ICT 2005</c:v>
                </c:pt>
                <c:pt idx="3">
                  <c:v>Male   No ICT 2011</c:v>
                </c:pt>
                <c:pt idx="4">
                  <c:v>Female EL 2005</c:v>
                </c:pt>
                <c:pt idx="5">
                  <c:v>Female EL 2011</c:v>
                </c:pt>
                <c:pt idx="6">
                  <c:v>Male    EL 2005 </c:v>
                </c:pt>
                <c:pt idx="7">
                  <c:v>Male    EL 2011</c:v>
                </c:pt>
              </c:strCache>
            </c:strRef>
          </c:cat>
          <c:val>
            <c:numRef>
              <c:f>'Gender graphs'!$C$55:$C$62</c:f>
              <c:numCache>
                <c:formatCode>0.00</c:formatCode>
                <c:ptCount val="8"/>
                <c:pt idx="0" formatCode="General">
                  <c:v>56.730000000000004</c:v>
                </c:pt>
                <c:pt idx="1">
                  <c:v>43.1</c:v>
                </c:pt>
                <c:pt idx="2" formatCode="General">
                  <c:v>55.57</c:v>
                </c:pt>
                <c:pt idx="3" formatCode="General">
                  <c:v>46.41</c:v>
                </c:pt>
                <c:pt idx="4" formatCode="General">
                  <c:v>43.27</c:v>
                </c:pt>
                <c:pt idx="5">
                  <c:v>56.9</c:v>
                </c:pt>
                <c:pt idx="6" formatCode="General">
                  <c:v>44.43</c:v>
                </c:pt>
                <c:pt idx="7" formatCode="General">
                  <c:v>53.59</c:v>
                </c:pt>
              </c:numCache>
            </c:numRef>
          </c:val>
        </c:ser>
        <c:axId val="50581888"/>
        <c:axId val="50583424"/>
      </c:barChart>
      <c:catAx>
        <c:axId val="50581888"/>
        <c:scaling>
          <c:orientation val="minMax"/>
        </c:scaling>
        <c:axPos val="b"/>
        <c:tickLblPos val="nextTo"/>
        <c:crossAx val="50583424"/>
        <c:crosses val="autoZero"/>
        <c:auto val="1"/>
        <c:lblAlgn val="ctr"/>
        <c:lblOffset val="100"/>
      </c:catAx>
      <c:valAx>
        <c:axId val="50583424"/>
        <c:scaling>
          <c:orientation val="minMax"/>
          <c:max val="100"/>
        </c:scaling>
        <c:axPos val="l"/>
        <c:majorGridlines/>
        <c:title>
          <c:tx>
            <c:rich>
              <a:bodyPr rot="-5400000" vert="horz"/>
              <a:lstStyle/>
              <a:p>
                <a:pPr>
                  <a:defRPr/>
                </a:pPr>
                <a:r>
                  <a:rPr lang="en-US"/>
                  <a:t>Percent</a:t>
                </a:r>
              </a:p>
            </c:rich>
          </c:tx>
        </c:title>
        <c:numFmt formatCode="0" sourceLinked="0"/>
        <c:tickLblPos val="nextTo"/>
        <c:crossAx val="5058188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'Gender Graphs'!$A$3</c:f>
              <c:strCache>
                <c:ptCount val="1"/>
                <c:pt idx="0">
                  <c:v>Female</c:v>
                </c:pt>
              </c:strCache>
            </c:strRef>
          </c:tx>
          <c:cat>
            <c:strRef>
              <c:f>'Gender Graphs'!$B$2:$E$2</c:f>
              <c:strCache>
                <c:ptCount val="4"/>
                <c:pt idx="0">
                  <c:v>Extramural        No ICT</c:v>
                </c:pt>
                <c:pt idx="1">
                  <c:v>Intramural         No ICT</c:v>
                </c:pt>
                <c:pt idx="2">
                  <c:v>Extramural             e-learning</c:v>
                </c:pt>
                <c:pt idx="3">
                  <c:v>Intramural              e-learning</c:v>
                </c:pt>
              </c:strCache>
            </c:strRef>
          </c:cat>
          <c:val>
            <c:numRef>
              <c:f>'Gender Graphs'!$B$3:$E$3</c:f>
              <c:numCache>
                <c:formatCode>0.0</c:formatCode>
                <c:ptCount val="4"/>
                <c:pt idx="0" formatCode="General">
                  <c:v>68.099999999999994</c:v>
                </c:pt>
                <c:pt idx="1">
                  <c:v>77</c:v>
                </c:pt>
                <c:pt idx="2" formatCode="General">
                  <c:v>58.7</c:v>
                </c:pt>
                <c:pt idx="3" formatCode="General">
                  <c:v>76.7</c:v>
                </c:pt>
              </c:numCache>
            </c:numRef>
          </c:val>
        </c:ser>
        <c:ser>
          <c:idx val="1"/>
          <c:order val="1"/>
          <c:tx>
            <c:strRef>
              <c:f>'Gender Graphs'!$A$4</c:f>
              <c:strCache>
                <c:ptCount val="1"/>
                <c:pt idx="0">
                  <c:v>Male</c:v>
                </c:pt>
              </c:strCache>
            </c:strRef>
          </c:tx>
          <c:cat>
            <c:strRef>
              <c:f>'Gender Graphs'!$B$2:$E$2</c:f>
              <c:strCache>
                <c:ptCount val="4"/>
                <c:pt idx="0">
                  <c:v>Extramural        No ICT</c:v>
                </c:pt>
                <c:pt idx="1">
                  <c:v>Intramural         No ICT</c:v>
                </c:pt>
                <c:pt idx="2">
                  <c:v>Extramural             e-learning</c:v>
                </c:pt>
                <c:pt idx="3">
                  <c:v>Intramural              e-learning</c:v>
                </c:pt>
              </c:strCache>
            </c:strRef>
          </c:cat>
          <c:val>
            <c:numRef>
              <c:f>'Gender Graphs'!$B$4:$E$4</c:f>
              <c:numCache>
                <c:formatCode>General</c:formatCode>
                <c:ptCount val="4"/>
                <c:pt idx="0">
                  <c:v>56.6</c:v>
                </c:pt>
                <c:pt idx="1">
                  <c:v>71.099999999999994</c:v>
                </c:pt>
                <c:pt idx="2">
                  <c:v>54.7</c:v>
                </c:pt>
                <c:pt idx="3">
                  <c:v>70.2</c:v>
                </c:pt>
              </c:numCache>
            </c:numRef>
          </c:val>
        </c:ser>
        <c:axId val="50678400"/>
        <c:axId val="50688384"/>
      </c:barChart>
      <c:catAx>
        <c:axId val="50678400"/>
        <c:scaling>
          <c:orientation val="minMax"/>
        </c:scaling>
        <c:axPos val="b"/>
        <c:tickLblPos val="nextTo"/>
        <c:crossAx val="50688384"/>
        <c:crosses val="autoZero"/>
        <c:auto val="1"/>
        <c:lblAlgn val="ctr"/>
        <c:lblOffset val="100"/>
      </c:catAx>
      <c:valAx>
        <c:axId val="50688384"/>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50678400"/>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tx>
            <c:strRef>
              <c:f>'Age Group graphs (2)'!$B$2</c:f>
              <c:strCache>
                <c:ptCount val="1"/>
                <c:pt idx="0">
                  <c:v>2005</c:v>
                </c:pt>
              </c:strCache>
            </c:strRef>
          </c:tx>
          <c:cat>
            <c:strRef>
              <c:f>'Age Group graphs (2)'!$A$3:$A$8</c:f>
              <c:strCache>
                <c:ptCount val="6"/>
                <c:pt idx="0">
                  <c:v>Under 25s Extramural</c:v>
                </c:pt>
                <c:pt idx="1">
                  <c:v>25-39 Extramural</c:v>
                </c:pt>
                <c:pt idx="2">
                  <c:v>40+ Extramural</c:v>
                </c:pt>
                <c:pt idx="3">
                  <c:v>Under 25s Intramural</c:v>
                </c:pt>
                <c:pt idx="4">
                  <c:v>25-39 Intramural</c:v>
                </c:pt>
                <c:pt idx="5">
                  <c:v>40+ Intramural</c:v>
                </c:pt>
              </c:strCache>
            </c:strRef>
          </c:cat>
          <c:val>
            <c:numRef>
              <c:f>'Age Group graphs (2)'!$B$3:$B$8</c:f>
              <c:numCache>
                <c:formatCode>General</c:formatCode>
                <c:ptCount val="6"/>
                <c:pt idx="0">
                  <c:v>6.31</c:v>
                </c:pt>
                <c:pt idx="1">
                  <c:v>19.920000000000002</c:v>
                </c:pt>
                <c:pt idx="2">
                  <c:v>23.25</c:v>
                </c:pt>
                <c:pt idx="3">
                  <c:v>93.69</c:v>
                </c:pt>
                <c:pt idx="4">
                  <c:v>80.08</c:v>
                </c:pt>
                <c:pt idx="5">
                  <c:v>76.75</c:v>
                </c:pt>
              </c:numCache>
            </c:numRef>
          </c:val>
        </c:ser>
        <c:ser>
          <c:idx val="1"/>
          <c:order val="1"/>
          <c:tx>
            <c:strRef>
              <c:f>'Age Group graphs (2)'!$C$2</c:f>
              <c:strCache>
                <c:ptCount val="1"/>
                <c:pt idx="0">
                  <c:v>2011</c:v>
                </c:pt>
              </c:strCache>
            </c:strRef>
          </c:tx>
          <c:cat>
            <c:strRef>
              <c:f>'Age Group graphs (2)'!$A$3:$A$8</c:f>
              <c:strCache>
                <c:ptCount val="6"/>
                <c:pt idx="0">
                  <c:v>Under 25s Extramural</c:v>
                </c:pt>
                <c:pt idx="1">
                  <c:v>25-39 Extramural</c:v>
                </c:pt>
                <c:pt idx="2">
                  <c:v>40+ Extramural</c:v>
                </c:pt>
                <c:pt idx="3">
                  <c:v>Under 25s Intramural</c:v>
                </c:pt>
                <c:pt idx="4">
                  <c:v>25-39 Intramural</c:v>
                </c:pt>
                <c:pt idx="5">
                  <c:v>40+ Intramural</c:v>
                </c:pt>
              </c:strCache>
            </c:strRef>
          </c:cat>
          <c:val>
            <c:numRef>
              <c:f>'Age Group graphs (2)'!$C$3:$C$8</c:f>
              <c:numCache>
                <c:formatCode>General</c:formatCode>
                <c:ptCount val="6"/>
                <c:pt idx="0">
                  <c:v>5.64</c:v>
                </c:pt>
                <c:pt idx="1">
                  <c:v>19.829999999999988</c:v>
                </c:pt>
                <c:pt idx="2" formatCode="0.00">
                  <c:v>27.3</c:v>
                </c:pt>
                <c:pt idx="3">
                  <c:v>94.36</c:v>
                </c:pt>
                <c:pt idx="4">
                  <c:v>80.169999999999987</c:v>
                </c:pt>
                <c:pt idx="5" formatCode="0.00">
                  <c:v>72.7</c:v>
                </c:pt>
              </c:numCache>
            </c:numRef>
          </c:val>
        </c:ser>
        <c:axId val="51057024"/>
        <c:axId val="51058560"/>
      </c:barChart>
      <c:catAx>
        <c:axId val="51057024"/>
        <c:scaling>
          <c:orientation val="minMax"/>
        </c:scaling>
        <c:axPos val="b"/>
        <c:tickLblPos val="nextTo"/>
        <c:crossAx val="51058560"/>
        <c:crosses val="autoZero"/>
        <c:auto val="1"/>
        <c:lblAlgn val="ctr"/>
        <c:lblOffset val="100"/>
      </c:catAx>
      <c:valAx>
        <c:axId val="51058560"/>
        <c:scaling>
          <c:orientation val="minMax"/>
        </c:scaling>
        <c:axPos val="l"/>
        <c:majorGridlines/>
        <c:title>
          <c:tx>
            <c:rich>
              <a:bodyPr rot="-5400000" vert="horz"/>
              <a:lstStyle/>
              <a:p>
                <a:pPr>
                  <a:defRPr/>
                </a:pPr>
                <a:r>
                  <a:rPr lang="en-US"/>
                  <a:t>Percent</a:t>
                </a:r>
              </a:p>
            </c:rich>
          </c:tx>
        </c:title>
        <c:numFmt formatCode="General" sourceLinked="1"/>
        <c:tickLblPos val="nextTo"/>
        <c:crossAx val="51057024"/>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dPt>
            <c:idx val="1"/>
            <c:spPr>
              <a:solidFill>
                <a:schemeClr val="accent2"/>
              </a:solidFill>
            </c:spPr>
          </c:dPt>
          <c:dPt>
            <c:idx val="2"/>
            <c:spPr>
              <a:solidFill>
                <a:schemeClr val="accent3"/>
              </a:solidFill>
            </c:spPr>
          </c:dPt>
          <c:dPt>
            <c:idx val="4"/>
            <c:spPr>
              <a:solidFill>
                <a:schemeClr val="accent2"/>
              </a:solidFill>
            </c:spPr>
          </c:dPt>
          <c:dPt>
            <c:idx val="5"/>
            <c:spPr>
              <a:solidFill>
                <a:schemeClr val="accent3"/>
              </a:solidFill>
            </c:spPr>
          </c:dPt>
          <c:dPt>
            <c:idx val="7"/>
            <c:spPr>
              <a:solidFill>
                <a:schemeClr val="accent2"/>
              </a:solidFill>
            </c:spPr>
          </c:dPt>
          <c:dPt>
            <c:idx val="8"/>
            <c:spPr>
              <a:solidFill>
                <a:schemeClr val="accent3"/>
              </a:solidFill>
            </c:spPr>
          </c:dPt>
          <c:dPt>
            <c:idx val="10"/>
            <c:spPr>
              <a:solidFill>
                <a:schemeClr val="accent2"/>
              </a:solidFill>
            </c:spPr>
          </c:dPt>
          <c:dPt>
            <c:idx val="11"/>
            <c:spPr>
              <a:solidFill>
                <a:schemeClr val="accent3"/>
              </a:solidFill>
            </c:spPr>
          </c:dPt>
          <c:cat>
            <c:multiLvlStrRef>
              <c:f>'Age Group graphs (2)'!$A$28:$L$29</c:f>
              <c:multiLvlStrCache>
                <c:ptCount val="12"/>
                <c:lvl>
                  <c:pt idx="0">
                    <c:v>Under 25s e-learning</c:v>
                  </c:pt>
                  <c:pt idx="1">
                    <c:v>25-39 e-learning</c:v>
                  </c:pt>
                  <c:pt idx="2">
                    <c:v>40+ e-learning</c:v>
                  </c:pt>
                  <c:pt idx="3">
                    <c:v>Under 25s e-learning</c:v>
                  </c:pt>
                  <c:pt idx="4">
                    <c:v>25-39 e-learning</c:v>
                  </c:pt>
                  <c:pt idx="5">
                    <c:v>40+ e-learning</c:v>
                  </c:pt>
                  <c:pt idx="6">
                    <c:v>Under 25s e-learning</c:v>
                  </c:pt>
                  <c:pt idx="7">
                    <c:v>25-39 e-learning</c:v>
                  </c:pt>
                  <c:pt idx="8">
                    <c:v>40+ e-learning</c:v>
                  </c:pt>
                  <c:pt idx="9">
                    <c:v>Under 25s e-learning</c:v>
                  </c:pt>
                  <c:pt idx="10">
                    <c:v>25-39 e-learning</c:v>
                  </c:pt>
                  <c:pt idx="11">
                    <c:v>40+ e-learning</c:v>
                  </c:pt>
                </c:lvl>
                <c:lvl>
                  <c:pt idx="0">
                    <c:v>Intramural 2005</c:v>
                  </c:pt>
                  <c:pt idx="3">
                    <c:v>Intramural 2011</c:v>
                  </c:pt>
                  <c:pt idx="6">
                    <c:v>Extramural 2005</c:v>
                  </c:pt>
                  <c:pt idx="9">
                    <c:v>Extramural 2011</c:v>
                  </c:pt>
                </c:lvl>
              </c:multiLvlStrCache>
            </c:multiLvlStrRef>
          </c:cat>
          <c:val>
            <c:numRef>
              <c:f>'Age Group graphs (2)'!$A$30:$L$30</c:f>
              <c:numCache>
                <c:formatCode>General</c:formatCode>
                <c:ptCount val="12"/>
                <c:pt idx="0">
                  <c:v>53.730000000000011</c:v>
                </c:pt>
                <c:pt idx="1">
                  <c:v>34.480000000000004</c:v>
                </c:pt>
                <c:pt idx="2">
                  <c:v>20.239999999999988</c:v>
                </c:pt>
                <c:pt idx="3">
                  <c:v>62.67</c:v>
                </c:pt>
                <c:pt idx="4">
                  <c:v>47.53</c:v>
                </c:pt>
                <c:pt idx="5">
                  <c:v>32.56</c:v>
                </c:pt>
                <c:pt idx="6">
                  <c:v>64.069999999999993</c:v>
                </c:pt>
                <c:pt idx="7">
                  <c:v>58.14</c:v>
                </c:pt>
                <c:pt idx="8">
                  <c:v>51.760000000000012</c:v>
                </c:pt>
                <c:pt idx="9">
                  <c:v>56.98</c:v>
                </c:pt>
                <c:pt idx="10">
                  <c:v>61.43</c:v>
                </c:pt>
                <c:pt idx="11">
                  <c:v>51.67</c:v>
                </c:pt>
              </c:numCache>
            </c:numRef>
          </c:val>
        </c:ser>
        <c:axId val="51266304"/>
        <c:axId val="51267840"/>
      </c:barChart>
      <c:catAx>
        <c:axId val="51266304"/>
        <c:scaling>
          <c:orientation val="minMax"/>
        </c:scaling>
        <c:axPos val="b"/>
        <c:tickLblPos val="nextTo"/>
        <c:crossAx val="51267840"/>
        <c:crosses val="autoZero"/>
        <c:auto val="1"/>
        <c:lblAlgn val="ctr"/>
        <c:lblOffset val="100"/>
      </c:catAx>
      <c:valAx>
        <c:axId val="51267840"/>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51266304"/>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NZ"/>
  <c:chart>
    <c:plotArea>
      <c:layout/>
      <c:barChart>
        <c:barDir val="col"/>
        <c:grouping val="clustered"/>
        <c:ser>
          <c:idx val="0"/>
          <c:order val="0"/>
          <c:tx>
            <c:strRef>
              <c:f>'Age Graphs (2)'!$A$3</c:f>
              <c:strCache>
                <c:ptCount val="1"/>
                <c:pt idx="0">
                  <c:v>Under 25s</c:v>
                </c:pt>
              </c:strCache>
            </c:strRef>
          </c:tx>
          <c:cat>
            <c:strRef>
              <c:f>'Age Graphs (2)'!$B$2:$E$2</c:f>
              <c:strCache>
                <c:ptCount val="4"/>
                <c:pt idx="0">
                  <c:v>Intramural         No ICT</c:v>
                </c:pt>
                <c:pt idx="1">
                  <c:v>Extramural        No ICT</c:v>
                </c:pt>
                <c:pt idx="2">
                  <c:v>Intramural              e-learning</c:v>
                </c:pt>
                <c:pt idx="3">
                  <c:v>Extramural             e-learning</c:v>
                </c:pt>
              </c:strCache>
            </c:strRef>
          </c:cat>
          <c:val>
            <c:numRef>
              <c:f>'Age Graphs (2)'!$B$3:$E$3</c:f>
              <c:numCache>
                <c:formatCode>0.0</c:formatCode>
                <c:ptCount val="4"/>
                <c:pt idx="0" formatCode="General">
                  <c:v>76.8</c:v>
                </c:pt>
                <c:pt idx="1">
                  <c:v>55.3</c:v>
                </c:pt>
                <c:pt idx="2" formatCode="General">
                  <c:v>75.900000000000006</c:v>
                </c:pt>
                <c:pt idx="3">
                  <c:v>54.9</c:v>
                </c:pt>
              </c:numCache>
            </c:numRef>
          </c:val>
        </c:ser>
        <c:ser>
          <c:idx val="1"/>
          <c:order val="1"/>
          <c:tx>
            <c:strRef>
              <c:f>'Age Graphs (2)'!$A$4</c:f>
              <c:strCache>
                <c:ptCount val="1"/>
                <c:pt idx="0">
                  <c:v>25-39</c:v>
                </c:pt>
              </c:strCache>
            </c:strRef>
          </c:tx>
          <c:cat>
            <c:strRef>
              <c:f>'Age Graphs (2)'!$B$2:$E$2</c:f>
              <c:strCache>
                <c:ptCount val="4"/>
                <c:pt idx="0">
                  <c:v>Intramural         No ICT</c:v>
                </c:pt>
                <c:pt idx="1">
                  <c:v>Extramural        No ICT</c:v>
                </c:pt>
                <c:pt idx="2">
                  <c:v>Intramural              e-learning</c:v>
                </c:pt>
                <c:pt idx="3">
                  <c:v>Extramural             e-learning</c:v>
                </c:pt>
              </c:strCache>
            </c:strRef>
          </c:cat>
          <c:val>
            <c:numRef>
              <c:f>'Age Graphs (2)'!$B$4:$E$4</c:f>
              <c:numCache>
                <c:formatCode>0.0</c:formatCode>
                <c:ptCount val="4"/>
                <c:pt idx="0" formatCode="General">
                  <c:v>72.400000000000006</c:v>
                </c:pt>
                <c:pt idx="1">
                  <c:v>65.3</c:v>
                </c:pt>
                <c:pt idx="2" formatCode="General">
                  <c:v>73.900000000000006</c:v>
                </c:pt>
                <c:pt idx="3">
                  <c:v>58.7</c:v>
                </c:pt>
              </c:numCache>
            </c:numRef>
          </c:val>
        </c:ser>
        <c:ser>
          <c:idx val="2"/>
          <c:order val="2"/>
          <c:tx>
            <c:strRef>
              <c:f>'Age Graphs (2)'!$A$5</c:f>
              <c:strCache>
                <c:ptCount val="1"/>
                <c:pt idx="0">
                  <c:v>40+</c:v>
                </c:pt>
              </c:strCache>
            </c:strRef>
          </c:tx>
          <c:cat>
            <c:strRef>
              <c:f>'Age Graphs (2)'!$B$2:$E$2</c:f>
              <c:strCache>
                <c:ptCount val="4"/>
                <c:pt idx="0">
                  <c:v>Intramural         No ICT</c:v>
                </c:pt>
                <c:pt idx="1">
                  <c:v>Extramural        No ICT</c:v>
                </c:pt>
                <c:pt idx="2">
                  <c:v>Intramural              e-learning</c:v>
                </c:pt>
                <c:pt idx="3">
                  <c:v>Extramural             e-learning</c:v>
                </c:pt>
              </c:strCache>
            </c:strRef>
          </c:cat>
          <c:val>
            <c:numRef>
              <c:f>'Age Graphs (2)'!$B$5:$E$5</c:f>
              <c:numCache>
                <c:formatCode>General</c:formatCode>
                <c:ptCount val="4"/>
                <c:pt idx="0" formatCode="0.0">
                  <c:v>72</c:v>
                </c:pt>
                <c:pt idx="1">
                  <c:v>72.7</c:v>
                </c:pt>
                <c:pt idx="2">
                  <c:v>72.099999999999994</c:v>
                </c:pt>
                <c:pt idx="3">
                  <c:v>62.3</c:v>
                </c:pt>
              </c:numCache>
            </c:numRef>
          </c:val>
        </c:ser>
        <c:axId val="51294208"/>
        <c:axId val="51295744"/>
      </c:barChart>
      <c:catAx>
        <c:axId val="51294208"/>
        <c:scaling>
          <c:orientation val="minMax"/>
        </c:scaling>
        <c:axPos val="b"/>
        <c:tickLblPos val="nextTo"/>
        <c:crossAx val="51295744"/>
        <c:crosses val="autoZero"/>
        <c:auto val="1"/>
        <c:lblAlgn val="ctr"/>
        <c:lblOffset val="100"/>
      </c:catAx>
      <c:valAx>
        <c:axId val="51295744"/>
        <c:scaling>
          <c:orientation val="minMax"/>
          <c:max val="100"/>
        </c:scaling>
        <c:axPos val="l"/>
        <c:majorGridlines/>
        <c:title>
          <c:tx>
            <c:rich>
              <a:bodyPr rot="-5400000" vert="horz"/>
              <a:lstStyle/>
              <a:p>
                <a:pPr>
                  <a:defRPr/>
                </a:pPr>
                <a:r>
                  <a:rPr lang="en-US"/>
                  <a:t>Completion Rates (%)</a:t>
                </a:r>
              </a:p>
            </c:rich>
          </c:tx>
        </c:title>
        <c:numFmt formatCode="General" sourceLinked="1"/>
        <c:tickLblPos val="nextTo"/>
        <c:crossAx val="51294208"/>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FED8E-FB2D-4D64-9CEE-C82DB228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59</Pages>
  <Words>19416</Words>
  <Characters>110673</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129830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guineyp</dc:creator>
  <dc:description>Developed by Airplane Studios/Edocs</dc:description>
  <cp:lastModifiedBy>Ministry Of Education - Scripting Build v3.51</cp:lastModifiedBy>
  <cp:revision>124</cp:revision>
  <cp:lastPrinted>2014-01-03T23:07:00Z</cp:lastPrinted>
  <dcterms:created xsi:type="dcterms:W3CDTF">2014-01-14T02:36:00Z</dcterms:created>
  <dcterms:modified xsi:type="dcterms:W3CDTF">2014-02-07T01:19:00Z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