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72" w:rsidRPr="00A0628E" w:rsidRDefault="0014758A" w:rsidP="0014758A">
      <w:pPr>
        <w:pStyle w:val="Title"/>
        <w:ind w:left="1276"/>
      </w:pPr>
      <w:bookmarkStart w:id="0" w:name="ReportTitle"/>
      <w:r w:rsidRPr="002A52DC">
        <w:t>Looking at the employment outcomes of tertiary education</w:t>
      </w:r>
      <w:bookmarkEnd w:id="0"/>
      <w:r w:rsidR="00AF1972">
        <w:rPr>
          <w:noProof/>
          <w:lang w:eastAsia="en-NZ"/>
        </w:rPr>
        <w:drawing>
          <wp:anchor distT="0" distB="0" distL="114300" distR="114300" simplePos="0" relativeHeight="251660288" behindDoc="0" locked="0" layoutInCell="1" allowOverlap="1">
            <wp:simplePos x="0" y="0"/>
            <wp:positionH relativeFrom="column">
              <wp:posOffset>-737235</wp:posOffset>
            </wp:positionH>
            <wp:positionV relativeFrom="paragraph">
              <wp:posOffset>9324975</wp:posOffset>
            </wp:positionV>
            <wp:extent cx="1263650" cy="129540"/>
            <wp:effectExtent l="19050" t="0" r="0" b="0"/>
            <wp:wrapNone/>
            <wp:docPr id="2" name="Picture 2" descr="newzealand-government-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zealand-government-rev"/>
                    <pic:cNvPicPr>
                      <a:picLocks noChangeAspect="1" noChangeArrowheads="1"/>
                    </pic:cNvPicPr>
                  </pic:nvPicPr>
                  <pic:blipFill>
                    <a:blip r:embed="rId9" cstate="print"/>
                    <a:srcRect/>
                    <a:stretch>
                      <a:fillRect/>
                    </a:stretch>
                  </pic:blipFill>
                  <pic:spPr bwMode="auto">
                    <a:xfrm>
                      <a:off x="0" y="0"/>
                      <a:ext cx="1263650" cy="129540"/>
                    </a:xfrm>
                    <a:prstGeom prst="rect">
                      <a:avLst/>
                    </a:prstGeom>
                    <a:noFill/>
                    <a:ln w="9525">
                      <a:noFill/>
                      <a:miter lim="800000"/>
                      <a:headEnd/>
                      <a:tailEnd/>
                    </a:ln>
                  </pic:spPr>
                </pic:pic>
              </a:graphicData>
            </a:graphic>
          </wp:anchor>
        </w:drawing>
      </w:r>
    </w:p>
    <w:p w:rsidR="00AF1972" w:rsidRPr="000045D2" w:rsidRDefault="0014758A" w:rsidP="00AF1972">
      <w:pPr>
        <w:pStyle w:val="Titlesub"/>
      </w:pPr>
      <w:r>
        <w:t>New data on the earnings of young graduates</w:t>
      </w:r>
      <w:r>
        <w:rPr>
          <w:noProof/>
          <w:lang w:eastAsia="en-NZ"/>
        </w:rPr>
        <w:drawing>
          <wp:anchor distT="0" distB="0" distL="114300" distR="114300" simplePos="0" relativeHeight="251662336" behindDoc="0" locked="0" layoutInCell="1" allowOverlap="1">
            <wp:simplePos x="0" y="0"/>
            <wp:positionH relativeFrom="column">
              <wp:posOffset>-737235</wp:posOffset>
            </wp:positionH>
            <wp:positionV relativeFrom="paragraph">
              <wp:posOffset>9324975</wp:posOffset>
            </wp:positionV>
            <wp:extent cx="1263650" cy="129540"/>
            <wp:effectExtent l="19050" t="0" r="0" b="0"/>
            <wp:wrapNone/>
            <wp:docPr id="1" name="Picture 12" descr="newzealand-government-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zealand-government-rev"/>
                    <pic:cNvPicPr>
                      <a:picLocks noChangeAspect="1" noChangeArrowheads="1"/>
                    </pic:cNvPicPr>
                  </pic:nvPicPr>
                  <pic:blipFill>
                    <a:blip r:embed="rId9" cstate="print"/>
                    <a:srcRect/>
                    <a:stretch>
                      <a:fillRect/>
                    </a:stretch>
                  </pic:blipFill>
                  <pic:spPr bwMode="auto">
                    <a:xfrm>
                      <a:off x="0" y="0"/>
                      <a:ext cx="1263650" cy="129540"/>
                    </a:xfrm>
                    <a:prstGeom prst="rect">
                      <a:avLst/>
                    </a:prstGeom>
                    <a:noFill/>
                    <a:ln w="9525">
                      <a:noFill/>
                      <a:miter lim="800000"/>
                      <a:headEnd/>
                      <a:tailEnd/>
                    </a:ln>
                  </pic:spPr>
                </pic:pic>
              </a:graphicData>
            </a:graphic>
          </wp:anchor>
        </w:drawing>
      </w:r>
    </w:p>
    <w:p w:rsidR="002F7F68" w:rsidRDefault="002F7F68" w:rsidP="00B675AF">
      <w:pPr>
        <w:sectPr w:rsidR="002F7F68" w:rsidSect="001E5925">
          <w:headerReference w:type="default" r:id="rId10"/>
          <w:footerReference w:type="default" r:id="rId11"/>
          <w:type w:val="continuous"/>
          <w:pgSz w:w="11906" w:h="16838" w:code="9"/>
          <w:pgMar w:top="-3041" w:right="624" w:bottom="3774" w:left="1701" w:header="709" w:footer="709" w:gutter="0"/>
          <w:pgNumType w:start="1"/>
          <w:cols w:space="708"/>
          <w:vAlign w:val="bottom"/>
          <w:docGrid w:linePitch="360"/>
        </w:sectPr>
      </w:pPr>
    </w:p>
    <w:p w:rsidR="00642831" w:rsidRPr="00642831" w:rsidRDefault="00642831" w:rsidP="00B675AF">
      <w:pPr>
        <w:pStyle w:val="Insidecover"/>
        <w:spacing w:before="200"/>
      </w:pPr>
      <w:r w:rsidRPr="00642831">
        <w:lastRenderedPageBreak/>
        <w:t xml:space="preserve">The </w:t>
      </w:r>
      <w:r>
        <w:t>Tertiary Education Occasional Papers provide short reports on research, analysis and statistics relating to tertiary education in New Zealand. These papers include short original works and summaries of published research and analysis.</w:t>
      </w:r>
    </w:p>
    <w:p w:rsidR="004D1E17" w:rsidRDefault="00ED68DB" w:rsidP="00B675AF">
      <w:pPr>
        <w:pStyle w:val="Insidecover"/>
        <w:spacing w:before="200"/>
      </w:pPr>
      <w:r w:rsidRPr="006511DE">
        <w:rPr>
          <w:b/>
        </w:rPr>
        <w:t>Author</w:t>
      </w:r>
      <w:r w:rsidR="00864BFD">
        <w:rPr>
          <w:b/>
        </w:rPr>
        <w:t>s</w:t>
      </w:r>
    </w:p>
    <w:p w:rsidR="004D1E17" w:rsidRDefault="00AA6C71" w:rsidP="004D1E17">
      <w:pPr>
        <w:pStyle w:val="Insidecover"/>
      </w:pPr>
      <w:r>
        <w:t>Zaneta Park</w:t>
      </w:r>
      <w:r w:rsidR="00ED68DB" w:rsidRPr="006511DE">
        <w:t xml:space="preserve">, </w:t>
      </w:r>
      <w:r w:rsidR="00864BFD">
        <w:t>Senior R</w:t>
      </w:r>
      <w:r>
        <w:t>esearch Analyst</w:t>
      </w:r>
    </w:p>
    <w:p w:rsidR="00C4491F" w:rsidRDefault="00C4491F" w:rsidP="004D1E17">
      <w:pPr>
        <w:pStyle w:val="Insidecover"/>
      </w:pPr>
      <w:r>
        <w:t>Paul Mahoney, Senior Research Analyst</w:t>
      </w:r>
    </w:p>
    <w:p w:rsidR="00C4491F" w:rsidRDefault="00C4491F" w:rsidP="004D1E17">
      <w:pPr>
        <w:pStyle w:val="Insidecover"/>
      </w:pPr>
      <w:r>
        <w:t>Warren Smart, Principal Research Analyst</w:t>
      </w:r>
    </w:p>
    <w:p w:rsidR="00AA6C71" w:rsidRDefault="00AA6C71" w:rsidP="004D1E17">
      <w:pPr>
        <w:pStyle w:val="Insidecover"/>
      </w:pPr>
      <w:r>
        <w:t>Roger Smyth, Manager</w:t>
      </w:r>
    </w:p>
    <w:p w:rsidR="00AA6C71" w:rsidRDefault="00AA6C71" w:rsidP="004D1E17">
      <w:pPr>
        <w:pStyle w:val="Insidecover"/>
      </w:pPr>
      <w:r>
        <w:t>Tertiary Sector Performance Analysis</w:t>
      </w:r>
    </w:p>
    <w:p w:rsidR="00CB1E93" w:rsidRDefault="00CB1E93" w:rsidP="004D1E17">
      <w:pPr>
        <w:pStyle w:val="Insidecover"/>
        <w:rPr>
          <w:lang w:val="en-GB"/>
        </w:rPr>
      </w:pPr>
    </w:p>
    <w:p w:rsidR="004D1E17" w:rsidRPr="008C48F6" w:rsidRDefault="00ED68DB" w:rsidP="004D1E17">
      <w:pPr>
        <w:pStyle w:val="Insidecover"/>
        <w:rPr>
          <w:lang w:val="en-GB"/>
        </w:rPr>
      </w:pPr>
      <w:r w:rsidRPr="008C48F6">
        <w:rPr>
          <w:lang w:val="en-GB"/>
        </w:rPr>
        <w:t xml:space="preserve">Email: </w:t>
      </w:r>
      <w:hyperlink r:id="rId12" w:history="1">
        <w:r w:rsidR="00AA6C71" w:rsidRPr="00496F14">
          <w:rPr>
            <w:rStyle w:val="Hyperlink"/>
            <w:lang w:val="en-GB"/>
          </w:rPr>
          <w:t>zaneta.park@minedu.govt.nz</w:t>
        </w:r>
      </w:hyperlink>
      <w:r w:rsidR="00AA6C71">
        <w:rPr>
          <w:lang w:val="en-GB"/>
        </w:rPr>
        <w:t xml:space="preserve"> </w:t>
      </w:r>
      <w:r w:rsidR="004D1E17" w:rsidRPr="008C48F6">
        <w:rPr>
          <w:lang w:val="en-GB"/>
        </w:rPr>
        <w:t xml:space="preserve">   </w:t>
      </w:r>
    </w:p>
    <w:p w:rsidR="004D1E17" w:rsidRPr="008C48F6" w:rsidRDefault="00ED68DB" w:rsidP="004D1E17">
      <w:pPr>
        <w:pStyle w:val="Insidecover"/>
        <w:rPr>
          <w:lang w:val="en-GB"/>
        </w:rPr>
      </w:pPr>
      <w:r w:rsidRPr="008C48F6">
        <w:rPr>
          <w:lang w:val="en-GB"/>
        </w:rPr>
        <w:t>Telephone:  04-</w:t>
      </w:r>
      <w:r w:rsidR="00864BFD">
        <w:rPr>
          <w:lang w:val="en-GB"/>
        </w:rPr>
        <w:t>463</w:t>
      </w:r>
      <w:r w:rsidR="003A4DCF">
        <w:rPr>
          <w:lang w:val="en-GB"/>
        </w:rPr>
        <w:t>-</w:t>
      </w:r>
      <w:r w:rsidR="00864BFD">
        <w:rPr>
          <w:lang w:val="en-GB"/>
        </w:rPr>
        <w:t>8198</w:t>
      </w:r>
    </w:p>
    <w:p w:rsidR="004D1E17" w:rsidRDefault="00ED68DB" w:rsidP="00B675AF">
      <w:pPr>
        <w:pStyle w:val="Insidecover"/>
        <w:spacing w:before="200"/>
      </w:pPr>
      <w:r w:rsidRPr="006511DE">
        <w:rPr>
          <w:b/>
        </w:rPr>
        <w:t>Acknowledgements</w:t>
      </w:r>
    </w:p>
    <w:p w:rsidR="00ED68DB" w:rsidRPr="006511DE" w:rsidRDefault="00ED68DB" w:rsidP="004D1E17">
      <w:pPr>
        <w:pStyle w:val="Insidecover"/>
      </w:pPr>
      <w:r w:rsidRPr="006511DE">
        <w:t>The author</w:t>
      </w:r>
      <w:r w:rsidR="00AA6C71">
        <w:t>s</w:t>
      </w:r>
      <w:r w:rsidRPr="006511DE">
        <w:t xml:space="preserve"> gratefully acknowledge comments provided by </w:t>
      </w:r>
      <w:r w:rsidR="00864BFD">
        <w:t xml:space="preserve">Dr. David Eng from the Tertiary Education Commission, </w:t>
      </w:r>
      <w:r w:rsidR="00864BFD" w:rsidRPr="008C5366">
        <w:t>Tas Papadopo</w:t>
      </w:r>
      <w:r w:rsidR="000A0A10" w:rsidRPr="008C5366">
        <w:t>ulo</w:t>
      </w:r>
      <w:r w:rsidR="00864BFD" w:rsidRPr="008C5366">
        <w:t>s from</w:t>
      </w:r>
      <w:r w:rsidR="00864BFD">
        <w:t xml:space="preserve"> the Ministry of Busine</w:t>
      </w:r>
      <w:r w:rsidR="00537ED0">
        <w:t xml:space="preserve">ss, Innovation and Employment  </w:t>
      </w:r>
      <w:r w:rsidR="00E866F7">
        <w:t xml:space="preserve">and </w:t>
      </w:r>
      <w:r w:rsidR="00864BFD">
        <w:t>Dr. Andrew Wood</w:t>
      </w:r>
      <w:r w:rsidR="00E866F7">
        <w:t xml:space="preserve"> from the Ministry of Education</w:t>
      </w:r>
      <w:r w:rsidRPr="006511DE">
        <w:t xml:space="preserve">.  </w:t>
      </w:r>
      <w:r w:rsidR="00864BFD">
        <w:t xml:space="preserve">The authors also gratefully acknowledge the assistance provided by </w:t>
      </w:r>
      <w:proofErr w:type="spellStart"/>
      <w:r w:rsidR="00864BFD">
        <w:t>Tamsyn</w:t>
      </w:r>
      <w:proofErr w:type="spellEnd"/>
      <w:r w:rsidR="00864BFD">
        <w:t xml:space="preserve"> </w:t>
      </w:r>
      <w:proofErr w:type="spellStart"/>
      <w:r w:rsidR="00864BFD">
        <w:t>Higham</w:t>
      </w:r>
      <w:proofErr w:type="spellEnd"/>
      <w:r w:rsidR="00864BFD">
        <w:t xml:space="preserve"> from Statistics N</w:t>
      </w:r>
      <w:r w:rsidR="00E866F7">
        <w:t xml:space="preserve">ew </w:t>
      </w:r>
      <w:r w:rsidR="00864BFD">
        <w:t>Z</w:t>
      </w:r>
      <w:r w:rsidR="00E866F7">
        <w:t>ealand</w:t>
      </w:r>
      <w:r w:rsidR="00864BFD">
        <w:t xml:space="preserve"> in the preparation of this report.</w:t>
      </w:r>
    </w:p>
    <w:p w:rsidR="00ED68DB" w:rsidRPr="006511DE" w:rsidRDefault="00ED68DB" w:rsidP="00B675AF">
      <w:pPr>
        <w:pStyle w:val="Insidecover"/>
        <w:spacing w:before="200"/>
      </w:pPr>
      <w:r w:rsidRPr="006511DE">
        <w:t xml:space="preserve">All views expressed in this </w:t>
      </w:r>
      <w:r w:rsidR="00A0628E">
        <w:t>paper</w:t>
      </w:r>
      <w:r w:rsidRPr="006511DE">
        <w:t>, and any remaining errors or omissions, remain the responsibility of the author</w:t>
      </w:r>
      <w:r w:rsidR="00AA6C71">
        <w:t>s</w:t>
      </w:r>
      <w:r w:rsidRPr="006511DE">
        <w:t>.</w:t>
      </w:r>
    </w:p>
    <w:p w:rsidR="0087238B" w:rsidRDefault="0087238B" w:rsidP="0087238B">
      <w:pPr>
        <w:pStyle w:val="Insidecover"/>
        <w:spacing w:before="200"/>
      </w:pPr>
      <w:r>
        <w:rPr>
          <w:b/>
        </w:rPr>
        <w:t>Published by</w:t>
      </w:r>
    </w:p>
    <w:p w:rsidR="0087238B" w:rsidRDefault="0087238B" w:rsidP="0087238B">
      <w:pPr>
        <w:pStyle w:val="Insidecover"/>
      </w:pPr>
      <w:r>
        <w:t>Tertiary Sector Performance Analysis</w:t>
      </w:r>
    </w:p>
    <w:p w:rsidR="0087238B" w:rsidRDefault="0087238B" w:rsidP="0087238B">
      <w:pPr>
        <w:pStyle w:val="Insidecover"/>
      </w:pPr>
      <w:r>
        <w:t>Tertiary, International and System Performance</w:t>
      </w:r>
    </w:p>
    <w:p w:rsidR="0087238B" w:rsidRDefault="0087238B" w:rsidP="0087238B">
      <w:pPr>
        <w:pStyle w:val="Insidecover"/>
      </w:pPr>
      <w:r>
        <w:t>MINISTRY OF EDUCATION</w:t>
      </w:r>
    </w:p>
    <w:p w:rsidR="0087238B" w:rsidRDefault="0087238B" w:rsidP="0087238B">
      <w:pPr>
        <w:pStyle w:val="Insidecover"/>
        <w:spacing w:before="200"/>
      </w:pPr>
      <w:r>
        <w:t>© Crown Copyright</w:t>
      </w:r>
    </w:p>
    <w:p w:rsidR="0087238B" w:rsidRDefault="0087238B" w:rsidP="0087238B">
      <w:pPr>
        <w:autoSpaceDE w:val="0"/>
        <w:autoSpaceDN w:val="0"/>
        <w:adjustRightInd w:val="0"/>
        <w:ind w:left="-284"/>
        <w:rPr>
          <w:rFonts w:ascii="Arial" w:hAnsi="Arial" w:cs="Arial"/>
          <w:color w:val="000000"/>
          <w:sz w:val="18"/>
          <w:szCs w:val="18"/>
          <w:lang w:eastAsia="en-NZ"/>
        </w:rPr>
      </w:pPr>
      <w:r>
        <w:rPr>
          <w:rFonts w:ascii="Arial" w:hAnsi="Arial" w:cs="Arial"/>
          <w:color w:val="000000"/>
          <w:sz w:val="18"/>
          <w:szCs w:val="18"/>
          <w:lang w:eastAsia="en-NZ"/>
        </w:rPr>
        <w:t>This work is licensed under the Creative Commons Attribution 3.0 New Zealand licence.</w:t>
      </w:r>
    </w:p>
    <w:p w:rsidR="0087238B" w:rsidRDefault="0087238B" w:rsidP="0087238B">
      <w:pPr>
        <w:autoSpaceDE w:val="0"/>
        <w:autoSpaceDN w:val="0"/>
        <w:adjustRightInd w:val="0"/>
        <w:ind w:left="-284"/>
        <w:rPr>
          <w:rFonts w:ascii="Arial" w:hAnsi="Arial"/>
          <w:sz w:val="18"/>
        </w:rPr>
      </w:pPr>
      <w:r>
        <w:rPr>
          <w:rFonts w:ascii="Arial" w:hAnsi="Arial" w:cs="Arial"/>
          <w:color w:val="000000"/>
          <w:sz w:val="18"/>
          <w:szCs w:val="18"/>
          <w:lang w:eastAsia="en-NZ"/>
        </w:rPr>
        <w:t xml:space="preserve">You are free to copy, distribute and adapt the work, as long as you attribute the work to the copyright holder and abide by the other licence terms. To view a copy of this licence, visit </w:t>
      </w:r>
      <w:r>
        <w:rPr>
          <w:rFonts w:ascii="Arial" w:hAnsi="Arial" w:cs="Arial"/>
          <w:sz w:val="18"/>
          <w:szCs w:val="18"/>
          <w:lang w:eastAsia="en-NZ"/>
        </w:rPr>
        <w:t>www.creativecommons.org/licenses/</w:t>
      </w:r>
      <w:r>
        <w:rPr>
          <w:rFonts w:ascii="Arial" w:hAnsi="Arial" w:cs="Arial"/>
          <w:sz w:val="18"/>
          <w:szCs w:val="18"/>
          <w:lang w:eastAsia="en-NZ"/>
        </w:rPr>
        <w:br/>
        <w:t>by/3.0/nz/.</w:t>
      </w:r>
    </w:p>
    <w:p w:rsidR="0087238B" w:rsidRPr="000A048C" w:rsidRDefault="0087238B" w:rsidP="0087238B">
      <w:pPr>
        <w:autoSpaceDE w:val="0"/>
        <w:autoSpaceDN w:val="0"/>
        <w:adjustRightInd w:val="0"/>
        <w:spacing w:before="200"/>
        <w:ind w:left="-284"/>
        <w:rPr>
          <w:rFonts w:ascii="Arial" w:hAnsi="Arial" w:cs="Arial"/>
          <w:sz w:val="18"/>
          <w:szCs w:val="18"/>
        </w:rPr>
      </w:pPr>
      <w:r>
        <w:rPr>
          <w:rFonts w:ascii="Arial" w:hAnsi="Arial"/>
          <w:sz w:val="18"/>
        </w:rPr>
        <w:t xml:space="preserve">This report is available from the Ministry of Education’s Education Counts website:  </w:t>
      </w:r>
      <w:hyperlink r:id="rId13" w:history="1">
        <w:r w:rsidRPr="000A048C">
          <w:rPr>
            <w:rFonts w:ascii="Arial" w:hAnsi="Arial" w:cs="Arial"/>
            <w:sz w:val="18"/>
            <w:szCs w:val="18"/>
          </w:rPr>
          <w:t>www.educationcounts.govt.nz</w:t>
        </w:r>
      </w:hyperlink>
      <w:r>
        <w:rPr>
          <w:rFonts w:ascii="Arial" w:hAnsi="Arial" w:cs="Arial"/>
          <w:sz w:val="18"/>
          <w:szCs w:val="18"/>
        </w:rPr>
        <w:t>.</w:t>
      </w:r>
    </w:p>
    <w:p w:rsidR="00ED68DB" w:rsidRPr="006511DE" w:rsidRDefault="000A0A10" w:rsidP="00B675AF">
      <w:pPr>
        <w:pStyle w:val="Insidecover"/>
        <w:spacing w:before="200" w:after="200"/>
      </w:pPr>
      <w:r w:rsidRPr="008C5366">
        <w:t>Octo</w:t>
      </w:r>
      <w:r w:rsidR="00864BFD" w:rsidRPr="008C5366">
        <w:t>ber 2013</w:t>
      </w:r>
    </w:p>
    <w:p w:rsidR="00ED68DB" w:rsidRPr="00BA2059" w:rsidRDefault="006C207F" w:rsidP="004D1E17">
      <w:pPr>
        <w:pStyle w:val="Insidecover"/>
      </w:pPr>
      <w:r>
        <w:t>ISS</w:t>
      </w:r>
      <w:r w:rsidR="00B91465">
        <w:t>N</w:t>
      </w:r>
      <w:r w:rsidR="00B91465">
        <w:tab/>
      </w:r>
      <w:r w:rsidR="00B91465" w:rsidRPr="00B91465">
        <w:t>1179-5026</w:t>
      </w:r>
      <w:r>
        <w:t xml:space="preserve"> (online)</w:t>
      </w:r>
      <w:r w:rsidR="003C221C">
        <w:t xml:space="preserve"> </w:t>
      </w:r>
    </w:p>
    <w:p w:rsidR="00AF0321" w:rsidRDefault="00AF0321" w:rsidP="00B675AF">
      <w:pPr>
        <w:pStyle w:val="Insidecover"/>
        <w:sectPr w:rsidR="00AF0321" w:rsidSect="00832F8A">
          <w:headerReference w:type="default" r:id="rId14"/>
          <w:type w:val="evenPage"/>
          <w:pgSz w:w="11906" w:h="16838" w:code="9"/>
          <w:pgMar w:top="1418" w:right="1701" w:bottom="1418" w:left="1701" w:header="709" w:footer="709" w:gutter="0"/>
          <w:pgNumType w:start="1"/>
          <w:cols w:space="708"/>
          <w:vAlign w:val="bottom"/>
          <w:docGrid w:linePitch="360"/>
        </w:sectPr>
      </w:pPr>
    </w:p>
    <w:p w:rsidR="00177D52" w:rsidRDefault="00AA6C71" w:rsidP="00864BFD">
      <w:pPr>
        <w:pStyle w:val="Heading1"/>
      </w:pPr>
      <w:r w:rsidRPr="00532087">
        <w:lastRenderedPageBreak/>
        <w:t>Looking at the employment outcomes of tertiary education</w:t>
      </w:r>
      <w:r w:rsidR="00072166">
        <w:t xml:space="preserve">  </w:t>
      </w:r>
    </w:p>
    <w:tbl>
      <w:tblPr>
        <w:tblW w:w="8505" w:type="dxa"/>
        <w:tblInd w:w="1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E6E6E6"/>
        <w:tblCellMar>
          <w:top w:w="57" w:type="dxa"/>
          <w:left w:w="170" w:type="dxa"/>
          <w:bottom w:w="170" w:type="dxa"/>
          <w:right w:w="170" w:type="dxa"/>
        </w:tblCellMar>
        <w:tblLook w:val="00BF"/>
      </w:tblPr>
      <w:tblGrid>
        <w:gridCol w:w="8505"/>
      </w:tblGrid>
      <w:tr w:rsidR="001806CD" w:rsidRPr="0087235D" w:rsidTr="00555BDB">
        <w:tc>
          <w:tcPr>
            <w:tcW w:w="0" w:type="auto"/>
            <w:shd w:val="clear" w:color="auto" w:fill="E6E6E6"/>
          </w:tcPr>
          <w:p w:rsidR="001806CD" w:rsidRDefault="001806CD">
            <w:pPr>
              <w:pStyle w:val="Keypointheading"/>
            </w:pPr>
            <w:r>
              <w:t>key findings</w:t>
            </w:r>
          </w:p>
          <w:p w:rsidR="00D34058" w:rsidRPr="00D34058" w:rsidRDefault="00D34058" w:rsidP="00D34058">
            <w:pPr>
              <w:pStyle w:val="Keypointtext"/>
            </w:pPr>
          </w:p>
          <w:p w:rsidR="00D34058" w:rsidRPr="00D34058" w:rsidRDefault="00D34058" w:rsidP="00D34058">
            <w:pPr>
              <w:pStyle w:val="TGbulletindent"/>
              <w:numPr>
                <w:ilvl w:val="0"/>
                <w:numId w:val="0"/>
              </w:numPr>
              <w:jc w:val="both"/>
              <w:rPr>
                <w:rFonts w:cs="Arial"/>
                <w:sz w:val="20"/>
              </w:rPr>
            </w:pPr>
            <w:r w:rsidRPr="00D34058">
              <w:rPr>
                <w:rFonts w:cs="Arial"/>
                <w:i/>
                <w:sz w:val="20"/>
              </w:rPr>
              <w:t>Earnings increase with the level of qualification completed</w:t>
            </w:r>
            <w:r w:rsidRPr="00D34058">
              <w:rPr>
                <w:rFonts w:cs="Arial"/>
                <w:sz w:val="20"/>
              </w:rPr>
              <w:t xml:space="preserve">. And for qualifications below </w:t>
            </w:r>
            <w:proofErr w:type="gramStart"/>
            <w:r w:rsidRPr="00D34058">
              <w:rPr>
                <w:rFonts w:cs="Arial"/>
                <w:sz w:val="20"/>
              </w:rPr>
              <w:t>bachelors</w:t>
            </w:r>
            <w:proofErr w:type="gramEnd"/>
            <w:r w:rsidRPr="00D34058">
              <w:rPr>
                <w:rFonts w:cs="Arial"/>
                <w:sz w:val="20"/>
              </w:rPr>
              <w:t xml:space="preserve"> level, the size of the premium from gaining a qualification increases with the level of the qualification.  There is also a significant jump in earnings between degree and non-degree qualifications. </w:t>
            </w:r>
          </w:p>
          <w:p w:rsidR="00D34058" w:rsidRPr="00D34058" w:rsidRDefault="00D34058" w:rsidP="00D34058">
            <w:pPr>
              <w:pStyle w:val="TGbulletindent"/>
              <w:numPr>
                <w:ilvl w:val="0"/>
                <w:numId w:val="0"/>
              </w:numPr>
              <w:jc w:val="both"/>
              <w:rPr>
                <w:rFonts w:cs="Arial"/>
                <w:sz w:val="20"/>
              </w:rPr>
            </w:pPr>
            <w:r w:rsidRPr="00D34058">
              <w:rPr>
                <w:rFonts w:cs="Arial"/>
                <w:i/>
                <w:sz w:val="20"/>
              </w:rPr>
              <w:t xml:space="preserve">Employment rates increase with level of qualification gained. </w:t>
            </w:r>
            <w:r w:rsidRPr="00D34058">
              <w:rPr>
                <w:rFonts w:cs="Arial"/>
                <w:sz w:val="20"/>
              </w:rPr>
              <w:t xml:space="preserve">For example, in the first year after study, </w:t>
            </w:r>
            <w:r w:rsidR="001F14D0">
              <w:rPr>
                <w:rFonts w:cs="Arial"/>
                <w:sz w:val="20"/>
              </w:rPr>
              <w:t xml:space="preserve">53 </w:t>
            </w:r>
            <w:r w:rsidRPr="00D34058">
              <w:rPr>
                <w:rFonts w:cs="Arial"/>
                <w:sz w:val="20"/>
              </w:rPr>
              <w:t xml:space="preserve">percent of young </w:t>
            </w:r>
            <w:proofErr w:type="gramStart"/>
            <w:r w:rsidRPr="00D34058">
              <w:rPr>
                <w:rFonts w:cs="Arial"/>
                <w:sz w:val="20"/>
              </w:rPr>
              <w:t>bachelors</w:t>
            </w:r>
            <w:proofErr w:type="gramEnd"/>
            <w:r w:rsidRPr="00D34058">
              <w:rPr>
                <w:rFonts w:cs="Arial"/>
                <w:sz w:val="20"/>
              </w:rPr>
              <w:t xml:space="preserve"> graduates who stayed in New Zealand were in employment and 40 percent were in further study. Of young people who had completed a level 1-3 certificate and stayed in New Zealand,</w:t>
            </w:r>
            <w:r w:rsidR="001F14D0">
              <w:rPr>
                <w:rFonts w:cs="Arial"/>
                <w:sz w:val="20"/>
              </w:rPr>
              <w:t xml:space="preserve"> 34 </w:t>
            </w:r>
            <w:r w:rsidRPr="00D34058">
              <w:rPr>
                <w:rFonts w:cs="Arial"/>
                <w:sz w:val="20"/>
              </w:rPr>
              <w:t>percent were in employment and 49 percent were taking more study.</w:t>
            </w:r>
          </w:p>
          <w:p w:rsidR="00D34058" w:rsidRPr="00D34058" w:rsidRDefault="00D34058" w:rsidP="00D34058">
            <w:pPr>
              <w:pStyle w:val="TGbulletindent"/>
              <w:numPr>
                <w:ilvl w:val="0"/>
                <w:numId w:val="0"/>
              </w:numPr>
              <w:jc w:val="both"/>
              <w:rPr>
                <w:rFonts w:cs="Arial"/>
                <w:sz w:val="20"/>
              </w:rPr>
            </w:pPr>
            <w:r w:rsidRPr="00D34058">
              <w:rPr>
                <w:rFonts w:cs="Arial"/>
                <w:i/>
                <w:sz w:val="20"/>
              </w:rPr>
              <w:t>Very few young people who complete a qualification at diploma level or above are on a benefit in the first five years after study</w:t>
            </w:r>
            <w:r w:rsidRPr="00D34058">
              <w:rPr>
                <w:rFonts w:cs="Arial"/>
                <w:sz w:val="20"/>
              </w:rPr>
              <w:t xml:space="preserve">.  For those who stay in New Zealand, the benefit rate is around 6 percent for diploma graduates and around 2 percent at </w:t>
            </w:r>
            <w:proofErr w:type="gramStart"/>
            <w:r w:rsidRPr="00D34058">
              <w:rPr>
                <w:rFonts w:cs="Arial"/>
                <w:sz w:val="20"/>
              </w:rPr>
              <w:t>bachelors</w:t>
            </w:r>
            <w:proofErr w:type="gramEnd"/>
            <w:r w:rsidRPr="00D34058">
              <w:rPr>
                <w:rFonts w:cs="Arial"/>
                <w:sz w:val="20"/>
              </w:rPr>
              <w:t xml:space="preserve"> level.  But it is around 13 percent for those who graduated with certificates at levels 1-3. </w:t>
            </w:r>
          </w:p>
          <w:p w:rsidR="00D34058" w:rsidRPr="00D34058" w:rsidRDefault="00D34058" w:rsidP="00D34058">
            <w:pPr>
              <w:pStyle w:val="TGbulletindent"/>
              <w:numPr>
                <w:ilvl w:val="0"/>
                <w:numId w:val="0"/>
              </w:numPr>
              <w:jc w:val="both"/>
              <w:rPr>
                <w:rFonts w:cs="Arial"/>
                <w:sz w:val="20"/>
              </w:rPr>
            </w:pPr>
            <w:r w:rsidRPr="00D34058">
              <w:rPr>
                <w:rFonts w:cs="Arial"/>
                <w:i/>
                <w:sz w:val="20"/>
              </w:rPr>
              <w:t>Earnings vary considerably by field of study.</w:t>
            </w:r>
            <w:r w:rsidRPr="00D34058">
              <w:rPr>
                <w:rFonts w:cs="Arial"/>
                <w:sz w:val="20"/>
              </w:rPr>
              <w:t xml:space="preserve"> Young graduates with </w:t>
            </w:r>
            <w:proofErr w:type="gramStart"/>
            <w:r w:rsidRPr="00D34058">
              <w:rPr>
                <w:rFonts w:cs="Arial"/>
                <w:sz w:val="20"/>
              </w:rPr>
              <w:t>bachelors</w:t>
            </w:r>
            <w:proofErr w:type="gramEnd"/>
            <w:r w:rsidRPr="00D34058">
              <w:rPr>
                <w:rFonts w:cs="Arial"/>
                <w:sz w:val="20"/>
              </w:rPr>
              <w:t xml:space="preserve"> degrees in medicine earn the most of all bachelors graduates. The median income for medical graduates is over $109,300 five years after leaving study, compared to $50,700 for all young </w:t>
            </w:r>
            <w:proofErr w:type="gramStart"/>
            <w:r w:rsidRPr="00D34058">
              <w:rPr>
                <w:rFonts w:cs="Arial"/>
                <w:sz w:val="20"/>
              </w:rPr>
              <w:t>bachelors</w:t>
            </w:r>
            <w:proofErr w:type="gramEnd"/>
            <w:r w:rsidRPr="00D34058">
              <w:rPr>
                <w:rFonts w:cs="Arial"/>
                <w:sz w:val="20"/>
              </w:rPr>
              <w:t xml:space="preserve"> graduates. </w:t>
            </w:r>
            <w:proofErr w:type="gramStart"/>
            <w:r w:rsidRPr="00D34058">
              <w:rPr>
                <w:rFonts w:cs="Arial"/>
                <w:sz w:val="20"/>
              </w:rPr>
              <w:t>Bachelors</w:t>
            </w:r>
            <w:proofErr w:type="gramEnd"/>
            <w:r w:rsidRPr="00D34058">
              <w:rPr>
                <w:rFonts w:cs="Arial"/>
                <w:sz w:val="20"/>
              </w:rPr>
              <w:t xml:space="preserve"> degree graduates in creative arts have the lowest earnings among young bachelors graduates after five years and they have relatively high rates of benefit receipt.</w:t>
            </w:r>
          </w:p>
          <w:p w:rsidR="00D34058" w:rsidRPr="00D34058" w:rsidRDefault="00D34058" w:rsidP="00D34058">
            <w:pPr>
              <w:pStyle w:val="TGbulletindent"/>
              <w:numPr>
                <w:ilvl w:val="0"/>
                <w:numId w:val="0"/>
              </w:numPr>
              <w:jc w:val="both"/>
              <w:rPr>
                <w:rFonts w:cs="Arial"/>
                <w:sz w:val="20"/>
              </w:rPr>
            </w:pPr>
            <w:r w:rsidRPr="00D34058">
              <w:rPr>
                <w:rFonts w:cs="Arial"/>
                <w:i/>
                <w:sz w:val="20"/>
              </w:rPr>
              <w:t>Some qualification types and some fields are associated with high rates of further study.</w:t>
            </w:r>
            <w:r w:rsidRPr="00D34058">
              <w:rPr>
                <w:rFonts w:cs="Arial"/>
                <w:sz w:val="20"/>
              </w:rPr>
              <w:t xml:space="preserve"> </w:t>
            </w:r>
            <w:r w:rsidR="00120635">
              <w:rPr>
                <w:rFonts w:cs="Arial"/>
                <w:sz w:val="20"/>
              </w:rPr>
              <w:t>Around</w:t>
            </w:r>
            <w:r w:rsidR="00120635" w:rsidRPr="00D34058">
              <w:rPr>
                <w:rFonts w:cs="Arial"/>
                <w:sz w:val="20"/>
              </w:rPr>
              <w:t xml:space="preserve"> </w:t>
            </w:r>
            <w:r w:rsidRPr="00D34058">
              <w:rPr>
                <w:rFonts w:cs="Arial"/>
                <w:sz w:val="20"/>
              </w:rPr>
              <w:t xml:space="preserve">half of all young people who complete a certificate or level 5-7 diploma move into further study the next year.  Around </w:t>
            </w:r>
            <w:r w:rsidR="001F14D0">
              <w:rPr>
                <w:rFonts w:cs="Arial"/>
                <w:sz w:val="20"/>
              </w:rPr>
              <w:t xml:space="preserve">61 </w:t>
            </w:r>
            <w:r w:rsidRPr="00D34058">
              <w:rPr>
                <w:rFonts w:cs="Arial"/>
                <w:sz w:val="20"/>
              </w:rPr>
              <w:t xml:space="preserve">percent of young </w:t>
            </w:r>
            <w:proofErr w:type="gramStart"/>
            <w:r w:rsidRPr="00D34058">
              <w:rPr>
                <w:rFonts w:cs="Arial"/>
                <w:sz w:val="20"/>
              </w:rPr>
              <w:t>bachelors</w:t>
            </w:r>
            <w:proofErr w:type="gramEnd"/>
            <w:r w:rsidRPr="00D34058">
              <w:rPr>
                <w:rFonts w:cs="Arial"/>
                <w:sz w:val="20"/>
              </w:rPr>
              <w:t xml:space="preserve"> graduates in natural and physical sciences who stay in New Zealand were in further study one year after completion of a bachelors degree, and </w:t>
            </w:r>
            <w:r w:rsidR="001F14D0">
              <w:rPr>
                <w:rFonts w:cs="Arial"/>
                <w:sz w:val="20"/>
              </w:rPr>
              <w:t xml:space="preserve">33 </w:t>
            </w:r>
            <w:r w:rsidRPr="00D34058">
              <w:rPr>
                <w:rFonts w:cs="Arial"/>
                <w:sz w:val="20"/>
              </w:rPr>
              <w:t xml:space="preserve">percent after five years. </w:t>
            </w:r>
          </w:p>
          <w:p w:rsidR="003A4DCF" w:rsidRPr="009D7E1B" w:rsidRDefault="00D34058" w:rsidP="001F14D0">
            <w:pPr>
              <w:pStyle w:val="TGbulletindent"/>
              <w:numPr>
                <w:ilvl w:val="0"/>
                <w:numId w:val="0"/>
              </w:numPr>
              <w:jc w:val="both"/>
            </w:pPr>
            <w:r w:rsidRPr="00D34058">
              <w:rPr>
                <w:rFonts w:cs="Arial"/>
                <w:i/>
                <w:sz w:val="20"/>
              </w:rPr>
              <w:t>Graduate certificate and diploma graduates have very high employment rates.</w:t>
            </w:r>
            <w:r w:rsidRPr="00D34058">
              <w:rPr>
                <w:rFonts w:cs="Arial"/>
                <w:sz w:val="20"/>
              </w:rPr>
              <w:t xml:space="preserve">  Two years after study, </w:t>
            </w:r>
            <w:r w:rsidR="001F14D0">
              <w:rPr>
                <w:rFonts w:cs="Arial"/>
                <w:sz w:val="20"/>
              </w:rPr>
              <w:t xml:space="preserve">77 </w:t>
            </w:r>
            <w:r w:rsidRPr="00D34058">
              <w:rPr>
                <w:rFonts w:cs="Arial"/>
                <w:sz w:val="20"/>
              </w:rPr>
              <w:t xml:space="preserve">percent of </w:t>
            </w:r>
            <w:r w:rsidR="00120635">
              <w:rPr>
                <w:rFonts w:cs="Arial"/>
                <w:sz w:val="20"/>
              </w:rPr>
              <w:t>young people</w:t>
            </w:r>
            <w:r w:rsidR="00120635" w:rsidRPr="00D34058">
              <w:rPr>
                <w:rFonts w:cs="Arial"/>
                <w:sz w:val="20"/>
              </w:rPr>
              <w:t xml:space="preserve"> </w:t>
            </w:r>
            <w:r w:rsidRPr="00D34058">
              <w:rPr>
                <w:rFonts w:cs="Arial"/>
                <w:sz w:val="20"/>
              </w:rPr>
              <w:t>who have completed a graduate certificate or diploma and who remained in New Zealand were in employment. Many of these graduates have completed this qualification as a way of improving their employment prospects or are studying while in employment.</w:t>
            </w:r>
          </w:p>
        </w:tc>
      </w:tr>
    </w:tbl>
    <w:p w:rsidR="001806CD" w:rsidRDefault="001806CD"/>
    <w:p w:rsidR="00AA6C71" w:rsidRPr="00AB0E40" w:rsidRDefault="00AA6C71" w:rsidP="00AB0E40">
      <w:pPr>
        <w:pStyle w:val="BodyText"/>
      </w:pPr>
      <w:r w:rsidRPr="00AB0E40">
        <w:t xml:space="preserve">This note updates the data set out in the report </w:t>
      </w:r>
      <w:r w:rsidRPr="00AB0E40">
        <w:rPr>
          <w:i/>
        </w:rPr>
        <w:t>Moving on up</w:t>
      </w:r>
      <w:r w:rsidR="002B7E68" w:rsidRPr="00AB0E40">
        <w:rPr>
          <w:rStyle w:val="FootnoteReference"/>
        </w:rPr>
        <w:footnoteReference w:id="1"/>
      </w:r>
      <w:r w:rsidRPr="00AB0E40">
        <w:t>, adding more recent data.</w:t>
      </w:r>
    </w:p>
    <w:p w:rsidR="00A0628E" w:rsidRDefault="00A0628E" w:rsidP="00B218DA">
      <w:pPr>
        <w:pStyle w:val="Heading2"/>
        <w:jc w:val="both"/>
      </w:pPr>
      <w:r>
        <w:t>Introduction</w:t>
      </w:r>
    </w:p>
    <w:p w:rsidR="00DD0C40" w:rsidRDefault="00DD0C40" w:rsidP="00AB0E40">
      <w:pPr>
        <w:pStyle w:val="BodyText"/>
      </w:pPr>
      <w:r w:rsidRPr="00532087">
        <w:t>People choose what to study at a tertiary level for many reasons – what they enjoy, what they are good at, what they are capable of and what will get them started on a career.  Good careers are associated with better health, better well-being and more satisfying lives.  So, many young people are making their tertiary education choices to gain the skills they need for satisfying and rewarding work.  They use a range of information sources and take advice from a range of people to help them make these choices.</w:t>
      </w:r>
    </w:p>
    <w:p w:rsidR="00864BFD" w:rsidRPr="00532087" w:rsidRDefault="00864BFD" w:rsidP="00B218DA">
      <w:pPr>
        <w:jc w:val="both"/>
      </w:pPr>
    </w:p>
    <w:p w:rsidR="00864BFD" w:rsidRDefault="00DD0C40" w:rsidP="00AB0E40">
      <w:pPr>
        <w:pStyle w:val="BodyText"/>
      </w:pPr>
      <w:r w:rsidRPr="00532087">
        <w:rPr>
          <w:i/>
        </w:rPr>
        <w:t>Moving on up: what young people earn after their tertiary education,</w:t>
      </w:r>
      <w:r w:rsidRPr="00532087">
        <w:t xml:space="preserve"> published in January 2013, adds to the information available to prospective students, their families and those who advise them.  It provides statistics on the outcomes of tertiary study for young New Zealanders who complete qualifications in the tertiary education system</w:t>
      </w:r>
      <w:r>
        <w:t xml:space="preserve"> and who stay in New Zealand</w:t>
      </w:r>
      <w:r w:rsidRPr="00532087">
        <w:t>.  It reports on employment rates and on the likelihood a graduate ends up on a benefit.  And it gives data on the earnings of young graduates over the first few years after finishing study.</w:t>
      </w:r>
    </w:p>
    <w:p w:rsidR="00864BFD" w:rsidRDefault="00864BFD" w:rsidP="00AB0E40">
      <w:pPr>
        <w:pStyle w:val="BodyText"/>
      </w:pPr>
      <w:r w:rsidRPr="00864BFD">
        <w:t>This information is not just important to students and to their families.  The Government makes a very large investment in tertiary education each year – funding tertiary education providers, providing subsidised student loans and granting student allowances.  One major purpose of the Government’s investment is to help raise the level of skill in the population – which helps make our society more productive, contributes to the creation of wealth and leads to better social outcomes. </w:t>
      </w:r>
    </w:p>
    <w:p w:rsidR="00864BFD" w:rsidRPr="00864BFD" w:rsidRDefault="00864BFD" w:rsidP="00AB0E40">
      <w:pPr>
        <w:pStyle w:val="BodyText"/>
      </w:pPr>
      <w:r w:rsidRPr="00864BFD">
        <w:t>Studying the earnings of graduates is one way of looking at the contribution that the tertiary education system is making to New Zealand’s society and economy.  So the information in this report contributes to an understanding of the value New Zealand receives for the investment we make in tertiary education.</w:t>
      </w:r>
    </w:p>
    <w:p w:rsidR="00864BFD" w:rsidRPr="00532087" w:rsidRDefault="00864BFD" w:rsidP="00864BFD">
      <w:pPr>
        <w:pStyle w:val="Heading2"/>
      </w:pPr>
      <w:r w:rsidRPr="00532087">
        <w:t>Refreshing the data</w:t>
      </w:r>
    </w:p>
    <w:p w:rsidR="00864BFD" w:rsidRDefault="00864BFD" w:rsidP="00AB0E40">
      <w:pPr>
        <w:pStyle w:val="BodyText"/>
      </w:pPr>
      <w:r w:rsidRPr="00864BFD">
        <w:t xml:space="preserve">In September 2013, we did a refresh and update of the data in </w:t>
      </w:r>
      <w:r w:rsidRPr="00864BFD">
        <w:rPr>
          <w:i/>
        </w:rPr>
        <w:t>Moving on up</w:t>
      </w:r>
      <w:r w:rsidRPr="00864BFD">
        <w:t xml:space="preserve">.  We added earnings and destinations data from the 2011 tax year so that the data now shows what graduates earn and do in the 2010 and 2011 tax years.  And we have traced young people’s earnings and destinations for the first six years after graduation.  The data for the ‘benefit’ and ‘other/unknown’ destinations is also shown separately for all levels of study whereas previously these two destinations were combined for those who had completed a postgraduate qualification. </w:t>
      </w:r>
    </w:p>
    <w:p w:rsidR="00864BFD" w:rsidRPr="00864BFD" w:rsidRDefault="00864BFD" w:rsidP="00AB0E40">
      <w:pPr>
        <w:pStyle w:val="BodyText"/>
      </w:pPr>
      <w:r w:rsidRPr="00864BFD">
        <w:t xml:space="preserve">The new data is included in the spreadsheets available for download from this page. The new data is also available through Careers New Zealand’s on-line query tool </w:t>
      </w:r>
      <w:r w:rsidRPr="00864BFD">
        <w:rPr>
          <w:i/>
        </w:rPr>
        <w:t>Compare study options</w:t>
      </w:r>
      <w:r w:rsidRPr="00864BFD">
        <w:t xml:space="preserve">, available at: </w:t>
      </w:r>
      <w:hyperlink r:id="rId15" w:history="1">
        <w:r w:rsidRPr="00864BFD">
          <w:rPr>
            <w:rStyle w:val="Hyperlink"/>
            <w:szCs w:val="22"/>
          </w:rPr>
          <w:t>http://www.careers.govt.nz/tools/compare-study-options</w:t>
        </w:r>
      </w:hyperlink>
      <w:r w:rsidRPr="00864BFD">
        <w:t xml:space="preserve">. </w:t>
      </w:r>
      <w:r w:rsidR="002E58D4">
        <w:t xml:space="preserve"> </w:t>
      </w:r>
      <w:r w:rsidR="002E58D4" w:rsidRPr="00D94464">
        <w:t xml:space="preserve">Tables showing earnings for young domestic </w:t>
      </w:r>
      <w:proofErr w:type="gramStart"/>
      <w:r w:rsidR="002E58D4" w:rsidRPr="00D94464">
        <w:t>bachelors</w:t>
      </w:r>
      <w:proofErr w:type="gramEnd"/>
      <w:r w:rsidR="002E58D4" w:rsidRPr="00D94464">
        <w:t xml:space="preserve"> degree graduates </w:t>
      </w:r>
      <w:r w:rsidR="000D1A0C" w:rsidRPr="00D94464">
        <w:t xml:space="preserve">by broad and narrow field of study </w:t>
      </w:r>
      <w:r w:rsidR="002E58D4" w:rsidRPr="00D94464">
        <w:t xml:space="preserve">are also included </w:t>
      </w:r>
      <w:r w:rsidR="003E2467" w:rsidRPr="00D94464">
        <w:t>in the appendices</w:t>
      </w:r>
      <w:r w:rsidR="002E58D4" w:rsidRPr="00D94464">
        <w:t>.</w:t>
      </w:r>
    </w:p>
    <w:p w:rsidR="00864BFD" w:rsidRPr="00532087" w:rsidRDefault="00864BFD" w:rsidP="0080183F">
      <w:pPr>
        <w:pStyle w:val="Heading2"/>
      </w:pPr>
      <w:r w:rsidRPr="00532087">
        <w:t>What does the new data show</w:t>
      </w:r>
    </w:p>
    <w:p w:rsidR="00864BFD" w:rsidRDefault="00864BFD" w:rsidP="00AB0E40">
      <w:pPr>
        <w:pStyle w:val="BodyText"/>
      </w:pPr>
      <w:r w:rsidRPr="00532087">
        <w:t xml:space="preserve">The most important messages that emerge from </w:t>
      </w:r>
      <w:r>
        <w:t xml:space="preserve">this </w:t>
      </w:r>
      <w:r w:rsidRPr="00532087">
        <w:t>data are:</w:t>
      </w:r>
    </w:p>
    <w:p w:rsidR="00864BFD" w:rsidRDefault="00864BFD" w:rsidP="00AB0E40">
      <w:pPr>
        <w:pStyle w:val="BodyText"/>
      </w:pPr>
      <w:r w:rsidRPr="00447BB4">
        <w:rPr>
          <w:i/>
        </w:rPr>
        <w:t>Earnings increase with the level of qualification completed</w:t>
      </w:r>
      <w:r w:rsidRPr="00532087">
        <w:t xml:space="preserve">. </w:t>
      </w:r>
      <w:r>
        <w:t xml:space="preserve">And for qualifications below </w:t>
      </w:r>
      <w:proofErr w:type="gramStart"/>
      <w:r>
        <w:t>bachelors</w:t>
      </w:r>
      <w:proofErr w:type="gramEnd"/>
      <w:r>
        <w:t xml:space="preserve"> level, the size of the premium from gaining a qualification increases with the level of the qualification</w:t>
      </w:r>
      <w:r>
        <w:rPr>
          <w:rStyle w:val="FootnoteReference"/>
          <w:szCs w:val="22"/>
        </w:rPr>
        <w:footnoteReference w:id="2"/>
      </w:r>
      <w:r>
        <w:t>.  There is also a significant jump in earnings between degree and non-degree qualifications. For example, f</w:t>
      </w:r>
      <w:r w:rsidRPr="00532087">
        <w:t xml:space="preserve">ive years after finishing study, the median earnings of young people who complete a bachelors degree is 48 percent above the national median earnings </w:t>
      </w:r>
      <w:r>
        <w:t xml:space="preserve">for those aged 15 to 64 years </w:t>
      </w:r>
      <w:r w:rsidRPr="00532087">
        <w:t xml:space="preserve">and 45 percent above the median for young people who gain a certificate at levels 1-3. </w:t>
      </w:r>
    </w:p>
    <w:p w:rsidR="00864BFD" w:rsidRDefault="00864BFD" w:rsidP="00AB0E40">
      <w:pPr>
        <w:pStyle w:val="BodyText"/>
      </w:pPr>
      <w:r w:rsidRPr="00447BB4">
        <w:rPr>
          <w:i/>
        </w:rPr>
        <w:t xml:space="preserve">Employment rates increase with level of qualification gained. </w:t>
      </w:r>
      <w:r w:rsidRPr="00532087">
        <w:t xml:space="preserve">For example, in the first year after study, </w:t>
      </w:r>
      <w:r w:rsidR="001F14D0">
        <w:t>53</w:t>
      </w:r>
      <w:r w:rsidRPr="00532087">
        <w:t xml:space="preserve"> percent of young </w:t>
      </w:r>
      <w:proofErr w:type="gramStart"/>
      <w:r w:rsidRPr="00532087">
        <w:t>bachelors</w:t>
      </w:r>
      <w:proofErr w:type="gramEnd"/>
      <w:r w:rsidRPr="00532087">
        <w:t xml:space="preserve"> graduates who stayed in New Zealand were in employment and 40 percent were in further study. Of young people who had completed a level </w:t>
      </w:r>
      <w:r w:rsidRPr="00532087">
        <w:lastRenderedPageBreak/>
        <w:t xml:space="preserve">1-3 certificate and stayed in New Zealand, </w:t>
      </w:r>
      <w:r w:rsidR="001F14D0">
        <w:t xml:space="preserve">34 </w:t>
      </w:r>
      <w:r w:rsidRPr="00532087">
        <w:t>percent were in employment and 49 percent were taking more study.</w:t>
      </w:r>
    </w:p>
    <w:p w:rsidR="00864BFD" w:rsidRDefault="00864BFD" w:rsidP="00AB0E40">
      <w:pPr>
        <w:pStyle w:val="BodyText"/>
      </w:pPr>
      <w:r w:rsidRPr="00537ED0">
        <w:rPr>
          <w:i/>
        </w:rPr>
        <w:t>Very few young people who complete a qualification at diploma level or above are on a benefit in the first five years after study.</w:t>
      </w:r>
      <w:r w:rsidRPr="00532087">
        <w:t xml:space="preserve">  For those who stay in New Zealand, the benefit rate is around 6 percent for diploma graduates and around 2 percent at </w:t>
      </w:r>
      <w:proofErr w:type="gramStart"/>
      <w:r w:rsidRPr="00532087">
        <w:t>bachelors</w:t>
      </w:r>
      <w:proofErr w:type="gramEnd"/>
      <w:r w:rsidRPr="00532087">
        <w:t xml:space="preserve"> level.  But it is around 13 percent for those who graduated with certificates at levels 1-3. </w:t>
      </w:r>
    </w:p>
    <w:p w:rsidR="00864BFD" w:rsidRDefault="00864BFD" w:rsidP="00AB0E40">
      <w:pPr>
        <w:pStyle w:val="BodyText"/>
      </w:pPr>
      <w:r w:rsidRPr="00537ED0">
        <w:rPr>
          <w:i/>
        </w:rPr>
        <w:t>Earnings vary considerably by field of study.</w:t>
      </w:r>
      <w:r w:rsidRPr="00532087">
        <w:t xml:space="preserve"> Young graduates with </w:t>
      </w:r>
      <w:proofErr w:type="gramStart"/>
      <w:r w:rsidRPr="00532087">
        <w:t>bachelors</w:t>
      </w:r>
      <w:proofErr w:type="gramEnd"/>
      <w:r w:rsidRPr="00532087">
        <w:t xml:space="preserve"> degrees in medicine earn the most of all bachelors graduates. The median income for medical graduates is over $109,300 five years after leaving study</w:t>
      </w:r>
      <w:r>
        <w:t xml:space="preserve">, compared to $50,700 for all young </w:t>
      </w:r>
      <w:proofErr w:type="gramStart"/>
      <w:r>
        <w:t>bachelors</w:t>
      </w:r>
      <w:proofErr w:type="gramEnd"/>
      <w:r>
        <w:t xml:space="preserve"> graduates</w:t>
      </w:r>
      <w:r w:rsidRPr="00532087">
        <w:t>. Young bachelors graduates in information technology have median earnings of $56,</w:t>
      </w:r>
      <w:r>
        <w:t>300</w:t>
      </w:r>
      <w:r w:rsidRPr="00532087">
        <w:t xml:space="preserve"> five years post study, while other fields with high earnings for young bachelors graduates are pharmacy and radiography with median earnings of over $74,</w:t>
      </w:r>
      <w:r>
        <w:t>300</w:t>
      </w:r>
      <w:r w:rsidRPr="00532087">
        <w:t xml:space="preserve"> and $71,700 five years after study respectively. </w:t>
      </w:r>
      <w:proofErr w:type="gramStart"/>
      <w:r w:rsidRPr="00532087">
        <w:t>Bachelors</w:t>
      </w:r>
      <w:proofErr w:type="gramEnd"/>
      <w:r w:rsidRPr="00532087">
        <w:t xml:space="preserve"> degree graduates in creative arts have the lowest earnings among young bachelors graduates after five years and they have relatively high rates of benefit receipt.</w:t>
      </w:r>
    </w:p>
    <w:p w:rsidR="00864BFD" w:rsidRDefault="00864BFD" w:rsidP="00AB0E40">
      <w:pPr>
        <w:pStyle w:val="BodyText"/>
      </w:pPr>
      <w:r w:rsidRPr="00537ED0">
        <w:rPr>
          <w:i/>
        </w:rPr>
        <w:t>Some qualification types and some fields are associated with high rates of further study.</w:t>
      </w:r>
      <w:r w:rsidRPr="00532087">
        <w:t xml:space="preserve"> </w:t>
      </w:r>
      <w:r w:rsidR="00120635">
        <w:t>Around</w:t>
      </w:r>
      <w:r w:rsidR="00120635" w:rsidRPr="00532087">
        <w:t xml:space="preserve"> </w:t>
      </w:r>
      <w:r w:rsidRPr="00532087">
        <w:t xml:space="preserve">half of all young people who complete a certificate </w:t>
      </w:r>
      <w:r>
        <w:t xml:space="preserve">or level 5-7 diploma </w:t>
      </w:r>
      <w:r w:rsidRPr="00532087">
        <w:t xml:space="preserve">move into further study the next year.  </w:t>
      </w:r>
      <w:r>
        <w:t xml:space="preserve">Around </w:t>
      </w:r>
      <w:r w:rsidR="001F14D0">
        <w:t xml:space="preserve">61 </w:t>
      </w:r>
      <w:r w:rsidRPr="00532087">
        <w:t xml:space="preserve">percent of young </w:t>
      </w:r>
      <w:proofErr w:type="gramStart"/>
      <w:r w:rsidRPr="00532087">
        <w:t>bachelors</w:t>
      </w:r>
      <w:proofErr w:type="gramEnd"/>
      <w:r w:rsidRPr="00532087">
        <w:t xml:space="preserve"> graduates in natural and physical sciences </w:t>
      </w:r>
      <w:r>
        <w:t xml:space="preserve">who stay in New Zealand </w:t>
      </w:r>
      <w:r w:rsidRPr="00532087">
        <w:t xml:space="preserve">were in further study one year after completion of a bachelors degree, and </w:t>
      </w:r>
      <w:r w:rsidR="001F14D0">
        <w:t xml:space="preserve">33 </w:t>
      </w:r>
      <w:r w:rsidRPr="00532087">
        <w:t>percent after five years. Other fields with high rates of continuing study at bachelors level</w:t>
      </w:r>
      <w:r>
        <w:t>, for those who stay in New Zealand,</w:t>
      </w:r>
      <w:r w:rsidRPr="00532087">
        <w:t xml:space="preserve"> include society and culture (</w:t>
      </w:r>
      <w:r>
        <w:t>52</w:t>
      </w:r>
      <w:r w:rsidRPr="00532087">
        <w:t xml:space="preserve"> percent in the first year after completion), and agriculture, environmental and related studies (</w:t>
      </w:r>
      <w:r>
        <w:t>47</w:t>
      </w:r>
      <w:r w:rsidRPr="00532087">
        <w:t xml:space="preserve"> percent in the first year).</w:t>
      </w:r>
    </w:p>
    <w:p w:rsidR="00864BFD" w:rsidRPr="00532087" w:rsidRDefault="00864BFD" w:rsidP="00AB0E40">
      <w:pPr>
        <w:pStyle w:val="BodyText"/>
      </w:pPr>
      <w:r w:rsidRPr="00537ED0">
        <w:rPr>
          <w:i/>
        </w:rPr>
        <w:t>Graduate certificate and diploma graduates have very high employment rates.</w:t>
      </w:r>
      <w:r w:rsidRPr="00532087">
        <w:t xml:space="preserve">  Two years after study, </w:t>
      </w:r>
      <w:r w:rsidR="001F14D0">
        <w:t>7</w:t>
      </w:r>
      <w:r w:rsidR="00D32634">
        <w:t>7</w:t>
      </w:r>
      <w:r w:rsidR="001F14D0">
        <w:t xml:space="preserve"> </w:t>
      </w:r>
      <w:r w:rsidRPr="00532087">
        <w:t xml:space="preserve">percent of those who have completed a graduate certificate or diploma and who remained in New Zealand were in employment. </w:t>
      </w:r>
      <w:r>
        <w:t xml:space="preserve">Many of these graduates have studied either teacher education or law and so may have completed this qualification </w:t>
      </w:r>
      <w:r w:rsidRPr="00532087">
        <w:t>as a way of improving their employment prospects</w:t>
      </w:r>
      <w:r>
        <w:t xml:space="preserve"> or are studying while in employment.</w:t>
      </w:r>
    </w:p>
    <w:p w:rsidR="008D4B89" w:rsidRDefault="00864BFD" w:rsidP="00AB0E40">
      <w:pPr>
        <w:pStyle w:val="BodyText"/>
      </w:pPr>
      <w:r w:rsidRPr="00447BB4">
        <w:t xml:space="preserve">The following tables give some of the important summary data drawn from the detailed tables in the spreadsheets.  While these three tables give data broken down by qualification level, the interactive </w:t>
      </w:r>
      <w:hyperlink r:id="rId16" w:history="1">
        <w:r w:rsidRPr="002870C4">
          <w:rPr>
            <w:rStyle w:val="Hyperlink"/>
          </w:rPr>
          <w:t>Compare study options</w:t>
        </w:r>
      </w:hyperlink>
      <w:r w:rsidRPr="00447BB4">
        <w:t xml:space="preserve"> tool on the Careers NZ website, and the downloadable spreadsheets available on this page, provide results which are classified by both qualification level and field of study.</w:t>
      </w:r>
    </w:p>
    <w:p w:rsidR="008D4B89" w:rsidRDefault="008D4B89">
      <w:pPr>
        <w:rPr>
          <w:szCs w:val="20"/>
        </w:rPr>
      </w:pPr>
      <w:r>
        <w:br w:type="page"/>
      </w:r>
    </w:p>
    <w:p w:rsidR="00864BFD" w:rsidRPr="0080183F" w:rsidRDefault="00864BFD" w:rsidP="00864BFD">
      <w:pPr>
        <w:jc w:val="both"/>
        <w:rPr>
          <w:rFonts w:ascii="Arial" w:hAnsi="Arial" w:cs="Arial"/>
          <w:b/>
          <w:sz w:val="15"/>
          <w:szCs w:val="15"/>
        </w:rPr>
      </w:pPr>
      <w:r w:rsidRPr="0080183F">
        <w:rPr>
          <w:rFonts w:ascii="Arial" w:hAnsi="Arial" w:cs="Arial"/>
          <w:b/>
          <w:sz w:val="15"/>
          <w:szCs w:val="15"/>
        </w:rPr>
        <w:lastRenderedPageBreak/>
        <w:t>Table 1</w:t>
      </w:r>
    </w:p>
    <w:p w:rsidR="00864BFD" w:rsidRPr="009A7099" w:rsidRDefault="00864BFD" w:rsidP="00864BFD">
      <w:pPr>
        <w:pStyle w:val="Tablelabel"/>
        <w:jc w:val="both"/>
      </w:pPr>
      <w:bookmarkStart w:id="1" w:name="_Toc346198642"/>
      <w:proofErr w:type="gramStart"/>
      <w:r>
        <w:t>Median and quartile annual earnings of young domestic graduates, one, two and five years after study by qualification level.</w:t>
      </w:r>
      <w:bookmarkEnd w:id="1"/>
      <w:proofErr w:type="gramEnd"/>
      <w:r>
        <w:t xml:space="preserve"> </w:t>
      </w:r>
    </w:p>
    <w:tbl>
      <w:tblPr>
        <w:tblW w:w="8046" w:type="dxa"/>
        <w:tblLayout w:type="fixed"/>
        <w:tblLook w:val="04A0"/>
      </w:tblPr>
      <w:tblGrid>
        <w:gridCol w:w="1810"/>
        <w:gridCol w:w="2126"/>
        <w:gridCol w:w="1370"/>
        <w:gridCol w:w="1370"/>
        <w:gridCol w:w="1370"/>
      </w:tblGrid>
      <w:tr w:rsidR="00864BFD" w:rsidRPr="00AA6192" w:rsidTr="00864BFD">
        <w:trPr>
          <w:trHeight w:val="227"/>
        </w:trPr>
        <w:tc>
          <w:tcPr>
            <w:tcW w:w="1810" w:type="dxa"/>
            <w:tcBorders>
              <w:top w:val="single" w:sz="4" w:space="0" w:color="auto"/>
              <w:left w:val="single" w:sz="4" w:space="0" w:color="auto"/>
              <w:right w:val="single" w:sz="4" w:space="0" w:color="auto"/>
            </w:tcBorders>
            <w:shd w:val="clear" w:color="auto" w:fill="auto"/>
            <w:vAlign w:val="center"/>
            <w:hideMark/>
          </w:tcPr>
          <w:p w:rsidR="00864BFD" w:rsidRPr="00987837" w:rsidRDefault="00864BFD" w:rsidP="00864BFD">
            <w:pPr>
              <w:pStyle w:val="Tableheading"/>
              <w:jc w:val="both"/>
              <w:rPr>
                <w:lang w:eastAsia="en-NZ"/>
              </w:rPr>
            </w:pPr>
            <w:r>
              <w:rPr>
                <w:lang w:eastAsia="en-NZ"/>
              </w:rPr>
              <w:t>Level</w:t>
            </w:r>
            <w:r w:rsidRPr="00987837">
              <w:rPr>
                <w:lang w:eastAsia="en-NZ"/>
              </w:rPr>
              <w:t xml:space="preserve"> of study</w:t>
            </w:r>
          </w:p>
        </w:tc>
        <w:tc>
          <w:tcPr>
            <w:tcW w:w="2126" w:type="dxa"/>
            <w:tcBorders>
              <w:top w:val="single" w:sz="4" w:space="0" w:color="auto"/>
              <w:left w:val="single" w:sz="4" w:space="0" w:color="auto"/>
              <w:right w:val="single" w:sz="4" w:space="0" w:color="auto"/>
            </w:tcBorders>
            <w:shd w:val="clear" w:color="auto" w:fill="auto"/>
            <w:vAlign w:val="center"/>
          </w:tcPr>
          <w:p w:rsidR="00864BFD" w:rsidRPr="00987837" w:rsidRDefault="00864BFD" w:rsidP="00864BFD">
            <w:pPr>
              <w:pStyle w:val="Tableheading"/>
              <w:jc w:val="both"/>
              <w:rPr>
                <w:lang w:eastAsia="en-NZ"/>
              </w:rPr>
            </w:pPr>
            <w:r w:rsidRPr="00987837">
              <w:rPr>
                <w:lang w:eastAsia="en-NZ"/>
              </w:rPr>
              <w:t>Measure</w:t>
            </w:r>
          </w:p>
        </w:tc>
        <w:tc>
          <w:tcPr>
            <w:tcW w:w="4110" w:type="dxa"/>
            <w:gridSpan w:val="3"/>
            <w:tcBorders>
              <w:top w:val="single" w:sz="4" w:space="0" w:color="auto"/>
              <w:left w:val="nil"/>
              <w:bottom w:val="nil"/>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Years after study</w:t>
            </w:r>
          </w:p>
        </w:tc>
      </w:tr>
      <w:tr w:rsidR="00864BFD" w:rsidRPr="00AA6192" w:rsidTr="00864BFD">
        <w:trPr>
          <w:trHeight w:val="227"/>
        </w:trPr>
        <w:tc>
          <w:tcPr>
            <w:tcW w:w="1810" w:type="dxa"/>
            <w:tcBorders>
              <w:left w:val="single" w:sz="4" w:space="0" w:color="auto"/>
              <w:bottom w:val="single" w:sz="4" w:space="0" w:color="000000"/>
              <w:right w:val="single" w:sz="4" w:space="0" w:color="auto"/>
            </w:tcBorders>
            <w:shd w:val="clear" w:color="auto" w:fill="auto"/>
            <w:vAlign w:val="center"/>
            <w:hideMark/>
          </w:tcPr>
          <w:p w:rsidR="00864BFD" w:rsidRDefault="00864BFD" w:rsidP="00864BFD">
            <w:pPr>
              <w:pStyle w:val="Tableheading"/>
              <w:jc w:val="both"/>
              <w:rPr>
                <w:lang w:eastAsia="en-NZ"/>
              </w:rPr>
            </w:pPr>
          </w:p>
        </w:tc>
        <w:tc>
          <w:tcPr>
            <w:tcW w:w="2126" w:type="dxa"/>
            <w:tcBorders>
              <w:left w:val="single" w:sz="4" w:space="0" w:color="auto"/>
              <w:bottom w:val="single" w:sz="4" w:space="0" w:color="000000"/>
              <w:right w:val="single" w:sz="4" w:space="0" w:color="auto"/>
            </w:tcBorders>
            <w:shd w:val="clear" w:color="auto" w:fill="auto"/>
            <w:vAlign w:val="center"/>
          </w:tcPr>
          <w:p w:rsidR="00864BFD" w:rsidRDefault="00864BFD" w:rsidP="00864BFD">
            <w:pPr>
              <w:pStyle w:val="Tableheading"/>
              <w:jc w:val="both"/>
              <w:rPr>
                <w:lang w:eastAsia="en-NZ"/>
              </w:rPr>
            </w:pPr>
          </w:p>
        </w:tc>
        <w:tc>
          <w:tcPr>
            <w:tcW w:w="1370" w:type="dxa"/>
            <w:tcBorders>
              <w:top w:val="single" w:sz="4" w:space="0" w:color="auto"/>
              <w:left w:val="nil"/>
              <w:bottom w:val="nil"/>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O</w:t>
            </w:r>
            <w:r w:rsidRPr="00987837">
              <w:rPr>
                <w:lang w:eastAsia="en-NZ"/>
              </w:rPr>
              <w:t>ne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Two</w:t>
            </w:r>
          </w:p>
        </w:tc>
        <w:tc>
          <w:tcPr>
            <w:tcW w:w="1370" w:type="dxa"/>
            <w:tcBorders>
              <w:top w:val="single" w:sz="4" w:space="0" w:color="auto"/>
              <w:left w:val="single" w:sz="4" w:space="0" w:color="auto"/>
              <w:bottom w:val="nil"/>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Five</w:t>
            </w:r>
          </w:p>
        </w:tc>
      </w:tr>
      <w:tr w:rsidR="00864BFD" w:rsidRPr="00AA6192" w:rsidTr="00864BFD">
        <w:trPr>
          <w:trHeight w:val="227"/>
        </w:trPr>
        <w:tc>
          <w:tcPr>
            <w:tcW w:w="1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4BFD" w:rsidRPr="00AA6192" w:rsidRDefault="00864BFD" w:rsidP="00864BFD">
            <w:pPr>
              <w:pStyle w:val="Tabletext"/>
              <w:jc w:val="both"/>
              <w:rPr>
                <w:lang w:eastAsia="en-NZ"/>
              </w:rPr>
            </w:pPr>
            <w:r>
              <w:rPr>
                <w:lang w:eastAsia="en-NZ"/>
              </w:rPr>
              <w:t>Doctorate</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nil"/>
              <w:bottom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$69,983</w:t>
            </w:r>
          </w:p>
        </w:tc>
        <w:tc>
          <w:tcPr>
            <w:tcW w:w="1370" w:type="dxa"/>
            <w:tcBorders>
              <w:top w:val="single" w:sz="4" w:space="0" w:color="auto"/>
              <w:left w:val="nil"/>
              <w:bottom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$75,343</w:t>
            </w:r>
          </w:p>
        </w:tc>
        <w:tc>
          <w:tcPr>
            <w:tcW w:w="1370" w:type="dxa"/>
            <w:tcBorders>
              <w:top w:val="single" w:sz="4" w:space="0" w:color="auto"/>
              <w:left w:val="nil"/>
              <w:bottom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$81,953</w:t>
            </w:r>
          </w:p>
        </w:tc>
      </w:tr>
      <w:tr w:rsidR="00864BFD" w:rsidRPr="00AA6192" w:rsidTr="00864BFD">
        <w:trPr>
          <w:trHeight w:val="227"/>
        </w:trPr>
        <w:tc>
          <w:tcPr>
            <w:tcW w:w="1810" w:type="dxa"/>
            <w:vMerge/>
            <w:tcBorders>
              <w:top w:val="nil"/>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nil"/>
              <w:bottom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$60,604</w:t>
            </w:r>
          </w:p>
        </w:tc>
        <w:tc>
          <w:tcPr>
            <w:tcW w:w="1370" w:type="dxa"/>
            <w:tcBorders>
              <w:top w:val="nil"/>
              <w:left w:val="nil"/>
              <w:bottom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$66,672</w:t>
            </w:r>
          </w:p>
        </w:tc>
        <w:tc>
          <w:tcPr>
            <w:tcW w:w="1370" w:type="dxa"/>
            <w:tcBorders>
              <w:top w:val="nil"/>
              <w:left w:val="nil"/>
              <w:bottom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$71,412</w:t>
            </w:r>
          </w:p>
        </w:tc>
      </w:tr>
      <w:tr w:rsidR="00864BFD" w:rsidRPr="00AA6192" w:rsidTr="00864BFD">
        <w:trPr>
          <w:trHeight w:val="227"/>
        </w:trPr>
        <w:tc>
          <w:tcPr>
            <w:tcW w:w="1810" w:type="dxa"/>
            <w:vMerge/>
            <w:tcBorders>
              <w:top w:val="nil"/>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$34,290</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$51,178</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$52,667</w:t>
            </w:r>
          </w:p>
        </w:tc>
      </w:tr>
      <w:tr w:rsidR="00864BFD" w:rsidRPr="00AA6192" w:rsidTr="00864BFD">
        <w:trPr>
          <w:trHeight w:val="227"/>
        </w:trPr>
        <w:tc>
          <w:tcPr>
            <w:tcW w:w="1810" w:type="dxa"/>
            <w:vMerge w:val="restart"/>
            <w:tcBorders>
              <w:top w:val="nil"/>
              <w:left w:val="single" w:sz="4" w:space="0" w:color="auto"/>
              <w:right w:val="single" w:sz="4" w:space="0" w:color="auto"/>
            </w:tcBorders>
            <w:vAlign w:val="center"/>
            <w:hideMark/>
          </w:tcPr>
          <w:p w:rsidR="00864BFD" w:rsidRPr="00AA6192" w:rsidRDefault="00864BFD" w:rsidP="00864BFD">
            <w:pPr>
              <w:pStyle w:val="Tabletext"/>
              <w:jc w:val="both"/>
              <w:rPr>
                <w:lang w:eastAsia="en-NZ"/>
              </w:rPr>
            </w:pPr>
            <w:r>
              <w:rPr>
                <w:lang w:eastAsia="en-NZ"/>
              </w:rPr>
              <w:t>Masters degree</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$54,700</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$60,816</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$72,923</w:t>
            </w:r>
          </w:p>
        </w:tc>
      </w:tr>
      <w:tr w:rsidR="00864BFD" w:rsidRPr="00AA6192" w:rsidTr="00864BFD">
        <w:trPr>
          <w:trHeight w:val="227"/>
        </w:trPr>
        <w:tc>
          <w:tcPr>
            <w:tcW w:w="1810" w:type="dxa"/>
            <w:vMerge/>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$43,479</w:t>
            </w:r>
          </w:p>
        </w:tc>
        <w:tc>
          <w:tcPr>
            <w:tcW w:w="1370" w:type="dxa"/>
            <w:tcBorders>
              <w:top w:val="nil"/>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$50,880</w:t>
            </w:r>
          </w:p>
        </w:tc>
        <w:tc>
          <w:tcPr>
            <w:tcW w:w="1370" w:type="dxa"/>
            <w:tcBorders>
              <w:top w:val="nil"/>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$59,341</w:t>
            </w:r>
          </w:p>
        </w:tc>
      </w:tr>
      <w:tr w:rsidR="00864BFD" w:rsidRPr="00AA6192" w:rsidTr="00864BFD">
        <w:trPr>
          <w:trHeight w:val="227"/>
        </w:trPr>
        <w:tc>
          <w:tcPr>
            <w:tcW w:w="1810" w:type="dxa"/>
            <w:vMerge/>
            <w:tcBorders>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$27,708</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$38,321</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$44,730</w:t>
            </w:r>
          </w:p>
        </w:tc>
      </w:tr>
      <w:tr w:rsidR="00864BFD" w:rsidRPr="00AA6192" w:rsidTr="00864BFD">
        <w:trPr>
          <w:trHeight w:val="227"/>
        </w:trPr>
        <w:tc>
          <w:tcPr>
            <w:tcW w:w="1810" w:type="dxa"/>
            <w:vMerge w:val="restart"/>
            <w:tcBorders>
              <w:top w:val="nil"/>
              <w:left w:val="single" w:sz="4" w:space="0" w:color="auto"/>
              <w:right w:val="single" w:sz="4" w:space="0" w:color="auto"/>
            </w:tcBorders>
            <w:vAlign w:val="center"/>
            <w:hideMark/>
          </w:tcPr>
          <w:p w:rsidR="00864BFD" w:rsidRPr="00AA6192" w:rsidRDefault="00864BFD" w:rsidP="00864BFD">
            <w:pPr>
              <w:pStyle w:val="Tabletext"/>
              <w:jc w:val="both"/>
              <w:rPr>
                <w:lang w:eastAsia="en-NZ"/>
              </w:rPr>
            </w:pPr>
            <w:r>
              <w:rPr>
                <w:lang w:eastAsia="en-NZ"/>
              </w:rPr>
              <w:t>Level 8 – bachelors honours/pg dip or  cert</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$52,047</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$57,971</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$74,061</w:t>
            </w:r>
          </w:p>
        </w:tc>
      </w:tr>
      <w:tr w:rsidR="00864BFD" w:rsidRPr="00AA6192" w:rsidTr="00864BFD">
        <w:trPr>
          <w:trHeight w:val="227"/>
        </w:trPr>
        <w:tc>
          <w:tcPr>
            <w:tcW w:w="1810" w:type="dxa"/>
            <w:vMerge/>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$44,600</w:t>
            </w:r>
          </w:p>
        </w:tc>
        <w:tc>
          <w:tcPr>
            <w:tcW w:w="1370" w:type="dxa"/>
            <w:tcBorders>
              <w:top w:val="nil"/>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$50,192</w:t>
            </w:r>
          </w:p>
        </w:tc>
        <w:tc>
          <w:tcPr>
            <w:tcW w:w="1370" w:type="dxa"/>
            <w:tcBorders>
              <w:top w:val="nil"/>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$60,327</w:t>
            </w:r>
          </w:p>
        </w:tc>
      </w:tr>
      <w:tr w:rsidR="00864BFD" w:rsidRPr="00AA6192" w:rsidTr="00864BFD">
        <w:trPr>
          <w:trHeight w:val="227"/>
        </w:trPr>
        <w:tc>
          <w:tcPr>
            <w:tcW w:w="1810" w:type="dxa"/>
            <w:vMerge/>
            <w:tcBorders>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$33,911</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$38,970</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$44,812</w:t>
            </w:r>
          </w:p>
        </w:tc>
      </w:tr>
      <w:tr w:rsidR="00864BFD" w:rsidRPr="00AA6192" w:rsidTr="00864BFD">
        <w:trPr>
          <w:trHeight w:val="227"/>
        </w:trPr>
        <w:tc>
          <w:tcPr>
            <w:tcW w:w="1810" w:type="dxa"/>
            <w:vMerge w:val="restart"/>
            <w:tcBorders>
              <w:top w:val="nil"/>
              <w:left w:val="single" w:sz="4" w:space="0" w:color="auto"/>
              <w:right w:val="single" w:sz="4" w:space="0" w:color="auto"/>
            </w:tcBorders>
            <w:vAlign w:val="center"/>
            <w:hideMark/>
          </w:tcPr>
          <w:p w:rsidR="00864BFD" w:rsidRPr="00AA6192" w:rsidRDefault="00864BFD" w:rsidP="00864BFD">
            <w:pPr>
              <w:pStyle w:val="Tabletext"/>
              <w:jc w:val="both"/>
              <w:rPr>
                <w:lang w:eastAsia="en-NZ"/>
              </w:rPr>
            </w:pPr>
            <w:r>
              <w:rPr>
                <w:lang w:eastAsia="en-NZ"/>
              </w:rPr>
              <w:t>Graduate certificate or diploma</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$49,853</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$54,511</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$69,336</w:t>
            </w:r>
          </w:p>
        </w:tc>
      </w:tr>
      <w:tr w:rsidR="00864BFD" w:rsidRPr="00AA6192" w:rsidTr="00864BFD">
        <w:trPr>
          <w:trHeight w:val="227"/>
        </w:trPr>
        <w:tc>
          <w:tcPr>
            <w:tcW w:w="1810" w:type="dxa"/>
            <w:vMerge/>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$45,946</w:t>
            </w:r>
          </w:p>
        </w:tc>
        <w:tc>
          <w:tcPr>
            <w:tcW w:w="1370" w:type="dxa"/>
            <w:tcBorders>
              <w:top w:val="nil"/>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$48,300</w:t>
            </w:r>
          </w:p>
        </w:tc>
        <w:tc>
          <w:tcPr>
            <w:tcW w:w="1370" w:type="dxa"/>
            <w:tcBorders>
              <w:top w:val="nil"/>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$58,749</w:t>
            </w:r>
          </w:p>
        </w:tc>
      </w:tr>
      <w:tr w:rsidR="00864BFD" w:rsidRPr="00AA6192" w:rsidTr="00864BFD">
        <w:trPr>
          <w:trHeight w:val="227"/>
        </w:trPr>
        <w:tc>
          <w:tcPr>
            <w:tcW w:w="1810" w:type="dxa"/>
            <w:vMerge/>
            <w:tcBorders>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$36,976</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$41,485</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$43,077</w:t>
            </w:r>
          </w:p>
        </w:tc>
      </w:tr>
      <w:tr w:rsidR="00864BFD" w:rsidRPr="00AA6192" w:rsidTr="00864BFD">
        <w:trPr>
          <w:trHeight w:val="227"/>
        </w:trPr>
        <w:tc>
          <w:tcPr>
            <w:tcW w:w="1810" w:type="dxa"/>
            <w:vMerge w:val="restart"/>
            <w:tcBorders>
              <w:top w:val="nil"/>
              <w:left w:val="single" w:sz="4" w:space="0" w:color="auto"/>
              <w:right w:val="single" w:sz="4" w:space="0" w:color="auto"/>
            </w:tcBorders>
            <w:vAlign w:val="center"/>
            <w:hideMark/>
          </w:tcPr>
          <w:p w:rsidR="00864BFD" w:rsidRPr="00AA6192" w:rsidRDefault="00864BFD" w:rsidP="00864BFD">
            <w:pPr>
              <w:pStyle w:val="Tabletext"/>
              <w:jc w:val="both"/>
              <w:rPr>
                <w:lang w:eastAsia="en-NZ"/>
              </w:rPr>
            </w:pPr>
            <w:r>
              <w:rPr>
                <w:lang w:eastAsia="en-NZ"/>
              </w:rPr>
              <w:t>Bachelors degree</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$46,169</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$50,591</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$62,992</w:t>
            </w:r>
          </w:p>
        </w:tc>
      </w:tr>
      <w:tr w:rsidR="00864BFD" w:rsidRPr="00AA6192" w:rsidTr="00864BFD">
        <w:trPr>
          <w:trHeight w:val="227"/>
        </w:trPr>
        <w:tc>
          <w:tcPr>
            <w:tcW w:w="1810" w:type="dxa"/>
            <w:vMerge/>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$38,082</w:t>
            </w:r>
          </w:p>
        </w:tc>
        <w:tc>
          <w:tcPr>
            <w:tcW w:w="1370" w:type="dxa"/>
            <w:tcBorders>
              <w:top w:val="nil"/>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$43,720</w:t>
            </w:r>
          </w:p>
        </w:tc>
        <w:tc>
          <w:tcPr>
            <w:tcW w:w="1370" w:type="dxa"/>
            <w:tcBorders>
              <w:top w:val="nil"/>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$50,749</w:t>
            </w:r>
          </w:p>
        </w:tc>
      </w:tr>
      <w:tr w:rsidR="00864BFD" w:rsidRPr="00AA6192" w:rsidTr="00864BFD">
        <w:trPr>
          <w:trHeight w:val="227"/>
        </w:trPr>
        <w:tc>
          <w:tcPr>
            <w:tcW w:w="1810" w:type="dxa"/>
            <w:vMerge/>
            <w:tcBorders>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$26,592</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$33,141</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$37,070</w:t>
            </w:r>
          </w:p>
        </w:tc>
      </w:tr>
      <w:tr w:rsidR="00864BFD" w:rsidRPr="00AA6192" w:rsidTr="00864BFD">
        <w:trPr>
          <w:trHeight w:val="227"/>
        </w:trPr>
        <w:tc>
          <w:tcPr>
            <w:tcW w:w="1810" w:type="dxa"/>
            <w:vMerge w:val="restart"/>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r>
              <w:rPr>
                <w:lang w:eastAsia="en-NZ"/>
              </w:rPr>
              <w:t>Diploma</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$36,352</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$40,322</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$49,202</w:t>
            </w:r>
          </w:p>
        </w:tc>
      </w:tr>
      <w:tr w:rsidR="00864BFD" w:rsidRPr="00AA6192" w:rsidTr="00864BFD">
        <w:trPr>
          <w:trHeight w:val="227"/>
        </w:trPr>
        <w:tc>
          <w:tcPr>
            <w:tcW w:w="1810" w:type="dxa"/>
            <w:vMerge/>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$28,553</w:t>
            </w:r>
          </w:p>
        </w:tc>
        <w:tc>
          <w:tcPr>
            <w:tcW w:w="1370" w:type="dxa"/>
            <w:tcBorders>
              <w:top w:val="nil"/>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$32,025</w:t>
            </w:r>
          </w:p>
        </w:tc>
        <w:tc>
          <w:tcPr>
            <w:tcW w:w="1370" w:type="dxa"/>
            <w:tcBorders>
              <w:top w:val="nil"/>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$39,046</w:t>
            </w:r>
          </w:p>
        </w:tc>
      </w:tr>
      <w:tr w:rsidR="00864BFD" w:rsidRPr="00AA6192" w:rsidTr="00864BFD">
        <w:trPr>
          <w:trHeight w:val="227"/>
        </w:trPr>
        <w:tc>
          <w:tcPr>
            <w:tcW w:w="1810" w:type="dxa"/>
            <w:vMerge/>
            <w:tcBorders>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$19,352</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$22,915</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$27,603</w:t>
            </w:r>
          </w:p>
        </w:tc>
      </w:tr>
      <w:tr w:rsidR="00864BFD" w:rsidRPr="00AA6192" w:rsidTr="00864BFD">
        <w:trPr>
          <w:trHeight w:val="227"/>
        </w:trPr>
        <w:tc>
          <w:tcPr>
            <w:tcW w:w="1810" w:type="dxa"/>
            <w:vMerge w:val="restart"/>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r>
              <w:rPr>
                <w:color w:val="333333"/>
                <w:lang w:eastAsia="en-NZ"/>
              </w:rPr>
              <w:t>Certificate at level 4</w:t>
            </w:r>
          </w:p>
        </w:tc>
        <w:tc>
          <w:tcPr>
            <w:tcW w:w="2126" w:type="dxa"/>
            <w:tcBorders>
              <w:top w:val="single" w:sz="4" w:space="0" w:color="auto"/>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$31,854</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$35,259</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$43,425</w:t>
            </w:r>
          </w:p>
        </w:tc>
      </w:tr>
      <w:tr w:rsidR="00864BFD" w:rsidRPr="00AA6192" w:rsidTr="00864BFD">
        <w:trPr>
          <w:trHeight w:val="227"/>
        </w:trPr>
        <w:tc>
          <w:tcPr>
            <w:tcW w:w="1810" w:type="dxa"/>
            <w:vMerge/>
            <w:tcBorders>
              <w:left w:val="single" w:sz="4" w:space="0" w:color="auto"/>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top w:val="nil"/>
              <w:left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$25,622</w:t>
            </w:r>
          </w:p>
        </w:tc>
        <w:tc>
          <w:tcPr>
            <w:tcW w:w="1370" w:type="dxa"/>
            <w:tcBorders>
              <w:top w:val="nil"/>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$29,329</w:t>
            </w:r>
          </w:p>
        </w:tc>
        <w:tc>
          <w:tcPr>
            <w:tcW w:w="1370" w:type="dxa"/>
            <w:tcBorders>
              <w:top w:val="nil"/>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$35,514</w:t>
            </w:r>
          </w:p>
        </w:tc>
      </w:tr>
      <w:tr w:rsidR="00864BFD" w:rsidRPr="00AA6192" w:rsidTr="00864BFD">
        <w:trPr>
          <w:trHeight w:val="227"/>
        </w:trPr>
        <w:tc>
          <w:tcPr>
            <w:tcW w:w="1810" w:type="dxa"/>
            <w:vMerge/>
            <w:tcBorders>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single" w:sz="4" w:space="0" w:color="auto"/>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$17,556</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$20,724</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$25,440</w:t>
            </w:r>
          </w:p>
        </w:tc>
      </w:tr>
      <w:tr w:rsidR="00864BFD" w:rsidRPr="00AA6192" w:rsidTr="00864BFD">
        <w:trPr>
          <w:trHeight w:val="227"/>
        </w:trPr>
        <w:tc>
          <w:tcPr>
            <w:tcW w:w="1810" w:type="dxa"/>
            <w:vMerge w:val="restart"/>
            <w:tcBorders>
              <w:top w:val="nil"/>
              <w:left w:val="single" w:sz="4" w:space="0" w:color="auto"/>
              <w:bottom w:val="single" w:sz="4" w:space="0" w:color="auto"/>
              <w:right w:val="single" w:sz="4" w:space="0" w:color="auto"/>
            </w:tcBorders>
            <w:shd w:val="clear" w:color="auto" w:fill="auto"/>
            <w:vAlign w:val="center"/>
            <w:hideMark/>
          </w:tcPr>
          <w:p w:rsidR="00864BFD" w:rsidRPr="00AA6192" w:rsidRDefault="00864BFD" w:rsidP="00864BFD">
            <w:pPr>
              <w:pStyle w:val="Tabletext"/>
              <w:jc w:val="both"/>
              <w:rPr>
                <w:color w:val="333333"/>
                <w:lang w:eastAsia="en-NZ"/>
              </w:rPr>
            </w:pPr>
            <w:r>
              <w:rPr>
                <w:color w:val="333333"/>
                <w:lang w:eastAsia="en-NZ"/>
              </w:rPr>
              <w:t>Certificate at levels 1-3</w:t>
            </w:r>
          </w:p>
        </w:tc>
        <w:tc>
          <w:tcPr>
            <w:tcW w:w="2126" w:type="dxa"/>
            <w:tcBorders>
              <w:top w:val="single" w:sz="4" w:space="0" w:color="auto"/>
              <w:left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Upper quartile</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$31,891</w:t>
            </w:r>
          </w:p>
        </w:tc>
        <w:tc>
          <w:tcPr>
            <w:tcW w:w="1370" w:type="dxa"/>
            <w:tcBorders>
              <w:top w:val="single" w:sz="4" w:space="0" w:color="auto"/>
              <w:left w:val="nil"/>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$34,776</w:t>
            </w:r>
          </w:p>
        </w:tc>
        <w:tc>
          <w:tcPr>
            <w:tcW w:w="1370" w:type="dxa"/>
            <w:tcBorders>
              <w:top w:val="single" w:sz="4" w:space="0" w:color="auto"/>
              <w:left w:val="nil"/>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$44,361</w:t>
            </w:r>
          </w:p>
        </w:tc>
      </w:tr>
      <w:tr w:rsidR="00864BFD" w:rsidRPr="00AA6192" w:rsidTr="00864BFD">
        <w:trPr>
          <w:trHeight w:val="227"/>
        </w:trPr>
        <w:tc>
          <w:tcPr>
            <w:tcW w:w="1810" w:type="dxa"/>
            <w:vMerge/>
            <w:tcBorders>
              <w:top w:val="single" w:sz="4" w:space="0" w:color="auto"/>
              <w:left w:val="single" w:sz="4" w:space="0" w:color="auto"/>
              <w:bottom w:val="single" w:sz="4" w:space="0" w:color="000000"/>
              <w:right w:val="single" w:sz="4" w:space="0" w:color="auto"/>
            </w:tcBorders>
            <w:vAlign w:val="center"/>
            <w:hideMark/>
          </w:tcPr>
          <w:p w:rsidR="00864BFD" w:rsidRPr="00AA6192" w:rsidRDefault="00864BFD" w:rsidP="00864BFD">
            <w:pPr>
              <w:pStyle w:val="Tabletext"/>
              <w:jc w:val="both"/>
              <w:rPr>
                <w:color w:val="333333"/>
                <w:lang w:eastAsia="en-NZ"/>
              </w:rPr>
            </w:pPr>
          </w:p>
        </w:tc>
        <w:tc>
          <w:tcPr>
            <w:tcW w:w="2126" w:type="dxa"/>
            <w:tcBorders>
              <w:left w:val="single" w:sz="4" w:space="0" w:color="auto"/>
              <w:bottom w:val="nil"/>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sidRPr="00AA6192">
              <w:rPr>
                <w:lang w:eastAsia="en-NZ"/>
              </w:rPr>
              <w:t>Median</w:t>
            </w:r>
          </w:p>
        </w:tc>
        <w:tc>
          <w:tcPr>
            <w:tcW w:w="1370" w:type="dxa"/>
            <w:tcBorders>
              <w:lef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$24,892</w:t>
            </w:r>
          </w:p>
        </w:tc>
        <w:tc>
          <w:tcPr>
            <w:tcW w:w="1370" w:type="dxa"/>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$28,141</w:t>
            </w:r>
          </w:p>
        </w:tc>
        <w:tc>
          <w:tcPr>
            <w:tcW w:w="1370" w:type="dxa"/>
            <w:tcBorders>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$34,918</w:t>
            </w:r>
          </w:p>
        </w:tc>
      </w:tr>
      <w:tr w:rsidR="00864BFD" w:rsidRPr="00AA6192" w:rsidTr="00864BFD">
        <w:trPr>
          <w:trHeight w:val="227"/>
        </w:trPr>
        <w:tc>
          <w:tcPr>
            <w:tcW w:w="1810" w:type="dxa"/>
            <w:vMerge/>
            <w:tcBorders>
              <w:top w:val="nil"/>
              <w:left w:val="single" w:sz="4" w:space="0" w:color="auto"/>
              <w:bottom w:val="single" w:sz="4" w:space="0" w:color="auto"/>
              <w:right w:val="single" w:sz="4" w:space="0" w:color="auto"/>
            </w:tcBorders>
            <w:vAlign w:val="center"/>
            <w:hideMark/>
          </w:tcPr>
          <w:p w:rsidR="00864BFD" w:rsidRPr="00AA6192" w:rsidRDefault="00864BFD" w:rsidP="00864BFD">
            <w:pPr>
              <w:pStyle w:val="Tabletext"/>
              <w:jc w:val="both"/>
              <w:rPr>
                <w:color w:val="333333"/>
                <w:lang w:eastAsia="en-NZ"/>
              </w:rPr>
            </w:pPr>
          </w:p>
        </w:tc>
        <w:tc>
          <w:tcPr>
            <w:tcW w:w="2126" w:type="dxa"/>
            <w:tcBorders>
              <w:top w:val="nil"/>
              <w:left w:val="nil"/>
              <w:bottom w:val="single" w:sz="4" w:space="0" w:color="auto"/>
              <w:right w:val="single" w:sz="4" w:space="0" w:color="auto"/>
            </w:tcBorders>
            <w:shd w:val="clear" w:color="auto" w:fill="auto"/>
            <w:noWrap/>
            <w:vAlign w:val="center"/>
            <w:hideMark/>
          </w:tcPr>
          <w:p w:rsidR="00864BFD" w:rsidRPr="00AA6192" w:rsidRDefault="00864BFD" w:rsidP="00864BFD">
            <w:pPr>
              <w:pStyle w:val="Tabletext"/>
              <w:jc w:val="both"/>
              <w:rPr>
                <w:lang w:eastAsia="en-NZ"/>
              </w:rPr>
            </w:pPr>
            <w:r>
              <w:rPr>
                <w:lang w:eastAsia="en-NZ"/>
              </w:rPr>
              <w:t>Lower quartile</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$15,954</w:t>
            </w:r>
          </w:p>
        </w:tc>
        <w:tc>
          <w:tcPr>
            <w:tcW w:w="1370" w:type="dxa"/>
            <w:tcBorders>
              <w:top w:val="nil"/>
              <w:left w:val="nil"/>
              <w:bottom w:val="single" w:sz="4" w:space="0" w:color="auto"/>
              <w:right w:val="nil"/>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$19,310</w:t>
            </w:r>
          </w:p>
        </w:tc>
        <w:tc>
          <w:tcPr>
            <w:tcW w:w="1370" w:type="dxa"/>
            <w:tcBorders>
              <w:top w:val="nil"/>
              <w:left w:val="nil"/>
              <w:bottom w:val="single" w:sz="4" w:space="0" w:color="auto"/>
              <w:right w:val="single" w:sz="4" w:space="0" w:color="auto"/>
            </w:tcBorders>
            <w:shd w:val="clear" w:color="auto" w:fill="auto"/>
            <w:noWrap/>
            <w:vAlign w:val="bottom"/>
            <w:hideMark/>
          </w:tcPr>
          <w:p w:rsidR="00864BFD" w:rsidRPr="0078022C" w:rsidRDefault="00864BFD" w:rsidP="002A52DC">
            <w:pPr>
              <w:pStyle w:val="Tabletext"/>
              <w:jc w:val="center"/>
              <w:rPr>
                <w:lang w:eastAsia="en-NZ"/>
              </w:rPr>
            </w:pPr>
            <w:r w:rsidRPr="0078022C">
              <w:rPr>
                <w:lang w:eastAsia="en-NZ"/>
              </w:rPr>
              <w:t>$24,278</w:t>
            </w:r>
          </w:p>
        </w:tc>
      </w:tr>
    </w:tbl>
    <w:p w:rsidR="00864BFD" w:rsidRDefault="00864BFD" w:rsidP="00864BFD">
      <w:pPr>
        <w:pStyle w:val="Note"/>
        <w:jc w:val="both"/>
      </w:pPr>
      <w:r>
        <w:t>Source: Statistics New Zealand, Integrated Data Infrastructure, Ministry of Education interpretation. Note that earnings are annual and in 2011 dollars.  Only graduates classified in the employment destination are included in these results.</w:t>
      </w:r>
    </w:p>
    <w:p w:rsidR="00864BFD" w:rsidRDefault="00864BFD" w:rsidP="00864BFD">
      <w:pPr>
        <w:jc w:val="both"/>
        <w:rPr>
          <w:i/>
          <w:szCs w:val="22"/>
        </w:rPr>
      </w:pPr>
    </w:p>
    <w:p w:rsidR="00864BFD" w:rsidRPr="00B218DA" w:rsidRDefault="00864BFD" w:rsidP="00B218DA">
      <w:pPr>
        <w:pStyle w:val="BodyText"/>
        <w:rPr>
          <w:i/>
        </w:rPr>
      </w:pPr>
      <w:r w:rsidRPr="00B218DA">
        <w:rPr>
          <w:i/>
        </w:rPr>
        <w:t>Table 1 shows that:</w:t>
      </w:r>
    </w:p>
    <w:p w:rsidR="00864BFD" w:rsidRPr="00286300" w:rsidRDefault="00864BFD" w:rsidP="00A40949">
      <w:pPr>
        <w:pStyle w:val="Bullet1"/>
      </w:pPr>
      <w:r w:rsidRPr="00286300">
        <w:t xml:space="preserve">While we often focus on the median earnings, </w:t>
      </w:r>
      <w:r w:rsidRPr="00447BB4">
        <w:t>there is a lot of variation at each level.</w:t>
      </w:r>
      <w:r w:rsidRPr="00286300">
        <w:t xml:space="preserve">  For instance, the upper quartile of those who complete tertiary qualifications </w:t>
      </w:r>
      <w:r>
        <w:t xml:space="preserve">at </w:t>
      </w:r>
      <w:proofErr w:type="gramStart"/>
      <w:r>
        <w:t>bachelors</w:t>
      </w:r>
      <w:proofErr w:type="gramEnd"/>
      <w:r>
        <w:t xml:space="preserve"> level or below </w:t>
      </w:r>
      <w:r w:rsidRPr="00286300">
        <w:t xml:space="preserve">is around 25 percent more than the median.  </w:t>
      </w:r>
      <w:r>
        <w:t xml:space="preserve">Five years after completion of their degree, a </w:t>
      </w:r>
      <w:r w:rsidRPr="00286300">
        <w:t>quarter of young bachelors graduates earn less than $</w:t>
      </w:r>
      <w:r>
        <w:t>37,070</w:t>
      </w:r>
      <w:r w:rsidRPr="00286300">
        <w:t xml:space="preserve">, which is </w:t>
      </w:r>
      <w:r>
        <w:t>27</w:t>
      </w:r>
      <w:r w:rsidRPr="00286300">
        <w:t xml:space="preserve"> percent below the</w:t>
      </w:r>
      <w:r>
        <w:t xml:space="preserve"> corresponding</w:t>
      </w:r>
      <w:r w:rsidRPr="00286300">
        <w:t xml:space="preserve"> median</w:t>
      </w:r>
      <w:r>
        <w:t>, and a quarter of young level 1 to 3 certificate graduates earn less than $24,278 which is 30 percent below the corresponding median.</w:t>
      </w:r>
    </w:p>
    <w:p w:rsidR="00864BFD" w:rsidRPr="00286300" w:rsidRDefault="00864BFD" w:rsidP="00A40949">
      <w:pPr>
        <w:pStyle w:val="Bullet1"/>
      </w:pPr>
      <w:r w:rsidRPr="00286300">
        <w:t xml:space="preserve">These variations reflect factors such as field of study, industry of employment and occupation.  Variation in earnings also reflects individual differences that are not evident in the data – such as motivation and performance on the </w:t>
      </w:r>
      <w:r>
        <w:t xml:space="preserve">job.  They may also reflect that some graduates work part-time rather than full-time.  </w:t>
      </w:r>
    </w:p>
    <w:p w:rsidR="00864BFD" w:rsidRDefault="00864BFD" w:rsidP="00B218DA">
      <w:pPr>
        <w:jc w:val="both"/>
        <w:rPr>
          <w:b/>
          <w:bCs/>
          <w:sz w:val="15"/>
          <w:szCs w:val="20"/>
        </w:rPr>
      </w:pPr>
      <w:r>
        <w:br w:type="page"/>
      </w:r>
    </w:p>
    <w:p w:rsidR="00864BFD" w:rsidRPr="003A1A2E" w:rsidRDefault="00864BFD" w:rsidP="00864BFD">
      <w:pPr>
        <w:pStyle w:val="Caption"/>
        <w:jc w:val="both"/>
      </w:pPr>
      <w:r w:rsidRPr="003A1A2E">
        <w:lastRenderedPageBreak/>
        <w:t xml:space="preserve">Table </w:t>
      </w:r>
      <w:r>
        <w:t>2</w:t>
      </w:r>
    </w:p>
    <w:p w:rsidR="00864BFD" w:rsidRPr="009A7099" w:rsidRDefault="00864BFD" w:rsidP="00864BFD">
      <w:pPr>
        <w:pStyle w:val="Tablelabel"/>
        <w:jc w:val="both"/>
      </w:pPr>
      <w:bookmarkStart w:id="2" w:name="_Toc346198643"/>
      <w:proofErr w:type="gramStart"/>
      <w:r>
        <w:t>Median annual earnings of young domestic graduates, one, two and five years after study, as a percentage of the national median earnings by qualification level.</w:t>
      </w:r>
      <w:bookmarkEnd w:id="2"/>
      <w:proofErr w:type="gramEnd"/>
      <w:r>
        <w:t xml:space="preserve"> </w:t>
      </w:r>
    </w:p>
    <w:tbl>
      <w:tblPr>
        <w:tblW w:w="8088" w:type="dxa"/>
        <w:tblLayout w:type="fixed"/>
        <w:tblLook w:val="04A0"/>
      </w:tblPr>
      <w:tblGrid>
        <w:gridCol w:w="4096"/>
        <w:gridCol w:w="1330"/>
        <w:gridCol w:w="1331"/>
        <w:gridCol w:w="1331"/>
      </w:tblGrid>
      <w:tr w:rsidR="00864BFD" w:rsidRPr="00AA6192" w:rsidTr="00864BFD">
        <w:trPr>
          <w:trHeight w:val="234"/>
        </w:trPr>
        <w:tc>
          <w:tcPr>
            <w:tcW w:w="4096" w:type="dxa"/>
            <w:vMerge w:val="restart"/>
            <w:tcBorders>
              <w:top w:val="single" w:sz="4" w:space="0" w:color="auto"/>
              <w:left w:val="single" w:sz="4" w:space="0" w:color="auto"/>
              <w:right w:val="single" w:sz="4" w:space="0" w:color="auto"/>
            </w:tcBorders>
          </w:tcPr>
          <w:p w:rsidR="00864BFD" w:rsidRDefault="00864BFD" w:rsidP="00864BFD">
            <w:pPr>
              <w:pStyle w:val="Tableheading"/>
              <w:jc w:val="both"/>
              <w:rPr>
                <w:lang w:eastAsia="en-NZ"/>
              </w:rPr>
            </w:pPr>
            <w:r>
              <w:rPr>
                <w:lang w:eastAsia="en-NZ"/>
              </w:rPr>
              <w:t>Qualification level</w:t>
            </w:r>
          </w:p>
        </w:tc>
        <w:tc>
          <w:tcPr>
            <w:tcW w:w="3992" w:type="dxa"/>
            <w:gridSpan w:val="3"/>
            <w:tcBorders>
              <w:top w:val="single" w:sz="4" w:space="0" w:color="auto"/>
              <w:left w:val="single" w:sz="4" w:space="0" w:color="auto"/>
              <w:bottom w:val="nil"/>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Years after study %</w:t>
            </w:r>
          </w:p>
        </w:tc>
      </w:tr>
      <w:tr w:rsidR="00864BFD" w:rsidRPr="00AA6192" w:rsidTr="00864BFD">
        <w:trPr>
          <w:trHeight w:val="234"/>
        </w:trPr>
        <w:tc>
          <w:tcPr>
            <w:tcW w:w="4096" w:type="dxa"/>
            <w:vMerge/>
            <w:tcBorders>
              <w:left w:val="single" w:sz="4" w:space="0" w:color="auto"/>
              <w:bottom w:val="single" w:sz="4" w:space="0" w:color="auto"/>
              <w:right w:val="single" w:sz="4" w:space="0" w:color="auto"/>
            </w:tcBorders>
          </w:tcPr>
          <w:p w:rsidR="00864BFD" w:rsidRPr="00987837" w:rsidRDefault="00864BFD" w:rsidP="00864BFD">
            <w:pPr>
              <w:pStyle w:val="Tableheading"/>
              <w:jc w:val="both"/>
              <w:rPr>
                <w:lang w:eastAsia="en-NZ"/>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O</w:t>
            </w:r>
            <w:r w:rsidRPr="00987837">
              <w:rPr>
                <w:lang w:eastAsia="en-NZ"/>
              </w:rPr>
              <w:t>ne</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BFD" w:rsidRPr="00987837" w:rsidRDefault="00864BFD" w:rsidP="002A52DC">
            <w:pPr>
              <w:pStyle w:val="Tableheading"/>
              <w:rPr>
                <w:lang w:eastAsia="en-NZ"/>
              </w:rPr>
            </w:pPr>
            <w:r w:rsidRPr="00987837">
              <w:rPr>
                <w:lang w:eastAsia="en-NZ"/>
              </w:rPr>
              <w:t>Two</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F</w:t>
            </w:r>
            <w:r w:rsidRPr="00987837">
              <w:rPr>
                <w:lang w:eastAsia="en-NZ"/>
              </w:rPr>
              <w:t>ive</w:t>
            </w:r>
          </w:p>
        </w:tc>
      </w:tr>
      <w:tr w:rsidR="00864BFD" w:rsidRPr="00AA6192" w:rsidTr="00060161">
        <w:trPr>
          <w:trHeight w:val="234"/>
        </w:trPr>
        <w:tc>
          <w:tcPr>
            <w:tcW w:w="4096" w:type="dxa"/>
            <w:tcBorders>
              <w:top w:val="single" w:sz="4" w:space="0" w:color="auto"/>
              <w:left w:val="single" w:sz="4" w:space="0" w:color="auto"/>
              <w:bottom w:val="nil"/>
              <w:right w:val="single" w:sz="4" w:space="0" w:color="auto"/>
            </w:tcBorders>
            <w:vAlign w:val="center"/>
          </w:tcPr>
          <w:p w:rsidR="00864BFD" w:rsidRDefault="00864BFD" w:rsidP="00864BFD">
            <w:pPr>
              <w:pStyle w:val="Tabletext"/>
              <w:jc w:val="both"/>
            </w:pPr>
            <w:r>
              <w:t>Doctorate</w:t>
            </w:r>
          </w:p>
        </w:tc>
        <w:tc>
          <w:tcPr>
            <w:tcW w:w="1330" w:type="dxa"/>
            <w:tcBorders>
              <w:top w:val="single" w:sz="4" w:space="0" w:color="auto"/>
              <w:left w:val="single" w:sz="4" w:space="0" w:color="auto"/>
              <w:bottom w:val="nil"/>
            </w:tcBorders>
            <w:shd w:val="clear" w:color="auto" w:fill="auto"/>
            <w:noWrap/>
            <w:vAlign w:val="center"/>
            <w:hideMark/>
          </w:tcPr>
          <w:p w:rsidR="00864BFD" w:rsidRPr="000B146D" w:rsidRDefault="00864BFD" w:rsidP="00060161">
            <w:pPr>
              <w:jc w:val="center"/>
              <w:rPr>
                <w:sz w:val="15"/>
              </w:rPr>
            </w:pPr>
            <w:r w:rsidRPr="000B146D">
              <w:rPr>
                <w:sz w:val="15"/>
              </w:rPr>
              <w:t>177%</w:t>
            </w:r>
          </w:p>
        </w:tc>
        <w:tc>
          <w:tcPr>
            <w:tcW w:w="1331" w:type="dxa"/>
            <w:tcBorders>
              <w:top w:val="single" w:sz="4" w:space="0" w:color="auto"/>
              <w:bottom w:val="nil"/>
            </w:tcBorders>
            <w:shd w:val="clear" w:color="auto" w:fill="auto"/>
            <w:noWrap/>
            <w:vAlign w:val="center"/>
            <w:hideMark/>
          </w:tcPr>
          <w:p w:rsidR="00864BFD" w:rsidRPr="000B146D" w:rsidRDefault="00864BFD" w:rsidP="00060161">
            <w:pPr>
              <w:jc w:val="center"/>
              <w:rPr>
                <w:sz w:val="15"/>
              </w:rPr>
            </w:pPr>
            <w:r w:rsidRPr="000B146D">
              <w:rPr>
                <w:sz w:val="15"/>
              </w:rPr>
              <w:t>195%</w:t>
            </w:r>
          </w:p>
        </w:tc>
        <w:tc>
          <w:tcPr>
            <w:tcW w:w="1331" w:type="dxa"/>
            <w:tcBorders>
              <w:top w:val="single" w:sz="4" w:space="0" w:color="auto"/>
              <w:bottom w:val="nil"/>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209%</w:t>
            </w:r>
          </w:p>
        </w:tc>
      </w:tr>
      <w:tr w:rsidR="00864BFD" w:rsidRPr="00AA6192" w:rsidTr="00060161">
        <w:trPr>
          <w:trHeight w:val="234"/>
        </w:trPr>
        <w:tc>
          <w:tcPr>
            <w:tcW w:w="4096" w:type="dxa"/>
            <w:tcBorders>
              <w:left w:val="single" w:sz="4" w:space="0" w:color="auto"/>
              <w:bottom w:val="nil"/>
              <w:right w:val="single" w:sz="4" w:space="0" w:color="auto"/>
            </w:tcBorders>
            <w:vAlign w:val="center"/>
          </w:tcPr>
          <w:p w:rsidR="00864BFD" w:rsidRDefault="00864BFD" w:rsidP="00864BFD">
            <w:pPr>
              <w:pStyle w:val="Tabletext"/>
              <w:jc w:val="both"/>
            </w:pPr>
            <w:r>
              <w:t>Masters degree</w:t>
            </w:r>
          </w:p>
        </w:tc>
        <w:tc>
          <w:tcPr>
            <w:tcW w:w="1330" w:type="dxa"/>
            <w:tcBorders>
              <w:left w:val="single" w:sz="4" w:space="0" w:color="auto"/>
              <w:bottom w:val="nil"/>
            </w:tcBorders>
            <w:shd w:val="clear" w:color="auto" w:fill="auto"/>
            <w:noWrap/>
            <w:vAlign w:val="center"/>
            <w:hideMark/>
          </w:tcPr>
          <w:p w:rsidR="00864BFD" w:rsidRPr="000B146D" w:rsidRDefault="00864BFD" w:rsidP="00060161">
            <w:pPr>
              <w:jc w:val="center"/>
              <w:rPr>
                <w:sz w:val="15"/>
              </w:rPr>
            </w:pPr>
            <w:r w:rsidRPr="000B146D">
              <w:rPr>
                <w:sz w:val="15"/>
              </w:rPr>
              <w:t>127%</w:t>
            </w:r>
          </w:p>
        </w:tc>
        <w:tc>
          <w:tcPr>
            <w:tcW w:w="1331" w:type="dxa"/>
            <w:tcBorders>
              <w:bottom w:val="nil"/>
            </w:tcBorders>
            <w:shd w:val="clear" w:color="auto" w:fill="auto"/>
            <w:noWrap/>
            <w:vAlign w:val="center"/>
            <w:hideMark/>
          </w:tcPr>
          <w:p w:rsidR="00864BFD" w:rsidRPr="000B146D" w:rsidRDefault="00864BFD" w:rsidP="00060161">
            <w:pPr>
              <w:jc w:val="center"/>
              <w:rPr>
                <w:sz w:val="15"/>
              </w:rPr>
            </w:pPr>
            <w:r w:rsidRPr="000B146D">
              <w:rPr>
                <w:sz w:val="15"/>
              </w:rPr>
              <w:t>149%</w:t>
            </w:r>
          </w:p>
        </w:tc>
        <w:tc>
          <w:tcPr>
            <w:tcW w:w="1331" w:type="dxa"/>
            <w:tcBorders>
              <w:bottom w:val="nil"/>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174%</w:t>
            </w:r>
          </w:p>
        </w:tc>
      </w:tr>
      <w:tr w:rsidR="00864BFD" w:rsidRPr="00AA6192" w:rsidTr="00060161">
        <w:trPr>
          <w:trHeight w:val="234"/>
        </w:trPr>
        <w:tc>
          <w:tcPr>
            <w:tcW w:w="4096" w:type="dxa"/>
            <w:tcBorders>
              <w:left w:val="single" w:sz="4" w:space="0" w:color="auto"/>
              <w:bottom w:val="nil"/>
              <w:right w:val="single" w:sz="4" w:space="0" w:color="auto"/>
            </w:tcBorders>
            <w:vAlign w:val="center"/>
          </w:tcPr>
          <w:p w:rsidR="00864BFD" w:rsidRDefault="00864BFD" w:rsidP="00864BFD">
            <w:pPr>
              <w:pStyle w:val="Tabletext"/>
              <w:jc w:val="both"/>
            </w:pPr>
            <w:r>
              <w:t>Level 8 – bachelors honours, pg dip or cert</w:t>
            </w:r>
          </w:p>
        </w:tc>
        <w:tc>
          <w:tcPr>
            <w:tcW w:w="1330" w:type="dxa"/>
            <w:tcBorders>
              <w:left w:val="single" w:sz="4" w:space="0" w:color="auto"/>
              <w:bottom w:val="nil"/>
            </w:tcBorders>
            <w:shd w:val="clear" w:color="auto" w:fill="auto"/>
            <w:noWrap/>
            <w:vAlign w:val="center"/>
            <w:hideMark/>
          </w:tcPr>
          <w:p w:rsidR="00864BFD" w:rsidRPr="000B146D" w:rsidRDefault="00864BFD" w:rsidP="00060161">
            <w:pPr>
              <w:jc w:val="center"/>
              <w:rPr>
                <w:sz w:val="15"/>
              </w:rPr>
            </w:pPr>
            <w:r w:rsidRPr="000B146D">
              <w:rPr>
                <w:sz w:val="15"/>
              </w:rPr>
              <w:t>130%</w:t>
            </w:r>
          </w:p>
        </w:tc>
        <w:tc>
          <w:tcPr>
            <w:tcW w:w="1331" w:type="dxa"/>
            <w:tcBorders>
              <w:bottom w:val="nil"/>
            </w:tcBorders>
            <w:shd w:val="clear" w:color="auto" w:fill="auto"/>
            <w:noWrap/>
            <w:vAlign w:val="center"/>
            <w:hideMark/>
          </w:tcPr>
          <w:p w:rsidR="00864BFD" w:rsidRPr="000B146D" w:rsidRDefault="00864BFD" w:rsidP="00060161">
            <w:pPr>
              <w:jc w:val="center"/>
              <w:rPr>
                <w:sz w:val="15"/>
              </w:rPr>
            </w:pPr>
            <w:r w:rsidRPr="000B146D">
              <w:rPr>
                <w:sz w:val="15"/>
              </w:rPr>
              <w:t>147%</w:t>
            </w:r>
          </w:p>
        </w:tc>
        <w:tc>
          <w:tcPr>
            <w:tcW w:w="1331" w:type="dxa"/>
            <w:tcBorders>
              <w:bottom w:val="nil"/>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176%</w:t>
            </w:r>
          </w:p>
        </w:tc>
      </w:tr>
      <w:tr w:rsidR="00864BFD" w:rsidRPr="00AA6192" w:rsidTr="00060161">
        <w:trPr>
          <w:trHeight w:val="234"/>
        </w:trPr>
        <w:tc>
          <w:tcPr>
            <w:tcW w:w="4096" w:type="dxa"/>
            <w:tcBorders>
              <w:left w:val="single" w:sz="4" w:space="0" w:color="auto"/>
              <w:bottom w:val="nil"/>
              <w:right w:val="single" w:sz="4" w:space="0" w:color="auto"/>
            </w:tcBorders>
            <w:vAlign w:val="center"/>
          </w:tcPr>
          <w:p w:rsidR="00864BFD" w:rsidRDefault="00864BFD" w:rsidP="00864BFD">
            <w:pPr>
              <w:pStyle w:val="Tabletext"/>
              <w:jc w:val="both"/>
            </w:pPr>
            <w:r>
              <w:t>Graduate certificate or diploma</w:t>
            </w:r>
          </w:p>
        </w:tc>
        <w:tc>
          <w:tcPr>
            <w:tcW w:w="1330" w:type="dxa"/>
            <w:tcBorders>
              <w:left w:val="single" w:sz="4" w:space="0" w:color="auto"/>
              <w:bottom w:val="nil"/>
            </w:tcBorders>
            <w:shd w:val="clear" w:color="auto" w:fill="auto"/>
            <w:noWrap/>
            <w:vAlign w:val="center"/>
            <w:hideMark/>
          </w:tcPr>
          <w:p w:rsidR="00864BFD" w:rsidRPr="000B146D" w:rsidRDefault="00864BFD" w:rsidP="00060161">
            <w:pPr>
              <w:jc w:val="center"/>
              <w:rPr>
                <w:sz w:val="15"/>
              </w:rPr>
            </w:pPr>
            <w:r w:rsidRPr="000B146D">
              <w:rPr>
                <w:sz w:val="15"/>
              </w:rPr>
              <w:t>134%</w:t>
            </w:r>
          </w:p>
        </w:tc>
        <w:tc>
          <w:tcPr>
            <w:tcW w:w="1331" w:type="dxa"/>
            <w:tcBorders>
              <w:bottom w:val="nil"/>
            </w:tcBorders>
            <w:shd w:val="clear" w:color="auto" w:fill="auto"/>
            <w:noWrap/>
            <w:vAlign w:val="center"/>
            <w:hideMark/>
          </w:tcPr>
          <w:p w:rsidR="00864BFD" w:rsidRPr="000B146D" w:rsidRDefault="00864BFD" w:rsidP="00060161">
            <w:pPr>
              <w:jc w:val="center"/>
              <w:rPr>
                <w:sz w:val="15"/>
              </w:rPr>
            </w:pPr>
            <w:r w:rsidRPr="000B146D">
              <w:rPr>
                <w:sz w:val="15"/>
              </w:rPr>
              <w:t>141%</w:t>
            </w:r>
          </w:p>
        </w:tc>
        <w:tc>
          <w:tcPr>
            <w:tcW w:w="1331" w:type="dxa"/>
            <w:tcBorders>
              <w:bottom w:val="nil"/>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172%</w:t>
            </w:r>
          </w:p>
        </w:tc>
      </w:tr>
      <w:tr w:rsidR="00864BFD" w:rsidRPr="00AA6192" w:rsidTr="00060161">
        <w:trPr>
          <w:trHeight w:val="234"/>
        </w:trPr>
        <w:tc>
          <w:tcPr>
            <w:tcW w:w="4096" w:type="dxa"/>
            <w:tcBorders>
              <w:left w:val="single" w:sz="4" w:space="0" w:color="auto"/>
              <w:bottom w:val="nil"/>
              <w:right w:val="single" w:sz="4" w:space="0" w:color="auto"/>
            </w:tcBorders>
            <w:vAlign w:val="center"/>
          </w:tcPr>
          <w:p w:rsidR="00864BFD" w:rsidRDefault="00864BFD" w:rsidP="00864BFD">
            <w:pPr>
              <w:pStyle w:val="Tabletext"/>
              <w:jc w:val="both"/>
            </w:pPr>
            <w:r>
              <w:t>Bachelors degree</w:t>
            </w:r>
          </w:p>
        </w:tc>
        <w:tc>
          <w:tcPr>
            <w:tcW w:w="1330" w:type="dxa"/>
            <w:tcBorders>
              <w:left w:val="single" w:sz="4" w:space="0" w:color="auto"/>
              <w:bottom w:val="nil"/>
            </w:tcBorders>
            <w:shd w:val="clear" w:color="auto" w:fill="auto"/>
            <w:noWrap/>
            <w:vAlign w:val="center"/>
            <w:hideMark/>
          </w:tcPr>
          <w:p w:rsidR="00864BFD" w:rsidRPr="000B146D" w:rsidRDefault="00864BFD" w:rsidP="00060161">
            <w:pPr>
              <w:jc w:val="center"/>
              <w:rPr>
                <w:sz w:val="15"/>
              </w:rPr>
            </w:pPr>
            <w:r w:rsidRPr="000B146D">
              <w:rPr>
                <w:sz w:val="15"/>
              </w:rPr>
              <w:t>111%</w:t>
            </w:r>
          </w:p>
        </w:tc>
        <w:tc>
          <w:tcPr>
            <w:tcW w:w="1331" w:type="dxa"/>
            <w:tcBorders>
              <w:bottom w:val="nil"/>
            </w:tcBorders>
            <w:shd w:val="clear" w:color="auto" w:fill="auto"/>
            <w:noWrap/>
            <w:vAlign w:val="center"/>
            <w:hideMark/>
          </w:tcPr>
          <w:p w:rsidR="00864BFD" w:rsidRPr="000B146D" w:rsidRDefault="00864BFD" w:rsidP="00060161">
            <w:pPr>
              <w:jc w:val="center"/>
              <w:rPr>
                <w:sz w:val="15"/>
              </w:rPr>
            </w:pPr>
            <w:r w:rsidRPr="000B146D">
              <w:rPr>
                <w:sz w:val="15"/>
              </w:rPr>
              <w:t>128%</w:t>
            </w:r>
          </w:p>
        </w:tc>
        <w:tc>
          <w:tcPr>
            <w:tcW w:w="1331" w:type="dxa"/>
            <w:tcBorders>
              <w:bottom w:val="nil"/>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148%</w:t>
            </w:r>
          </w:p>
        </w:tc>
      </w:tr>
      <w:tr w:rsidR="00864BFD" w:rsidRPr="00AA6192" w:rsidTr="00060161">
        <w:trPr>
          <w:trHeight w:val="234"/>
        </w:trPr>
        <w:tc>
          <w:tcPr>
            <w:tcW w:w="4096" w:type="dxa"/>
            <w:tcBorders>
              <w:left w:val="single" w:sz="4" w:space="0" w:color="auto"/>
              <w:right w:val="single" w:sz="4" w:space="0" w:color="auto"/>
            </w:tcBorders>
            <w:vAlign w:val="center"/>
          </w:tcPr>
          <w:p w:rsidR="00864BFD" w:rsidRDefault="00864BFD" w:rsidP="00864BFD">
            <w:pPr>
              <w:pStyle w:val="Tabletext"/>
              <w:jc w:val="both"/>
            </w:pPr>
            <w:r>
              <w:t>Diploma at levels 5-7</w:t>
            </w:r>
          </w:p>
        </w:tc>
        <w:tc>
          <w:tcPr>
            <w:tcW w:w="1330" w:type="dxa"/>
            <w:tcBorders>
              <w:lef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83%</w:t>
            </w:r>
          </w:p>
        </w:tc>
        <w:tc>
          <w:tcPr>
            <w:tcW w:w="1331" w:type="dxa"/>
            <w:shd w:val="clear" w:color="auto" w:fill="auto"/>
            <w:noWrap/>
            <w:vAlign w:val="center"/>
            <w:hideMark/>
          </w:tcPr>
          <w:p w:rsidR="00864BFD" w:rsidRPr="000B146D" w:rsidRDefault="00864BFD" w:rsidP="00060161">
            <w:pPr>
              <w:jc w:val="center"/>
              <w:rPr>
                <w:sz w:val="15"/>
              </w:rPr>
            </w:pPr>
            <w:r w:rsidRPr="000B146D">
              <w:rPr>
                <w:sz w:val="15"/>
              </w:rPr>
              <w:t>94%</w:t>
            </w:r>
          </w:p>
        </w:tc>
        <w:tc>
          <w:tcPr>
            <w:tcW w:w="1331" w:type="dxa"/>
            <w:tcBorders>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114%</w:t>
            </w:r>
          </w:p>
        </w:tc>
      </w:tr>
      <w:tr w:rsidR="00864BFD" w:rsidRPr="00AA6192" w:rsidTr="00060161">
        <w:trPr>
          <w:trHeight w:val="234"/>
        </w:trPr>
        <w:tc>
          <w:tcPr>
            <w:tcW w:w="4096" w:type="dxa"/>
            <w:tcBorders>
              <w:left w:val="single" w:sz="4" w:space="0" w:color="auto"/>
              <w:right w:val="single" w:sz="4" w:space="0" w:color="auto"/>
            </w:tcBorders>
            <w:vAlign w:val="center"/>
          </w:tcPr>
          <w:p w:rsidR="00864BFD" w:rsidRDefault="00864BFD" w:rsidP="00864BFD">
            <w:pPr>
              <w:pStyle w:val="Tabletext"/>
              <w:jc w:val="both"/>
            </w:pPr>
            <w:r>
              <w:t>Certificate at level 4</w:t>
            </w:r>
          </w:p>
        </w:tc>
        <w:tc>
          <w:tcPr>
            <w:tcW w:w="1330" w:type="dxa"/>
            <w:tcBorders>
              <w:lef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75%</w:t>
            </w:r>
          </w:p>
        </w:tc>
        <w:tc>
          <w:tcPr>
            <w:tcW w:w="1331" w:type="dxa"/>
            <w:shd w:val="clear" w:color="auto" w:fill="auto"/>
            <w:noWrap/>
            <w:vAlign w:val="center"/>
            <w:hideMark/>
          </w:tcPr>
          <w:p w:rsidR="00864BFD" w:rsidRPr="000B146D" w:rsidRDefault="00864BFD" w:rsidP="00060161">
            <w:pPr>
              <w:jc w:val="center"/>
              <w:rPr>
                <w:sz w:val="15"/>
              </w:rPr>
            </w:pPr>
            <w:r w:rsidRPr="000B146D">
              <w:rPr>
                <w:sz w:val="15"/>
              </w:rPr>
              <w:t>86%</w:t>
            </w:r>
          </w:p>
        </w:tc>
        <w:tc>
          <w:tcPr>
            <w:tcW w:w="1331" w:type="dxa"/>
            <w:tcBorders>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104%</w:t>
            </w:r>
          </w:p>
        </w:tc>
      </w:tr>
      <w:tr w:rsidR="00864BFD" w:rsidRPr="00AA6192" w:rsidTr="00060161">
        <w:trPr>
          <w:trHeight w:val="234"/>
        </w:trPr>
        <w:tc>
          <w:tcPr>
            <w:tcW w:w="4096" w:type="dxa"/>
            <w:tcBorders>
              <w:left w:val="single" w:sz="4" w:space="0" w:color="auto"/>
              <w:bottom w:val="single" w:sz="4" w:space="0" w:color="auto"/>
              <w:right w:val="single" w:sz="4" w:space="0" w:color="auto"/>
            </w:tcBorders>
            <w:vAlign w:val="center"/>
          </w:tcPr>
          <w:p w:rsidR="00864BFD" w:rsidRDefault="00864BFD" w:rsidP="00864BFD">
            <w:pPr>
              <w:pStyle w:val="Tabletext"/>
              <w:jc w:val="both"/>
            </w:pPr>
            <w:r>
              <w:t>Certificate at levels 1-3</w:t>
            </w:r>
          </w:p>
        </w:tc>
        <w:tc>
          <w:tcPr>
            <w:tcW w:w="1330" w:type="dxa"/>
            <w:tcBorders>
              <w:left w:val="single" w:sz="4" w:space="0" w:color="auto"/>
              <w:bottom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73%</w:t>
            </w:r>
          </w:p>
        </w:tc>
        <w:tc>
          <w:tcPr>
            <w:tcW w:w="1331" w:type="dxa"/>
            <w:tcBorders>
              <w:bottom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82%</w:t>
            </w:r>
          </w:p>
        </w:tc>
        <w:tc>
          <w:tcPr>
            <w:tcW w:w="1331" w:type="dxa"/>
            <w:tcBorders>
              <w:bottom w:val="single" w:sz="4" w:space="0" w:color="auto"/>
              <w:right w:val="single" w:sz="4" w:space="0" w:color="auto"/>
            </w:tcBorders>
            <w:shd w:val="clear" w:color="auto" w:fill="auto"/>
            <w:noWrap/>
            <w:vAlign w:val="center"/>
            <w:hideMark/>
          </w:tcPr>
          <w:p w:rsidR="00864BFD" w:rsidRPr="000B146D" w:rsidRDefault="00864BFD" w:rsidP="00060161">
            <w:pPr>
              <w:jc w:val="center"/>
              <w:rPr>
                <w:sz w:val="15"/>
              </w:rPr>
            </w:pPr>
            <w:r w:rsidRPr="000B146D">
              <w:rPr>
                <w:sz w:val="15"/>
              </w:rPr>
              <w:t>102%</w:t>
            </w:r>
          </w:p>
        </w:tc>
      </w:tr>
    </w:tbl>
    <w:p w:rsidR="00864BFD" w:rsidRDefault="00864BFD" w:rsidP="00864BFD">
      <w:pPr>
        <w:pStyle w:val="Note"/>
        <w:jc w:val="both"/>
      </w:pPr>
      <w:r>
        <w:t>Source: Statistics New Zealand, Integrated Data Infrastructure, Ministry of Education interpretation. Note that earnings are annual and in 2011 dollars.  Only graduates classified in the employment destination are included in these results.  Earnings are compared to the 2011 tax year median annual earnings for those aged between 15 – 64 years in New Zealand.</w:t>
      </w:r>
    </w:p>
    <w:p w:rsidR="00060161" w:rsidRDefault="00060161" w:rsidP="00060161"/>
    <w:p w:rsidR="00864BFD" w:rsidRPr="00A40949" w:rsidRDefault="00864BFD" w:rsidP="00A40949">
      <w:pPr>
        <w:pStyle w:val="BodyText"/>
        <w:rPr>
          <w:i/>
        </w:rPr>
      </w:pPr>
      <w:r w:rsidRPr="00A40949">
        <w:rPr>
          <w:i/>
        </w:rPr>
        <w:t>Table 2 shows that:</w:t>
      </w:r>
    </w:p>
    <w:p w:rsidR="00864BFD" w:rsidRPr="00A40949" w:rsidRDefault="00864BFD" w:rsidP="00A40949">
      <w:pPr>
        <w:pStyle w:val="Bullet1"/>
        <w:rPr>
          <w:szCs w:val="22"/>
        </w:rPr>
      </w:pPr>
      <w:r w:rsidRPr="00A40949">
        <w:rPr>
          <w:szCs w:val="22"/>
        </w:rPr>
        <w:t>More than half of young people who complete a qualification at bachelors or higher earn above the national median earnings in their first year out of study</w:t>
      </w:r>
    </w:p>
    <w:p w:rsidR="00864BFD" w:rsidRPr="00A40949" w:rsidRDefault="00864BFD" w:rsidP="00A40949">
      <w:pPr>
        <w:pStyle w:val="Bullet1"/>
        <w:rPr>
          <w:szCs w:val="22"/>
        </w:rPr>
      </w:pPr>
      <w:r w:rsidRPr="00A40949">
        <w:rPr>
          <w:szCs w:val="22"/>
        </w:rPr>
        <w:t>While the median starting earnings for lower-level qualifications is below the national median, people with those qualifications catch up over time.  Five years after completing, more than half those young people who finished a level 1-3 certificate will be earning above the national median. To some extent this reflects our population of young people gaining experience in the workforce.</w:t>
      </w:r>
    </w:p>
    <w:p w:rsidR="00864BFD" w:rsidRPr="00A40949" w:rsidRDefault="00864BFD" w:rsidP="00A40949">
      <w:pPr>
        <w:pStyle w:val="Bullet1"/>
        <w:rPr>
          <w:szCs w:val="22"/>
        </w:rPr>
      </w:pPr>
      <w:r w:rsidRPr="00A40949">
        <w:rPr>
          <w:szCs w:val="22"/>
        </w:rPr>
        <w:t>People with postgraduate qualifications command high earnings – with half of young doctoral graduates earning more than twice the national median in their fifth year out of study and the median for masters and those who finish level 8 qualifications approaching twice the national median.</w:t>
      </w:r>
    </w:p>
    <w:p w:rsidR="00864BFD" w:rsidRPr="006E4546" w:rsidRDefault="00864BFD" w:rsidP="00864BFD">
      <w:pPr>
        <w:jc w:val="both"/>
        <w:rPr>
          <w:i/>
          <w:szCs w:val="22"/>
        </w:rPr>
      </w:pPr>
    </w:p>
    <w:p w:rsidR="00864BFD" w:rsidRPr="003A1A2E" w:rsidRDefault="00864BFD" w:rsidP="00864BFD">
      <w:pPr>
        <w:pStyle w:val="Caption"/>
        <w:jc w:val="both"/>
      </w:pPr>
      <w:r>
        <w:t>T</w:t>
      </w:r>
      <w:r w:rsidRPr="003A1A2E">
        <w:t xml:space="preserve">able </w:t>
      </w:r>
      <w:r>
        <w:t>3</w:t>
      </w:r>
    </w:p>
    <w:p w:rsidR="00864BFD" w:rsidRPr="009A7099" w:rsidRDefault="00864BFD" w:rsidP="00864BFD">
      <w:pPr>
        <w:pStyle w:val="Tablelabel"/>
        <w:jc w:val="both"/>
      </w:pPr>
      <w:bookmarkStart w:id="3" w:name="_Toc346198646"/>
      <w:proofErr w:type="gramStart"/>
      <w:r>
        <w:t>Proportion of young domestic graduates who were in New Zealand who were in employment and in further study in the first and fifth years after study by qualification level.</w:t>
      </w:r>
      <w:bookmarkEnd w:id="3"/>
      <w:proofErr w:type="gramEnd"/>
      <w:r>
        <w:t xml:space="preserve"> </w:t>
      </w:r>
    </w:p>
    <w:tbl>
      <w:tblPr>
        <w:tblW w:w="8460" w:type="dxa"/>
        <w:tblLayout w:type="fixed"/>
        <w:tblLook w:val="04A0"/>
      </w:tblPr>
      <w:tblGrid>
        <w:gridCol w:w="4066"/>
        <w:gridCol w:w="1098"/>
        <w:gridCol w:w="1099"/>
        <w:gridCol w:w="1098"/>
        <w:gridCol w:w="1099"/>
      </w:tblGrid>
      <w:tr w:rsidR="00864BFD" w:rsidRPr="00AA6192" w:rsidTr="00864BFD">
        <w:trPr>
          <w:trHeight w:val="235"/>
        </w:trPr>
        <w:tc>
          <w:tcPr>
            <w:tcW w:w="4066" w:type="dxa"/>
            <w:vMerge w:val="restart"/>
            <w:tcBorders>
              <w:top w:val="single" w:sz="4" w:space="0" w:color="auto"/>
              <w:left w:val="single" w:sz="4" w:space="0" w:color="auto"/>
              <w:right w:val="single" w:sz="4" w:space="0" w:color="auto"/>
            </w:tcBorders>
            <w:vAlign w:val="center"/>
          </w:tcPr>
          <w:p w:rsidR="00864BFD" w:rsidRDefault="00864BFD" w:rsidP="00864BFD">
            <w:pPr>
              <w:pStyle w:val="Tableheading"/>
              <w:jc w:val="both"/>
              <w:rPr>
                <w:lang w:eastAsia="en-NZ"/>
              </w:rPr>
            </w:pPr>
            <w:r>
              <w:rPr>
                <w:lang w:eastAsia="en-NZ"/>
              </w:rPr>
              <w:t>Qualification level</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BFD" w:rsidRPr="00987837" w:rsidRDefault="00864BFD" w:rsidP="002A52DC">
            <w:pPr>
              <w:pStyle w:val="Tableheading"/>
              <w:rPr>
                <w:lang w:eastAsia="en-NZ"/>
              </w:rPr>
            </w:pPr>
            <w:r>
              <w:rPr>
                <w:lang w:eastAsia="en-NZ"/>
              </w:rPr>
              <w:t>One year after study</w:t>
            </w:r>
          </w:p>
        </w:tc>
        <w:tc>
          <w:tcPr>
            <w:tcW w:w="2197" w:type="dxa"/>
            <w:gridSpan w:val="2"/>
            <w:tcBorders>
              <w:top w:val="single" w:sz="4" w:space="0" w:color="auto"/>
              <w:left w:val="single" w:sz="4" w:space="0" w:color="auto"/>
              <w:bottom w:val="single" w:sz="4" w:space="0" w:color="auto"/>
              <w:right w:val="single" w:sz="4" w:space="0" w:color="auto"/>
            </w:tcBorders>
          </w:tcPr>
          <w:p w:rsidR="00864BFD" w:rsidRDefault="00864BFD" w:rsidP="002A52DC">
            <w:pPr>
              <w:pStyle w:val="Tableheading"/>
              <w:rPr>
                <w:lang w:eastAsia="en-NZ"/>
              </w:rPr>
            </w:pPr>
            <w:r>
              <w:rPr>
                <w:lang w:eastAsia="en-NZ"/>
              </w:rPr>
              <w:t>Five years after study</w:t>
            </w:r>
          </w:p>
        </w:tc>
      </w:tr>
      <w:tr w:rsidR="00864BFD" w:rsidRPr="00AA6192" w:rsidTr="00864BFD">
        <w:trPr>
          <w:trHeight w:val="235"/>
        </w:trPr>
        <w:tc>
          <w:tcPr>
            <w:tcW w:w="4066" w:type="dxa"/>
            <w:vMerge/>
            <w:tcBorders>
              <w:left w:val="single" w:sz="4" w:space="0" w:color="auto"/>
              <w:bottom w:val="single" w:sz="4" w:space="0" w:color="auto"/>
              <w:right w:val="single" w:sz="4" w:space="0" w:color="auto"/>
            </w:tcBorders>
          </w:tcPr>
          <w:p w:rsidR="00864BFD" w:rsidRPr="00987837" w:rsidRDefault="00864BFD" w:rsidP="00864BFD">
            <w:pPr>
              <w:pStyle w:val="Tableheading"/>
              <w:jc w:val="both"/>
              <w:rPr>
                <w:lang w:eastAsia="en-NZ"/>
              </w:rPr>
            </w:pPr>
          </w:p>
        </w:tc>
        <w:tc>
          <w:tcPr>
            <w:tcW w:w="1098" w:type="dxa"/>
            <w:tcBorders>
              <w:top w:val="single" w:sz="4" w:space="0" w:color="auto"/>
              <w:left w:val="single" w:sz="4" w:space="0" w:color="auto"/>
              <w:bottom w:val="single" w:sz="4" w:space="0" w:color="auto"/>
            </w:tcBorders>
            <w:shd w:val="clear" w:color="auto" w:fill="auto"/>
            <w:noWrap/>
            <w:vAlign w:val="center"/>
            <w:hideMark/>
          </w:tcPr>
          <w:p w:rsidR="00864BFD" w:rsidRPr="00604DDD" w:rsidRDefault="00864BFD" w:rsidP="002A52DC">
            <w:pPr>
              <w:pStyle w:val="Tableheading"/>
              <w:rPr>
                <w:sz w:val="14"/>
                <w:szCs w:val="14"/>
                <w:lang w:eastAsia="en-NZ"/>
              </w:rPr>
            </w:pPr>
            <w:r w:rsidRPr="00604DDD">
              <w:rPr>
                <w:sz w:val="14"/>
                <w:szCs w:val="14"/>
                <w:lang w:eastAsia="en-NZ"/>
              </w:rPr>
              <w:t>In employment</w:t>
            </w:r>
          </w:p>
        </w:tc>
        <w:tc>
          <w:tcPr>
            <w:tcW w:w="1099" w:type="dxa"/>
            <w:tcBorders>
              <w:top w:val="single" w:sz="4" w:space="0" w:color="auto"/>
              <w:bottom w:val="single" w:sz="4" w:space="0" w:color="auto"/>
              <w:right w:val="single" w:sz="4" w:space="0" w:color="auto"/>
            </w:tcBorders>
            <w:shd w:val="clear" w:color="auto" w:fill="auto"/>
            <w:noWrap/>
            <w:vAlign w:val="center"/>
            <w:hideMark/>
          </w:tcPr>
          <w:p w:rsidR="00864BFD" w:rsidRPr="00604DDD" w:rsidRDefault="00864BFD" w:rsidP="002A52DC">
            <w:pPr>
              <w:pStyle w:val="Tableheading"/>
              <w:rPr>
                <w:sz w:val="14"/>
                <w:szCs w:val="14"/>
                <w:lang w:eastAsia="en-NZ"/>
              </w:rPr>
            </w:pPr>
            <w:r w:rsidRPr="00604DDD">
              <w:rPr>
                <w:sz w:val="14"/>
                <w:szCs w:val="14"/>
                <w:lang w:eastAsia="en-NZ"/>
              </w:rPr>
              <w:t>In further study</w:t>
            </w:r>
          </w:p>
        </w:tc>
        <w:tc>
          <w:tcPr>
            <w:tcW w:w="1098" w:type="dxa"/>
            <w:tcBorders>
              <w:top w:val="single" w:sz="4" w:space="0" w:color="auto"/>
              <w:left w:val="single" w:sz="4" w:space="0" w:color="auto"/>
              <w:bottom w:val="single" w:sz="4" w:space="0" w:color="auto"/>
            </w:tcBorders>
            <w:shd w:val="clear" w:color="auto" w:fill="auto"/>
            <w:noWrap/>
            <w:vAlign w:val="center"/>
            <w:hideMark/>
          </w:tcPr>
          <w:p w:rsidR="00864BFD" w:rsidRPr="00604DDD" w:rsidRDefault="00864BFD" w:rsidP="002A52DC">
            <w:pPr>
              <w:pStyle w:val="Tableheading"/>
              <w:rPr>
                <w:sz w:val="14"/>
                <w:szCs w:val="14"/>
                <w:lang w:eastAsia="en-NZ"/>
              </w:rPr>
            </w:pPr>
            <w:r w:rsidRPr="00604DDD">
              <w:rPr>
                <w:sz w:val="14"/>
                <w:szCs w:val="14"/>
                <w:lang w:eastAsia="en-NZ"/>
              </w:rPr>
              <w:t>In employment</w:t>
            </w:r>
          </w:p>
        </w:tc>
        <w:tc>
          <w:tcPr>
            <w:tcW w:w="1099" w:type="dxa"/>
            <w:tcBorders>
              <w:top w:val="single" w:sz="4" w:space="0" w:color="auto"/>
              <w:bottom w:val="single" w:sz="4" w:space="0" w:color="auto"/>
              <w:right w:val="single" w:sz="4" w:space="0" w:color="auto"/>
            </w:tcBorders>
            <w:vAlign w:val="center"/>
          </w:tcPr>
          <w:p w:rsidR="00864BFD" w:rsidRPr="00604DDD" w:rsidRDefault="00864BFD" w:rsidP="002A52DC">
            <w:pPr>
              <w:pStyle w:val="Tableheading"/>
              <w:rPr>
                <w:sz w:val="14"/>
                <w:szCs w:val="14"/>
                <w:lang w:eastAsia="en-NZ"/>
              </w:rPr>
            </w:pPr>
            <w:r w:rsidRPr="00604DDD">
              <w:rPr>
                <w:sz w:val="14"/>
                <w:szCs w:val="14"/>
                <w:lang w:eastAsia="en-NZ"/>
              </w:rPr>
              <w:t>In further study</w:t>
            </w:r>
          </w:p>
        </w:tc>
      </w:tr>
      <w:tr w:rsidR="00864BFD" w:rsidRPr="00AA6192" w:rsidTr="00060161">
        <w:trPr>
          <w:trHeight w:val="235"/>
        </w:trPr>
        <w:tc>
          <w:tcPr>
            <w:tcW w:w="4066" w:type="dxa"/>
            <w:tcBorders>
              <w:top w:val="single" w:sz="4" w:space="0" w:color="auto"/>
              <w:left w:val="single" w:sz="4" w:space="0" w:color="auto"/>
              <w:bottom w:val="nil"/>
              <w:right w:val="single" w:sz="4" w:space="0" w:color="auto"/>
            </w:tcBorders>
            <w:vAlign w:val="center"/>
          </w:tcPr>
          <w:p w:rsidR="00864BFD" w:rsidRDefault="00864BFD" w:rsidP="00864BFD">
            <w:pPr>
              <w:pStyle w:val="Tabletext"/>
              <w:jc w:val="both"/>
            </w:pPr>
            <w:r>
              <w:t>Doctorate</w:t>
            </w:r>
          </w:p>
        </w:tc>
        <w:tc>
          <w:tcPr>
            <w:tcW w:w="1098" w:type="dxa"/>
            <w:tcBorders>
              <w:top w:val="single" w:sz="4" w:space="0" w:color="auto"/>
              <w:left w:val="single" w:sz="4" w:space="0" w:color="auto"/>
            </w:tcBorders>
            <w:shd w:val="clear" w:color="auto" w:fill="auto"/>
            <w:noWrap/>
            <w:vAlign w:val="center"/>
            <w:hideMark/>
          </w:tcPr>
          <w:p w:rsidR="00864BFD" w:rsidRPr="004A39DE" w:rsidRDefault="00864BFD" w:rsidP="00060161">
            <w:pPr>
              <w:jc w:val="center"/>
              <w:rPr>
                <w:sz w:val="15"/>
              </w:rPr>
            </w:pPr>
            <w:r w:rsidRPr="004A39DE">
              <w:rPr>
                <w:sz w:val="15"/>
              </w:rPr>
              <w:t>78%</w:t>
            </w:r>
          </w:p>
        </w:tc>
        <w:tc>
          <w:tcPr>
            <w:tcW w:w="1099" w:type="dxa"/>
            <w:tcBorders>
              <w:top w:val="single" w:sz="4" w:space="0" w:color="auto"/>
            </w:tcBorders>
            <w:shd w:val="clear" w:color="auto" w:fill="auto"/>
            <w:noWrap/>
            <w:vAlign w:val="center"/>
            <w:hideMark/>
          </w:tcPr>
          <w:p w:rsidR="00864BFD" w:rsidRPr="004A39DE" w:rsidRDefault="00864BFD" w:rsidP="00060161">
            <w:pPr>
              <w:jc w:val="center"/>
              <w:rPr>
                <w:sz w:val="15"/>
              </w:rPr>
            </w:pPr>
            <w:r w:rsidRPr="004A39DE">
              <w:rPr>
                <w:sz w:val="15"/>
              </w:rPr>
              <w:t>9%</w:t>
            </w:r>
          </w:p>
        </w:tc>
        <w:tc>
          <w:tcPr>
            <w:tcW w:w="1098" w:type="dxa"/>
            <w:tcBorders>
              <w:top w:val="single" w:sz="4" w:space="0" w:color="auto"/>
            </w:tcBorders>
            <w:shd w:val="clear" w:color="auto" w:fill="auto"/>
            <w:noWrap/>
            <w:vAlign w:val="center"/>
            <w:hideMark/>
          </w:tcPr>
          <w:p w:rsidR="00864BFD" w:rsidRPr="004A39DE" w:rsidRDefault="001F14D0" w:rsidP="0008412C">
            <w:pPr>
              <w:jc w:val="center"/>
              <w:rPr>
                <w:sz w:val="15"/>
              </w:rPr>
            </w:pPr>
            <w:r>
              <w:rPr>
                <w:sz w:val="15"/>
              </w:rPr>
              <w:t>82%</w:t>
            </w:r>
          </w:p>
        </w:tc>
        <w:tc>
          <w:tcPr>
            <w:tcW w:w="1099" w:type="dxa"/>
            <w:tcBorders>
              <w:top w:val="single" w:sz="4" w:space="0" w:color="auto"/>
              <w:right w:val="single" w:sz="4" w:space="0" w:color="auto"/>
            </w:tcBorders>
            <w:vAlign w:val="center"/>
          </w:tcPr>
          <w:p w:rsidR="00864BFD" w:rsidRPr="004A39DE" w:rsidRDefault="001F14D0" w:rsidP="00F74BE0">
            <w:pPr>
              <w:jc w:val="center"/>
              <w:rPr>
                <w:sz w:val="15"/>
              </w:rPr>
            </w:pPr>
            <w:r>
              <w:rPr>
                <w:sz w:val="15"/>
              </w:rPr>
              <w:t>7%</w:t>
            </w:r>
          </w:p>
        </w:tc>
      </w:tr>
      <w:tr w:rsidR="00864BFD" w:rsidRPr="00AA6192" w:rsidTr="00060161">
        <w:trPr>
          <w:trHeight w:val="235"/>
        </w:trPr>
        <w:tc>
          <w:tcPr>
            <w:tcW w:w="4066" w:type="dxa"/>
            <w:tcBorders>
              <w:left w:val="single" w:sz="4" w:space="0" w:color="auto"/>
              <w:bottom w:val="nil"/>
              <w:right w:val="single" w:sz="4" w:space="0" w:color="auto"/>
            </w:tcBorders>
            <w:vAlign w:val="center"/>
          </w:tcPr>
          <w:p w:rsidR="00864BFD" w:rsidRDefault="00864BFD" w:rsidP="00864BFD">
            <w:pPr>
              <w:pStyle w:val="Tabletext"/>
              <w:jc w:val="both"/>
            </w:pPr>
            <w:r>
              <w:t>Masters degree</w:t>
            </w:r>
          </w:p>
        </w:tc>
        <w:tc>
          <w:tcPr>
            <w:tcW w:w="1098" w:type="dxa"/>
            <w:tcBorders>
              <w:left w:val="single" w:sz="4" w:space="0" w:color="auto"/>
            </w:tcBorders>
            <w:shd w:val="clear" w:color="auto" w:fill="auto"/>
            <w:noWrap/>
            <w:vAlign w:val="center"/>
            <w:hideMark/>
          </w:tcPr>
          <w:p w:rsidR="00864BFD" w:rsidRPr="004A39DE" w:rsidRDefault="001F14D0" w:rsidP="0008412C">
            <w:pPr>
              <w:jc w:val="center"/>
              <w:rPr>
                <w:sz w:val="15"/>
              </w:rPr>
            </w:pPr>
            <w:r>
              <w:rPr>
                <w:sz w:val="15"/>
              </w:rPr>
              <w:t>65%</w:t>
            </w:r>
          </w:p>
        </w:tc>
        <w:tc>
          <w:tcPr>
            <w:tcW w:w="1099" w:type="dxa"/>
            <w:shd w:val="clear" w:color="auto" w:fill="auto"/>
            <w:noWrap/>
            <w:vAlign w:val="center"/>
            <w:hideMark/>
          </w:tcPr>
          <w:p w:rsidR="00864BFD" w:rsidRPr="004A39DE" w:rsidRDefault="00864BFD" w:rsidP="00060161">
            <w:pPr>
              <w:jc w:val="center"/>
              <w:rPr>
                <w:sz w:val="15"/>
              </w:rPr>
            </w:pPr>
            <w:r w:rsidRPr="004A39DE">
              <w:rPr>
                <w:sz w:val="15"/>
              </w:rPr>
              <w:t>24%</w:t>
            </w:r>
          </w:p>
        </w:tc>
        <w:tc>
          <w:tcPr>
            <w:tcW w:w="1098" w:type="dxa"/>
            <w:shd w:val="clear" w:color="auto" w:fill="auto"/>
            <w:noWrap/>
            <w:vAlign w:val="center"/>
            <w:hideMark/>
          </w:tcPr>
          <w:p w:rsidR="00864BFD" w:rsidRPr="004A39DE" w:rsidRDefault="001F14D0" w:rsidP="0008412C">
            <w:pPr>
              <w:jc w:val="center"/>
              <w:rPr>
                <w:sz w:val="15"/>
              </w:rPr>
            </w:pPr>
            <w:r>
              <w:rPr>
                <w:sz w:val="15"/>
              </w:rPr>
              <w:t>65%</w:t>
            </w:r>
          </w:p>
        </w:tc>
        <w:tc>
          <w:tcPr>
            <w:tcW w:w="1099" w:type="dxa"/>
            <w:tcBorders>
              <w:right w:val="single" w:sz="4" w:space="0" w:color="auto"/>
            </w:tcBorders>
            <w:vAlign w:val="center"/>
          </w:tcPr>
          <w:p w:rsidR="00864BFD" w:rsidRPr="004A39DE" w:rsidRDefault="00864BFD" w:rsidP="00060161">
            <w:pPr>
              <w:jc w:val="center"/>
              <w:rPr>
                <w:sz w:val="15"/>
              </w:rPr>
            </w:pPr>
            <w:r w:rsidRPr="004A39DE">
              <w:rPr>
                <w:sz w:val="15"/>
              </w:rPr>
              <w:t>23%</w:t>
            </w:r>
          </w:p>
        </w:tc>
      </w:tr>
      <w:tr w:rsidR="00864BFD" w:rsidRPr="00AA6192" w:rsidTr="00060161">
        <w:trPr>
          <w:trHeight w:val="235"/>
        </w:trPr>
        <w:tc>
          <w:tcPr>
            <w:tcW w:w="4066" w:type="dxa"/>
            <w:tcBorders>
              <w:left w:val="single" w:sz="4" w:space="0" w:color="auto"/>
              <w:bottom w:val="nil"/>
              <w:right w:val="single" w:sz="4" w:space="0" w:color="auto"/>
            </w:tcBorders>
            <w:vAlign w:val="center"/>
          </w:tcPr>
          <w:p w:rsidR="00864BFD" w:rsidRDefault="00864BFD" w:rsidP="00864BFD">
            <w:pPr>
              <w:pStyle w:val="Tabletext"/>
              <w:jc w:val="both"/>
            </w:pPr>
            <w:r>
              <w:t>Level 8 qualification – bachelors honours, pg dip or cert</w:t>
            </w:r>
          </w:p>
        </w:tc>
        <w:tc>
          <w:tcPr>
            <w:tcW w:w="1098" w:type="dxa"/>
            <w:tcBorders>
              <w:left w:val="single" w:sz="4" w:space="0" w:color="auto"/>
            </w:tcBorders>
            <w:shd w:val="clear" w:color="auto" w:fill="auto"/>
            <w:noWrap/>
            <w:vAlign w:val="center"/>
            <w:hideMark/>
          </w:tcPr>
          <w:p w:rsidR="00864BFD" w:rsidRPr="004A39DE" w:rsidRDefault="001F14D0" w:rsidP="0008412C">
            <w:pPr>
              <w:jc w:val="center"/>
              <w:rPr>
                <w:sz w:val="15"/>
              </w:rPr>
            </w:pPr>
            <w:r>
              <w:rPr>
                <w:sz w:val="15"/>
              </w:rPr>
              <w:t>54%</w:t>
            </w:r>
          </w:p>
        </w:tc>
        <w:tc>
          <w:tcPr>
            <w:tcW w:w="1099" w:type="dxa"/>
            <w:shd w:val="clear" w:color="auto" w:fill="auto"/>
            <w:noWrap/>
            <w:vAlign w:val="center"/>
            <w:hideMark/>
          </w:tcPr>
          <w:p w:rsidR="00864BFD" w:rsidRPr="004A39DE" w:rsidRDefault="001F14D0" w:rsidP="0008412C">
            <w:pPr>
              <w:jc w:val="center"/>
              <w:rPr>
                <w:sz w:val="15"/>
              </w:rPr>
            </w:pPr>
            <w:r>
              <w:rPr>
                <w:sz w:val="15"/>
              </w:rPr>
              <w:t>40%</w:t>
            </w:r>
          </w:p>
        </w:tc>
        <w:tc>
          <w:tcPr>
            <w:tcW w:w="1098" w:type="dxa"/>
            <w:shd w:val="clear" w:color="auto" w:fill="auto"/>
            <w:noWrap/>
            <w:vAlign w:val="center"/>
            <w:hideMark/>
          </w:tcPr>
          <w:p w:rsidR="00864BFD" w:rsidRPr="004A39DE" w:rsidRDefault="00864BFD" w:rsidP="00060161">
            <w:pPr>
              <w:jc w:val="center"/>
              <w:rPr>
                <w:sz w:val="15"/>
              </w:rPr>
            </w:pPr>
            <w:r w:rsidRPr="004A39DE">
              <w:rPr>
                <w:sz w:val="15"/>
              </w:rPr>
              <w:t>71%</w:t>
            </w:r>
          </w:p>
        </w:tc>
        <w:tc>
          <w:tcPr>
            <w:tcW w:w="1099" w:type="dxa"/>
            <w:tcBorders>
              <w:right w:val="single" w:sz="4" w:space="0" w:color="auto"/>
            </w:tcBorders>
            <w:vAlign w:val="center"/>
          </w:tcPr>
          <w:p w:rsidR="00864BFD" w:rsidRPr="004A39DE" w:rsidRDefault="00864BFD" w:rsidP="00060161">
            <w:pPr>
              <w:jc w:val="center"/>
              <w:rPr>
                <w:sz w:val="15"/>
              </w:rPr>
            </w:pPr>
            <w:r w:rsidRPr="004A39DE">
              <w:rPr>
                <w:sz w:val="15"/>
              </w:rPr>
              <w:t>22%</w:t>
            </w:r>
          </w:p>
        </w:tc>
      </w:tr>
      <w:tr w:rsidR="00864BFD" w:rsidRPr="00AA6192" w:rsidTr="00060161">
        <w:trPr>
          <w:trHeight w:val="235"/>
        </w:trPr>
        <w:tc>
          <w:tcPr>
            <w:tcW w:w="4066" w:type="dxa"/>
            <w:tcBorders>
              <w:left w:val="single" w:sz="4" w:space="0" w:color="auto"/>
              <w:bottom w:val="nil"/>
              <w:right w:val="single" w:sz="4" w:space="0" w:color="auto"/>
            </w:tcBorders>
            <w:vAlign w:val="center"/>
          </w:tcPr>
          <w:p w:rsidR="00864BFD" w:rsidRDefault="00864BFD" w:rsidP="00864BFD">
            <w:pPr>
              <w:pStyle w:val="Tabletext"/>
              <w:jc w:val="both"/>
            </w:pPr>
            <w:r>
              <w:t>Graduate certificate or diploma</w:t>
            </w:r>
          </w:p>
        </w:tc>
        <w:tc>
          <w:tcPr>
            <w:tcW w:w="1098" w:type="dxa"/>
            <w:tcBorders>
              <w:left w:val="single" w:sz="4" w:space="0" w:color="auto"/>
            </w:tcBorders>
            <w:shd w:val="clear" w:color="auto" w:fill="auto"/>
            <w:noWrap/>
            <w:vAlign w:val="center"/>
            <w:hideMark/>
          </w:tcPr>
          <w:p w:rsidR="00864BFD" w:rsidRPr="004A39DE" w:rsidRDefault="00864BFD" w:rsidP="00060161">
            <w:pPr>
              <w:jc w:val="center"/>
              <w:rPr>
                <w:sz w:val="15"/>
              </w:rPr>
            </w:pPr>
            <w:r w:rsidRPr="004A39DE">
              <w:rPr>
                <w:sz w:val="15"/>
              </w:rPr>
              <w:t>77%</w:t>
            </w:r>
          </w:p>
        </w:tc>
        <w:tc>
          <w:tcPr>
            <w:tcW w:w="1099" w:type="dxa"/>
            <w:shd w:val="clear" w:color="auto" w:fill="auto"/>
            <w:noWrap/>
            <w:vAlign w:val="center"/>
            <w:hideMark/>
          </w:tcPr>
          <w:p w:rsidR="00864BFD" w:rsidRPr="004A39DE" w:rsidRDefault="00864BFD" w:rsidP="00060161">
            <w:pPr>
              <w:jc w:val="center"/>
              <w:rPr>
                <w:sz w:val="15"/>
              </w:rPr>
            </w:pPr>
            <w:r w:rsidRPr="004A39DE">
              <w:rPr>
                <w:sz w:val="15"/>
              </w:rPr>
              <w:t>17%</w:t>
            </w:r>
          </w:p>
        </w:tc>
        <w:tc>
          <w:tcPr>
            <w:tcW w:w="1098" w:type="dxa"/>
            <w:shd w:val="clear" w:color="auto" w:fill="auto"/>
            <w:noWrap/>
            <w:vAlign w:val="center"/>
            <w:hideMark/>
          </w:tcPr>
          <w:p w:rsidR="00864BFD" w:rsidRPr="004A39DE" w:rsidRDefault="001F14D0" w:rsidP="0008412C">
            <w:pPr>
              <w:jc w:val="center"/>
              <w:rPr>
                <w:sz w:val="15"/>
              </w:rPr>
            </w:pPr>
            <w:r>
              <w:rPr>
                <w:sz w:val="15"/>
              </w:rPr>
              <w:t>76%</w:t>
            </w:r>
          </w:p>
        </w:tc>
        <w:tc>
          <w:tcPr>
            <w:tcW w:w="1099" w:type="dxa"/>
            <w:tcBorders>
              <w:right w:val="single" w:sz="4" w:space="0" w:color="auto"/>
            </w:tcBorders>
            <w:vAlign w:val="center"/>
          </w:tcPr>
          <w:p w:rsidR="00864BFD" w:rsidRPr="004A39DE" w:rsidRDefault="00864BFD" w:rsidP="00060161">
            <w:pPr>
              <w:jc w:val="center"/>
              <w:rPr>
                <w:sz w:val="15"/>
              </w:rPr>
            </w:pPr>
            <w:r w:rsidRPr="004A39DE">
              <w:rPr>
                <w:sz w:val="15"/>
              </w:rPr>
              <w:t>13%</w:t>
            </w:r>
          </w:p>
        </w:tc>
      </w:tr>
      <w:tr w:rsidR="00864BFD" w:rsidRPr="00AA6192" w:rsidTr="00060161">
        <w:trPr>
          <w:trHeight w:val="235"/>
        </w:trPr>
        <w:tc>
          <w:tcPr>
            <w:tcW w:w="4066" w:type="dxa"/>
            <w:tcBorders>
              <w:left w:val="single" w:sz="4" w:space="0" w:color="auto"/>
              <w:bottom w:val="nil"/>
              <w:right w:val="single" w:sz="4" w:space="0" w:color="auto"/>
            </w:tcBorders>
            <w:vAlign w:val="center"/>
          </w:tcPr>
          <w:p w:rsidR="00864BFD" w:rsidRDefault="00864BFD" w:rsidP="00864BFD">
            <w:pPr>
              <w:pStyle w:val="Tabletext"/>
              <w:jc w:val="both"/>
            </w:pPr>
            <w:r>
              <w:t>Bachelors degree</w:t>
            </w:r>
          </w:p>
        </w:tc>
        <w:tc>
          <w:tcPr>
            <w:tcW w:w="1098" w:type="dxa"/>
            <w:tcBorders>
              <w:left w:val="single" w:sz="4" w:space="0" w:color="auto"/>
            </w:tcBorders>
            <w:shd w:val="clear" w:color="auto" w:fill="auto"/>
            <w:noWrap/>
            <w:vAlign w:val="center"/>
            <w:hideMark/>
          </w:tcPr>
          <w:p w:rsidR="00864BFD" w:rsidRPr="004A39DE" w:rsidRDefault="001F14D0" w:rsidP="0008412C">
            <w:pPr>
              <w:jc w:val="center"/>
              <w:rPr>
                <w:sz w:val="15"/>
              </w:rPr>
            </w:pPr>
            <w:r>
              <w:rPr>
                <w:sz w:val="15"/>
              </w:rPr>
              <w:t>53%</w:t>
            </w:r>
          </w:p>
        </w:tc>
        <w:tc>
          <w:tcPr>
            <w:tcW w:w="1099" w:type="dxa"/>
            <w:shd w:val="clear" w:color="auto" w:fill="auto"/>
            <w:noWrap/>
            <w:vAlign w:val="center"/>
            <w:hideMark/>
          </w:tcPr>
          <w:p w:rsidR="00864BFD" w:rsidRPr="004A39DE" w:rsidRDefault="00864BFD" w:rsidP="00060161">
            <w:pPr>
              <w:jc w:val="center"/>
              <w:rPr>
                <w:sz w:val="15"/>
              </w:rPr>
            </w:pPr>
            <w:r>
              <w:rPr>
                <w:sz w:val="15"/>
              </w:rPr>
              <w:t>40</w:t>
            </w:r>
            <w:r w:rsidRPr="004A39DE">
              <w:rPr>
                <w:sz w:val="15"/>
              </w:rPr>
              <w:t>%</w:t>
            </w:r>
          </w:p>
        </w:tc>
        <w:tc>
          <w:tcPr>
            <w:tcW w:w="1098" w:type="dxa"/>
            <w:shd w:val="clear" w:color="auto" w:fill="auto"/>
            <w:noWrap/>
            <w:vAlign w:val="center"/>
            <w:hideMark/>
          </w:tcPr>
          <w:p w:rsidR="00864BFD" w:rsidRPr="004A39DE" w:rsidRDefault="00864BFD" w:rsidP="00060161">
            <w:pPr>
              <w:jc w:val="center"/>
              <w:rPr>
                <w:sz w:val="15"/>
              </w:rPr>
            </w:pPr>
            <w:r>
              <w:rPr>
                <w:sz w:val="15"/>
              </w:rPr>
              <w:t>70</w:t>
            </w:r>
            <w:r w:rsidRPr="004A39DE">
              <w:rPr>
                <w:sz w:val="15"/>
              </w:rPr>
              <w:t>%</w:t>
            </w:r>
          </w:p>
        </w:tc>
        <w:tc>
          <w:tcPr>
            <w:tcW w:w="1099" w:type="dxa"/>
            <w:tcBorders>
              <w:right w:val="single" w:sz="4" w:space="0" w:color="auto"/>
            </w:tcBorders>
            <w:vAlign w:val="center"/>
          </w:tcPr>
          <w:p w:rsidR="00864BFD" w:rsidRPr="004A39DE" w:rsidRDefault="00864BFD" w:rsidP="00060161">
            <w:pPr>
              <w:jc w:val="center"/>
              <w:rPr>
                <w:sz w:val="15"/>
              </w:rPr>
            </w:pPr>
            <w:r w:rsidRPr="004A39DE">
              <w:rPr>
                <w:sz w:val="15"/>
              </w:rPr>
              <w:t>20%</w:t>
            </w:r>
          </w:p>
        </w:tc>
      </w:tr>
      <w:tr w:rsidR="00864BFD" w:rsidRPr="00AA6192" w:rsidTr="00060161">
        <w:trPr>
          <w:trHeight w:val="235"/>
        </w:trPr>
        <w:tc>
          <w:tcPr>
            <w:tcW w:w="4066" w:type="dxa"/>
            <w:tcBorders>
              <w:left w:val="single" w:sz="4" w:space="0" w:color="auto"/>
              <w:right w:val="single" w:sz="4" w:space="0" w:color="auto"/>
            </w:tcBorders>
            <w:vAlign w:val="center"/>
          </w:tcPr>
          <w:p w:rsidR="00864BFD" w:rsidRDefault="00864BFD" w:rsidP="00864BFD">
            <w:pPr>
              <w:pStyle w:val="Tabletext"/>
              <w:jc w:val="both"/>
            </w:pPr>
            <w:r>
              <w:t>Diploma at levels 5-7</w:t>
            </w:r>
          </w:p>
        </w:tc>
        <w:tc>
          <w:tcPr>
            <w:tcW w:w="1098" w:type="dxa"/>
            <w:tcBorders>
              <w:left w:val="single" w:sz="4" w:space="0" w:color="auto"/>
            </w:tcBorders>
            <w:shd w:val="clear" w:color="auto" w:fill="auto"/>
            <w:noWrap/>
            <w:vAlign w:val="center"/>
            <w:hideMark/>
          </w:tcPr>
          <w:p w:rsidR="00864BFD" w:rsidRPr="004A39DE" w:rsidRDefault="00864BFD" w:rsidP="00060161">
            <w:pPr>
              <w:jc w:val="center"/>
              <w:rPr>
                <w:sz w:val="15"/>
              </w:rPr>
            </w:pPr>
            <w:r>
              <w:rPr>
                <w:sz w:val="15"/>
              </w:rPr>
              <w:t>43</w:t>
            </w:r>
            <w:r w:rsidRPr="004A39DE">
              <w:rPr>
                <w:sz w:val="15"/>
              </w:rPr>
              <w:t>%</w:t>
            </w:r>
          </w:p>
        </w:tc>
        <w:tc>
          <w:tcPr>
            <w:tcW w:w="1099" w:type="dxa"/>
            <w:shd w:val="clear" w:color="auto" w:fill="auto"/>
            <w:noWrap/>
            <w:vAlign w:val="center"/>
            <w:hideMark/>
          </w:tcPr>
          <w:p w:rsidR="00864BFD" w:rsidRPr="004A39DE" w:rsidRDefault="00864BFD" w:rsidP="00060161">
            <w:pPr>
              <w:jc w:val="center"/>
              <w:rPr>
                <w:sz w:val="15"/>
              </w:rPr>
            </w:pPr>
            <w:r>
              <w:rPr>
                <w:sz w:val="15"/>
              </w:rPr>
              <w:t>49</w:t>
            </w:r>
            <w:r w:rsidRPr="004A39DE">
              <w:rPr>
                <w:sz w:val="15"/>
              </w:rPr>
              <w:t>%</w:t>
            </w:r>
          </w:p>
        </w:tc>
        <w:tc>
          <w:tcPr>
            <w:tcW w:w="1098" w:type="dxa"/>
            <w:shd w:val="clear" w:color="auto" w:fill="auto"/>
            <w:noWrap/>
            <w:vAlign w:val="center"/>
            <w:hideMark/>
          </w:tcPr>
          <w:p w:rsidR="00864BFD" w:rsidRPr="004A39DE" w:rsidRDefault="001F14D0" w:rsidP="0008412C">
            <w:pPr>
              <w:jc w:val="center"/>
              <w:rPr>
                <w:sz w:val="15"/>
              </w:rPr>
            </w:pPr>
            <w:r>
              <w:rPr>
                <w:sz w:val="15"/>
              </w:rPr>
              <w:t>61%</w:t>
            </w:r>
          </w:p>
        </w:tc>
        <w:tc>
          <w:tcPr>
            <w:tcW w:w="1099" w:type="dxa"/>
            <w:tcBorders>
              <w:right w:val="single" w:sz="4" w:space="0" w:color="auto"/>
            </w:tcBorders>
            <w:vAlign w:val="center"/>
          </w:tcPr>
          <w:p w:rsidR="00864BFD" w:rsidRPr="004A39DE" w:rsidRDefault="00864BFD" w:rsidP="00060161">
            <w:pPr>
              <w:jc w:val="center"/>
              <w:rPr>
                <w:sz w:val="15"/>
              </w:rPr>
            </w:pPr>
            <w:r w:rsidRPr="004A39DE">
              <w:rPr>
                <w:sz w:val="15"/>
              </w:rPr>
              <w:t>24%</w:t>
            </w:r>
          </w:p>
        </w:tc>
      </w:tr>
      <w:tr w:rsidR="00864BFD" w:rsidRPr="00AA6192" w:rsidTr="00060161">
        <w:trPr>
          <w:trHeight w:val="235"/>
        </w:trPr>
        <w:tc>
          <w:tcPr>
            <w:tcW w:w="4066" w:type="dxa"/>
            <w:tcBorders>
              <w:left w:val="single" w:sz="4" w:space="0" w:color="auto"/>
              <w:right w:val="single" w:sz="4" w:space="0" w:color="auto"/>
            </w:tcBorders>
            <w:vAlign w:val="center"/>
          </w:tcPr>
          <w:p w:rsidR="00864BFD" w:rsidRDefault="00864BFD" w:rsidP="00864BFD">
            <w:pPr>
              <w:pStyle w:val="Tabletext"/>
              <w:jc w:val="both"/>
            </w:pPr>
            <w:r>
              <w:t>Certificate at level 4</w:t>
            </w:r>
          </w:p>
        </w:tc>
        <w:tc>
          <w:tcPr>
            <w:tcW w:w="1098" w:type="dxa"/>
            <w:tcBorders>
              <w:left w:val="single" w:sz="4" w:space="0" w:color="auto"/>
            </w:tcBorders>
            <w:shd w:val="clear" w:color="auto" w:fill="auto"/>
            <w:noWrap/>
            <w:vAlign w:val="center"/>
            <w:hideMark/>
          </w:tcPr>
          <w:p w:rsidR="00864BFD" w:rsidRPr="004A39DE" w:rsidRDefault="00864BFD" w:rsidP="00060161">
            <w:pPr>
              <w:jc w:val="center"/>
              <w:rPr>
                <w:sz w:val="15"/>
              </w:rPr>
            </w:pPr>
            <w:r>
              <w:rPr>
                <w:sz w:val="15"/>
              </w:rPr>
              <w:t>36</w:t>
            </w:r>
            <w:r w:rsidRPr="004A39DE">
              <w:rPr>
                <w:sz w:val="15"/>
              </w:rPr>
              <w:t>%</w:t>
            </w:r>
          </w:p>
        </w:tc>
        <w:tc>
          <w:tcPr>
            <w:tcW w:w="1099" w:type="dxa"/>
            <w:shd w:val="clear" w:color="auto" w:fill="auto"/>
            <w:noWrap/>
            <w:vAlign w:val="center"/>
            <w:hideMark/>
          </w:tcPr>
          <w:p w:rsidR="00864BFD" w:rsidRPr="004A39DE" w:rsidRDefault="00864BFD" w:rsidP="00060161">
            <w:pPr>
              <w:jc w:val="center"/>
              <w:rPr>
                <w:sz w:val="15"/>
              </w:rPr>
            </w:pPr>
            <w:r>
              <w:rPr>
                <w:sz w:val="15"/>
              </w:rPr>
              <w:t>52</w:t>
            </w:r>
            <w:r w:rsidRPr="004A39DE">
              <w:rPr>
                <w:sz w:val="15"/>
              </w:rPr>
              <w:t>%</w:t>
            </w:r>
          </w:p>
        </w:tc>
        <w:tc>
          <w:tcPr>
            <w:tcW w:w="1098" w:type="dxa"/>
            <w:shd w:val="clear" w:color="auto" w:fill="auto"/>
            <w:noWrap/>
            <w:vAlign w:val="center"/>
            <w:hideMark/>
          </w:tcPr>
          <w:p w:rsidR="00864BFD" w:rsidRPr="004A39DE" w:rsidRDefault="001F14D0" w:rsidP="0008412C">
            <w:pPr>
              <w:jc w:val="center"/>
              <w:rPr>
                <w:sz w:val="15"/>
              </w:rPr>
            </w:pPr>
            <w:r>
              <w:rPr>
                <w:sz w:val="15"/>
              </w:rPr>
              <w:t>55%</w:t>
            </w:r>
          </w:p>
        </w:tc>
        <w:tc>
          <w:tcPr>
            <w:tcW w:w="1099" w:type="dxa"/>
            <w:tcBorders>
              <w:right w:val="single" w:sz="4" w:space="0" w:color="auto"/>
            </w:tcBorders>
            <w:vAlign w:val="center"/>
          </w:tcPr>
          <w:p w:rsidR="00864BFD" w:rsidRPr="004A39DE" w:rsidRDefault="00864BFD" w:rsidP="00060161">
            <w:pPr>
              <w:jc w:val="center"/>
              <w:rPr>
                <w:sz w:val="15"/>
              </w:rPr>
            </w:pPr>
            <w:r w:rsidRPr="004A39DE">
              <w:rPr>
                <w:sz w:val="15"/>
              </w:rPr>
              <w:t>30%</w:t>
            </w:r>
          </w:p>
        </w:tc>
      </w:tr>
      <w:tr w:rsidR="00864BFD" w:rsidRPr="00AA6192" w:rsidTr="00060161">
        <w:trPr>
          <w:trHeight w:val="235"/>
        </w:trPr>
        <w:tc>
          <w:tcPr>
            <w:tcW w:w="4066" w:type="dxa"/>
            <w:tcBorders>
              <w:left w:val="single" w:sz="4" w:space="0" w:color="auto"/>
              <w:bottom w:val="single" w:sz="4" w:space="0" w:color="auto"/>
              <w:right w:val="single" w:sz="4" w:space="0" w:color="auto"/>
            </w:tcBorders>
            <w:vAlign w:val="center"/>
          </w:tcPr>
          <w:p w:rsidR="00864BFD" w:rsidRDefault="00864BFD" w:rsidP="00864BFD">
            <w:pPr>
              <w:pStyle w:val="Tabletext"/>
              <w:jc w:val="both"/>
            </w:pPr>
            <w:r>
              <w:t>Certificate at levels 1-3</w:t>
            </w:r>
          </w:p>
        </w:tc>
        <w:tc>
          <w:tcPr>
            <w:tcW w:w="1098" w:type="dxa"/>
            <w:tcBorders>
              <w:left w:val="single" w:sz="4" w:space="0" w:color="auto"/>
              <w:bottom w:val="single" w:sz="4" w:space="0" w:color="auto"/>
            </w:tcBorders>
            <w:shd w:val="clear" w:color="auto" w:fill="auto"/>
            <w:noWrap/>
            <w:vAlign w:val="center"/>
            <w:hideMark/>
          </w:tcPr>
          <w:p w:rsidR="00864BFD" w:rsidRPr="004A39DE" w:rsidRDefault="001F14D0" w:rsidP="0008412C">
            <w:pPr>
              <w:jc w:val="center"/>
              <w:rPr>
                <w:sz w:val="15"/>
              </w:rPr>
            </w:pPr>
            <w:r>
              <w:rPr>
                <w:sz w:val="15"/>
              </w:rPr>
              <w:t>34%</w:t>
            </w:r>
          </w:p>
        </w:tc>
        <w:tc>
          <w:tcPr>
            <w:tcW w:w="1099" w:type="dxa"/>
            <w:tcBorders>
              <w:bottom w:val="single" w:sz="4" w:space="0" w:color="auto"/>
            </w:tcBorders>
            <w:shd w:val="clear" w:color="auto" w:fill="auto"/>
            <w:noWrap/>
            <w:vAlign w:val="center"/>
            <w:hideMark/>
          </w:tcPr>
          <w:p w:rsidR="00864BFD" w:rsidRPr="004A39DE" w:rsidRDefault="00864BFD" w:rsidP="00060161">
            <w:pPr>
              <w:jc w:val="center"/>
              <w:rPr>
                <w:sz w:val="15"/>
              </w:rPr>
            </w:pPr>
            <w:r>
              <w:rPr>
                <w:sz w:val="15"/>
              </w:rPr>
              <w:t>49</w:t>
            </w:r>
            <w:r w:rsidRPr="004A39DE">
              <w:rPr>
                <w:sz w:val="15"/>
              </w:rPr>
              <w:t>%</w:t>
            </w:r>
          </w:p>
        </w:tc>
        <w:tc>
          <w:tcPr>
            <w:tcW w:w="1098" w:type="dxa"/>
            <w:tcBorders>
              <w:bottom w:val="single" w:sz="4" w:space="0" w:color="auto"/>
            </w:tcBorders>
            <w:shd w:val="clear" w:color="auto" w:fill="auto"/>
            <w:noWrap/>
            <w:vAlign w:val="center"/>
            <w:hideMark/>
          </w:tcPr>
          <w:p w:rsidR="00864BFD" w:rsidRPr="004A39DE" w:rsidRDefault="00864BFD" w:rsidP="00060161">
            <w:pPr>
              <w:jc w:val="center"/>
              <w:rPr>
                <w:sz w:val="15"/>
              </w:rPr>
            </w:pPr>
            <w:r>
              <w:rPr>
                <w:sz w:val="15"/>
              </w:rPr>
              <w:t>51</w:t>
            </w:r>
            <w:r w:rsidRPr="004A39DE">
              <w:rPr>
                <w:sz w:val="15"/>
              </w:rPr>
              <w:t>%</w:t>
            </w:r>
          </w:p>
        </w:tc>
        <w:tc>
          <w:tcPr>
            <w:tcW w:w="1099" w:type="dxa"/>
            <w:tcBorders>
              <w:bottom w:val="single" w:sz="4" w:space="0" w:color="auto"/>
              <w:right w:val="single" w:sz="4" w:space="0" w:color="auto"/>
            </w:tcBorders>
            <w:vAlign w:val="center"/>
          </w:tcPr>
          <w:p w:rsidR="00864BFD" w:rsidRPr="004A39DE" w:rsidRDefault="00864BFD" w:rsidP="00060161">
            <w:pPr>
              <w:jc w:val="center"/>
              <w:rPr>
                <w:sz w:val="15"/>
              </w:rPr>
            </w:pPr>
            <w:r>
              <w:rPr>
                <w:sz w:val="15"/>
              </w:rPr>
              <w:t>29</w:t>
            </w:r>
            <w:r w:rsidRPr="004A39DE">
              <w:rPr>
                <w:sz w:val="15"/>
              </w:rPr>
              <w:t>%</w:t>
            </w:r>
          </w:p>
        </w:tc>
      </w:tr>
    </w:tbl>
    <w:p w:rsidR="00864BFD" w:rsidRDefault="00864BFD" w:rsidP="00864BFD">
      <w:pPr>
        <w:pStyle w:val="Note"/>
        <w:jc w:val="both"/>
      </w:pPr>
      <w:r>
        <w:t xml:space="preserve">Source: Statistics New Zealand, Integrated Data Infrastructure, Ministry of Education interpretation. </w:t>
      </w:r>
    </w:p>
    <w:p w:rsidR="00864BFD" w:rsidRDefault="00864BFD" w:rsidP="00864BFD">
      <w:pPr>
        <w:jc w:val="both"/>
        <w:rPr>
          <w:i/>
          <w:szCs w:val="22"/>
        </w:rPr>
      </w:pPr>
    </w:p>
    <w:p w:rsidR="00864BFD" w:rsidRDefault="00864BFD" w:rsidP="00864BFD">
      <w:pPr>
        <w:jc w:val="both"/>
        <w:rPr>
          <w:i/>
          <w:szCs w:val="22"/>
        </w:rPr>
      </w:pPr>
    </w:p>
    <w:p w:rsidR="00864BFD" w:rsidRDefault="00864BFD" w:rsidP="00864BFD">
      <w:pPr>
        <w:jc w:val="both"/>
        <w:rPr>
          <w:i/>
          <w:szCs w:val="22"/>
        </w:rPr>
      </w:pPr>
    </w:p>
    <w:p w:rsidR="0080183F" w:rsidRDefault="0080183F">
      <w:pPr>
        <w:rPr>
          <w:i/>
          <w:szCs w:val="22"/>
        </w:rPr>
      </w:pPr>
      <w:r>
        <w:rPr>
          <w:i/>
          <w:szCs w:val="22"/>
        </w:rPr>
        <w:br w:type="page"/>
      </w:r>
    </w:p>
    <w:p w:rsidR="00864BFD" w:rsidRPr="00A40949" w:rsidRDefault="00864BFD" w:rsidP="00A40949">
      <w:pPr>
        <w:pStyle w:val="BodyText"/>
        <w:rPr>
          <w:i/>
        </w:rPr>
      </w:pPr>
      <w:r w:rsidRPr="00A40949">
        <w:rPr>
          <w:i/>
        </w:rPr>
        <w:lastRenderedPageBreak/>
        <w:t>Table 3 shows that:</w:t>
      </w:r>
    </w:p>
    <w:p w:rsidR="00864BFD" w:rsidRPr="0080183F" w:rsidRDefault="00864BFD" w:rsidP="00864BFD">
      <w:pPr>
        <w:pStyle w:val="Bullet1"/>
        <w:rPr>
          <w:szCs w:val="22"/>
        </w:rPr>
      </w:pPr>
      <w:r w:rsidRPr="0080183F">
        <w:rPr>
          <w:szCs w:val="22"/>
        </w:rPr>
        <w:t xml:space="preserve">For qualifications at </w:t>
      </w:r>
      <w:proofErr w:type="gramStart"/>
      <w:r w:rsidRPr="0080183F">
        <w:rPr>
          <w:szCs w:val="22"/>
        </w:rPr>
        <w:t>bachelors</w:t>
      </w:r>
      <w:proofErr w:type="gramEnd"/>
      <w:r w:rsidRPr="0080183F">
        <w:rPr>
          <w:szCs w:val="22"/>
        </w:rPr>
        <w:t xml:space="preserve"> level and below, employment rates rise with the level of qualification.  They also rise over time – a high proportion of young graduates who undertake further study start that in the first year after completion and then continue on to gain employment by the fifth year after completion of their first qualification.</w:t>
      </w:r>
    </w:p>
    <w:p w:rsidR="00864BFD" w:rsidRPr="0080183F" w:rsidRDefault="00CB0569" w:rsidP="00864BFD">
      <w:pPr>
        <w:pStyle w:val="Bullet1"/>
        <w:rPr>
          <w:szCs w:val="22"/>
        </w:rPr>
      </w:pPr>
      <w:r>
        <w:rPr>
          <w:szCs w:val="22"/>
        </w:rPr>
        <w:t>Around</w:t>
      </w:r>
      <w:r w:rsidRPr="0080183F">
        <w:rPr>
          <w:szCs w:val="22"/>
        </w:rPr>
        <w:t xml:space="preserve"> </w:t>
      </w:r>
      <w:r w:rsidR="00864BFD" w:rsidRPr="0080183F">
        <w:rPr>
          <w:szCs w:val="22"/>
        </w:rPr>
        <w:t xml:space="preserve">half of young people who complete certificates go on to further study – reflecting the focus of many certificates in providing preparation for people to undertake study at higher levels.  Likewise a high proportion of young people who complete a level 5-7 diploma also continue on to further study.  </w:t>
      </w:r>
    </w:p>
    <w:p w:rsidR="00864BFD" w:rsidRDefault="00864BFD" w:rsidP="0080183F">
      <w:pPr>
        <w:pStyle w:val="Heading2"/>
      </w:pPr>
      <w:r>
        <w:t>The effects of the recession</w:t>
      </w:r>
    </w:p>
    <w:p w:rsidR="00864BFD" w:rsidRPr="0080183F" w:rsidRDefault="00864BFD" w:rsidP="00BD1DD4">
      <w:pPr>
        <w:pStyle w:val="BodyText"/>
      </w:pPr>
      <w:r w:rsidRPr="0080183F">
        <w:t xml:space="preserve">Like most developed countries, New Zealand’s economy went into recession over the 2008-2009 </w:t>
      </w:r>
      <w:proofErr w:type="gramStart"/>
      <w:r w:rsidRPr="0080183F">
        <w:t>period</w:t>
      </w:r>
      <w:proofErr w:type="gramEnd"/>
      <w:r w:rsidRPr="0080183F">
        <w:t xml:space="preserve"> and had not fully recovered by 2010.  This time period coincides with the period that we are looking at in both this update (which covers the 2010 and 2011 tax years) and in our original publication, </w:t>
      </w:r>
      <w:proofErr w:type="gramStart"/>
      <w:r w:rsidRPr="0080183F">
        <w:rPr>
          <w:i/>
        </w:rPr>
        <w:t>Moving</w:t>
      </w:r>
      <w:proofErr w:type="gramEnd"/>
      <w:r w:rsidRPr="0080183F">
        <w:rPr>
          <w:i/>
        </w:rPr>
        <w:t xml:space="preserve"> on up</w:t>
      </w:r>
      <w:r w:rsidRPr="0080183F">
        <w:t xml:space="preserve"> (which covers the 2009 and 2010 tax years).</w:t>
      </w:r>
    </w:p>
    <w:p w:rsidR="00864BFD" w:rsidRPr="0080183F" w:rsidRDefault="00864BFD" w:rsidP="00BD1DD4">
      <w:pPr>
        <w:pStyle w:val="BodyText"/>
        <w:rPr>
          <w:i/>
        </w:rPr>
      </w:pPr>
      <w:r w:rsidRPr="0080183F">
        <w:t xml:space="preserve">There is evidence that, as the country as a whole has pulled out of recession, the effects on young people have lingered.  We can see this effect on graduate earnings and destinations by comparing the results in this update with those in </w:t>
      </w:r>
      <w:r w:rsidRPr="0080183F">
        <w:rPr>
          <w:i/>
        </w:rPr>
        <w:t>Moving on up:</w:t>
      </w:r>
    </w:p>
    <w:p w:rsidR="00864BFD" w:rsidRPr="0080183F" w:rsidRDefault="00864BFD" w:rsidP="00864BFD">
      <w:pPr>
        <w:pStyle w:val="Bullet1"/>
        <w:rPr>
          <w:szCs w:val="22"/>
        </w:rPr>
      </w:pPr>
      <w:r w:rsidRPr="0080183F">
        <w:rPr>
          <w:szCs w:val="22"/>
        </w:rPr>
        <w:t xml:space="preserve">Comparing the new data with the corresponding numbers in </w:t>
      </w:r>
      <w:r w:rsidRPr="0080183F">
        <w:rPr>
          <w:i/>
          <w:szCs w:val="22"/>
        </w:rPr>
        <w:t xml:space="preserve">Moving on up </w:t>
      </w:r>
      <w:r w:rsidRPr="0080183F">
        <w:rPr>
          <w:szCs w:val="22"/>
        </w:rPr>
        <w:t>shows that graduate median earnings have dropped in real terms</w:t>
      </w:r>
      <w:r w:rsidRPr="0080183F">
        <w:rPr>
          <w:vertAlign w:val="superscript"/>
        </w:rPr>
        <w:footnoteReference w:id="3"/>
      </w:r>
      <w:r w:rsidRPr="0080183F">
        <w:rPr>
          <w:szCs w:val="22"/>
        </w:rPr>
        <w:t>, for most years after study and at almost all qualification levels.  The drop in earnings is greater at the lower quartile, suggesting that the recess</w:t>
      </w:r>
      <w:r w:rsidR="0080183F">
        <w:rPr>
          <w:szCs w:val="22"/>
        </w:rPr>
        <w:t xml:space="preserve">ion may have had a larger </w:t>
      </w:r>
      <w:r w:rsidR="002E2822">
        <w:rPr>
          <w:szCs w:val="22"/>
        </w:rPr>
        <w:t>e</w:t>
      </w:r>
      <w:r w:rsidRPr="0080183F">
        <w:rPr>
          <w:szCs w:val="22"/>
        </w:rPr>
        <w:t xml:space="preserve">ffect on those with lower earnings.  Although conditions have improved across the labour market as a whole, earnings have not moved to the same extent for young people and indeed have dropped in nominal terms in some cases. </w:t>
      </w:r>
    </w:p>
    <w:p w:rsidR="00864BFD" w:rsidRPr="0080183F" w:rsidRDefault="00864BFD" w:rsidP="00864BFD">
      <w:pPr>
        <w:pStyle w:val="Bullet1"/>
        <w:rPr>
          <w:szCs w:val="22"/>
        </w:rPr>
      </w:pPr>
      <w:r w:rsidRPr="0080183F">
        <w:rPr>
          <w:szCs w:val="22"/>
        </w:rPr>
        <w:t xml:space="preserve">Graduates with qualifications below bachelors level are less likely to gain employment and more likely to be on a benefit or doing further study.  </w:t>
      </w:r>
      <w:proofErr w:type="gramStart"/>
      <w:r w:rsidRPr="0080183F">
        <w:rPr>
          <w:szCs w:val="22"/>
        </w:rPr>
        <w:t>Bachelors</w:t>
      </w:r>
      <w:proofErr w:type="gramEnd"/>
      <w:r w:rsidRPr="0080183F">
        <w:rPr>
          <w:szCs w:val="22"/>
        </w:rPr>
        <w:t xml:space="preserve"> graduates have lower employment rates in the first year out of study.  But this effect is less apparent for graduates with postgraduate qualifications, indicating that these individuals have been relatively more shielded from the effects of the recession in terms of gaining employment.</w:t>
      </w:r>
    </w:p>
    <w:p w:rsidR="00864BFD" w:rsidRPr="0080183F" w:rsidRDefault="00864BFD" w:rsidP="00864BFD">
      <w:pPr>
        <w:pStyle w:val="Bullet1"/>
        <w:rPr>
          <w:szCs w:val="22"/>
        </w:rPr>
      </w:pPr>
      <w:r w:rsidRPr="0080183F">
        <w:rPr>
          <w:szCs w:val="22"/>
        </w:rPr>
        <w:t>However, five years after graduation, earnings for postgraduates have dropped more than those for graduates who studied lower qualifications.</w:t>
      </w:r>
    </w:p>
    <w:p w:rsidR="002E2822" w:rsidRDefault="002E2822" w:rsidP="00864BFD">
      <w:pPr>
        <w:pStyle w:val="Bullet1"/>
        <w:numPr>
          <w:ilvl w:val="0"/>
          <w:numId w:val="0"/>
        </w:numPr>
        <w:tabs>
          <w:tab w:val="clear" w:pos="284"/>
        </w:tabs>
        <w:rPr>
          <w:rFonts w:ascii="Arial" w:hAnsi="Arial" w:cs="Arial"/>
          <w:b/>
          <w:szCs w:val="22"/>
        </w:rPr>
      </w:pPr>
    </w:p>
    <w:p w:rsidR="002E2822" w:rsidRDefault="002E2822">
      <w:pPr>
        <w:rPr>
          <w:rFonts w:ascii="Arial" w:hAnsi="Arial"/>
          <w:sz w:val="28"/>
          <w:szCs w:val="28"/>
        </w:rPr>
      </w:pPr>
      <w:r>
        <w:br w:type="page"/>
      </w:r>
    </w:p>
    <w:p w:rsidR="00864BFD" w:rsidRPr="004031BB" w:rsidRDefault="00864BFD" w:rsidP="002E2822">
      <w:pPr>
        <w:pStyle w:val="Heading2"/>
      </w:pPr>
      <w:r w:rsidRPr="004031BB">
        <w:lastRenderedPageBreak/>
        <w:t>Technical notes</w:t>
      </w:r>
    </w:p>
    <w:p w:rsidR="00864BFD" w:rsidRPr="00BB4C59" w:rsidRDefault="00864BFD" w:rsidP="002E2822">
      <w:pPr>
        <w:pStyle w:val="Heading3"/>
      </w:pPr>
      <w:r w:rsidRPr="00BB4C59">
        <w:t>Graduate destinations</w:t>
      </w:r>
    </w:p>
    <w:p w:rsidR="00864BFD" w:rsidRPr="00C45A99" w:rsidRDefault="00864BFD" w:rsidP="005063C1">
      <w:pPr>
        <w:pStyle w:val="BodyText"/>
      </w:pPr>
      <w:r>
        <w:t>Destinations</w:t>
      </w:r>
      <w:r w:rsidRPr="00C45A99">
        <w:t xml:space="preserve"> are only determined for graduates who are in New Zealand in any particular year.  A graduate is regarded as being in New Zealand if, overall, they are in NZ for longer than three months in that tax year.</w:t>
      </w:r>
    </w:p>
    <w:p w:rsidR="00864BFD" w:rsidRPr="00BB4C59" w:rsidRDefault="00864BFD" w:rsidP="005063C1">
      <w:pPr>
        <w:pStyle w:val="BodyText"/>
      </w:pPr>
      <w:r w:rsidRPr="00BB4C59">
        <w:t>The graduate destinations used in this report are:</w:t>
      </w:r>
    </w:p>
    <w:p w:rsidR="00864BFD" w:rsidRPr="00BB4C59" w:rsidRDefault="00864BFD" w:rsidP="005063C1">
      <w:pPr>
        <w:pStyle w:val="Bullet1"/>
      </w:pPr>
      <w:r w:rsidRPr="00BB4C59">
        <w:t>Further study</w:t>
      </w:r>
    </w:p>
    <w:p w:rsidR="00864BFD" w:rsidRPr="00BB4C59" w:rsidRDefault="00864BFD" w:rsidP="005063C1">
      <w:pPr>
        <w:pStyle w:val="Bullet1"/>
      </w:pPr>
      <w:r w:rsidRPr="00BB4C59">
        <w:t xml:space="preserve">Receiving a benefit </w:t>
      </w:r>
    </w:p>
    <w:p w:rsidR="00864BFD" w:rsidRPr="00BB4C59" w:rsidRDefault="00864BFD" w:rsidP="005063C1">
      <w:pPr>
        <w:pStyle w:val="Bullet1"/>
      </w:pPr>
      <w:r w:rsidRPr="00BB4C59">
        <w:t>Employment</w:t>
      </w:r>
    </w:p>
    <w:p w:rsidR="00864BFD" w:rsidRPr="00BB4C59" w:rsidRDefault="00864BFD" w:rsidP="005063C1">
      <w:pPr>
        <w:pStyle w:val="Bullet1"/>
      </w:pPr>
      <w:r w:rsidRPr="00BB4C59">
        <w:t>Unknown/Other</w:t>
      </w:r>
    </w:p>
    <w:p w:rsidR="00864BFD" w:rsidRPr="00BB4C59" w:rsidRDefault="00864BFD" w:rsidP="005063C1">
      <w:pPr>
        <w:pStyle w:val="BodyText"/>
      </w:pPr>
      <w:r w:rsidRPr="00BB4C59">
        <w:t>Within each leaving cohort, graduates are assigned to only a single destination per year after study using the below business rules.  These rules take account of ‘substantiveness’ – how long a graduate is pursuing an activity – and a ‘predominance’ test – what is the ‘main’ activity.  Where a graduate meets the criteria for more than one destination, the destination is determined using the order of precedence: further study, receiving a benefit, employment, unknown/other.</w:t>
      </w:r>
    </w:p>
    <w:p w:rsidR="00864BFD" w:rsidRPr="00BB4C59" w:rsidRDefault="00864BFD" w:rsidP="005063C1">
      <w:pPr>
        <w:pStyle w:val="BodyText"/>
      </w:pPr>
      <w:r w:rsidRPr="00BB4C59">
        <w:t>Destinations are defined as follows:</w:t>
      </w:r>
    </w:p>
    <w:p w:rsidR="00864BFD" w:rsidRPr="00BB4C59" w:rsidRDefault="00864BFD" w:rsidP="005063C1">
      <w:pPr>
        <w:pStyle w:val="Bullet1"/>
      </w:pPr>
      <w:r w:rsidRPr="00BB4C59">
        <w:rPr>
          <w:i/>
        </w:rPr>
        <w:t>Further study</w:t>
      </w:r>
      <w:r w:rsidRPr="00BB4C59">
        <w:t xml:space="preserve"> – graduates who do any tertiary study in a calendar year.</w:t>
      </w:r>
    </w:p>
    <w:p w:rsidR="00864BFD" w:rsidRPr="00BB4C59" w:rsidRDefault="00864BFD" w:rsidP="005063C1">
      <w:pPr>
        <w:pStyle w:val="Bullet1"/>
      </w:pPr>
      <w:r w:rsidRPr="00BB4C59">
        <w:rPr>
          <w:i/>
        </w:rPr>
        <w:t>Receiving a benefit</w:t>
      </w:r>
      <w:r w:rsidRPr="00BB4C59">
        <w:t xml:space="preserve"> – graduates who are not classified in the </w:t>
      </w:r>
      <w:proofErr w:type="gramStart"/>
      <w:r w:rsidRPr="00BB4C59">
        <w:t>Further</w:t>
      </w:r>
      <w:proofErr w:type="gramEnd"/>
      <w:r w:rsidRPr="00BB4C59">
        <w:t xml:space="preserve"> study categor</w:t>
      </w:r>
      <w:r w:rsidR="001F14D0">
        <w:t>y</w:t>
      </w:r>
      <w:r w:rsidRPr="00BB4C59">
        <w:t xml:space="preserve"> and who are on a benefit for at least 4 months in a tax year and who are not in employment for a longer time than this. </w:t>
      </w:r>
    </w:p>
    <w:p w:rsidR="00864BFD" w:rsidRPr="00BB4C59" w:rsidRDefault="00864BFD" w:rsidP="005063C1">
      <w:pPr>
        <w:pStyle w:val="Bullet1"/>
      </w:pPr>
      <w:r w:rsidRPr="00BB4C59">
        <w:rPr>
          <w:i/>
        </w:rPr>
        <w:t>Employment</w:t>
      </w:r>
      <w:r w:rsidRPr="00BB4C59">
        <w:t xml:space="preserve"> – graduates who are not classified in any of the above categories and who receive wages and salary, paid parental leave and/or ACC compensation for at least four months or more in a tax year and/or receive any self-employment income.</w:t>
      </w:r>
    </w:p>
    <w:p w:rsidR="00864BFD" w:rsidRPr="00BB4C59" w:rsidRDefault="00864BFD" w:rsidP="005063C1">
      <w:pPr>
        <w:pStyle w:val="Bullet1"/>
      </w:pPr>
      <w:r w:rsidRPr="00BB4C59">
        <w:rPr>
          <w:i/>
        </w:rPr>
        <w:t>Other/Unknown</w:t>
      </w:r>
      <w:r w:rsidRPr="00BB4C59">
        <w:t xml:space="preserve"> – graduates who do not meet any of the above criteria, or for whom no matching data can be found in the IDI.</w:t>
      </w:r>
    </w:p>
    <w:p w:rsidR="00864BFD" w:rsidRDefault="00864BFD" w:rsidP="005063C1">
      <w:pPr>
        <w:pStyle w:val="BodyText"/>
      </w:pPr>
      <w:r>
        <w:t>Note that</w:t>
      </w:r>
      <w:r w:rsidRPr="00BB4C59">
        <w:t xml:space="preserve"> unlike </w:t>
      </w:r>
      <w:r w:rsidRPr="00BB4C59">
        <w:rPr>
          <w:i/>
        </w:rPr>
        <w:t>Moving on up</w:t>
      </w:r>
      <w:r w:rsidRPr="00BB4C59">
        <w:t>, the other/unknown and receiving a benefit destinations have not been combined for postgraduates in the updated data.</w:t>
      </w:r>
    </w:p>
    <w:p w:rsidR="00864BFD" w:rsidRPr="00B15860" w:rsidRDefault="00864BFD" w:rsidP="00B218DA">
      <w:pPr>
        <w:pStyle w:val="Heading3"/>
        <w:jc w:val="both"/>
      </w:pPr>
      <w:r w:rsidRPr="00B15860">
        <w:t xml:space="preserve">Completions </w:t>
      </w:r>
    </w:p>
    <w:p w:rsidR="00864BFD" w:rsidRDefault="00864BFD" w:rsidP="005555AE">
      <w:pPr>
        <w:pStyle w:val="BodyText"/>
        <w:rPr>
          <w:kern w:val="36"/>
          <w:lang w:val="en-GB" w:eastAsia="en-GB"/>
        </w:rPr>
      </w:pPr>
      <w:r w:rsidRPr="00B15860">
        <w:rPr>
          <w:kern w:val="36"/>
          <w:lang w:val="en-GB" w:eastAsia="en-GB"/>
        </w:rPr>
        <w:t xml:space="preserve">The analyses and results in this report only relate to students who have completed a qualification. Enrolments and completions must match by qualification code and level, and provider. Graduates may be included in the results more than once if they have completed a qualification in more than one field of study, or have completed more than one qualification if the qualifications are completed at different levels and/or in different years. </w:t>
      </w:r>
    </w:p>
    <w:p w:rsidR="00864BFD" w:rsidRPr="00B15860" w:rsidRDefault="00864BFD" w:rsidP="005555AE">
      <w:pPr>
        <w:pStyle w:val="BodyText"/>
        <w:rPr>
          <w:kern w:val="36"/>
          <w:lang w:val="en-GB" w:eastAsia="en-GB"/>
        </w:rPr>
      </w:pPr>
      <w:r w:rsidRPr="00B15860">
        <w:rPr>
          <w:kern w:val="36"/>
          <w:lang w:val="en-GB" w:eastAsia="en-GB"/>
        </w:rPr>
        <w:t xml:space="preserve">The year that a qualification is completed is assumed to be the last year of enrolment in that qualification. This is because sometimes completions are not recorded in the year that a student actually completes their qualification, for example due to administrative delays or other peculiarities. Completions are excluded in cases where the recorded completion </w:t>
      </w:r>
      <w:r>
        <w:rPr>
          <w:kern w:val="36"/>
          <w:lang w:val="en-GB" w:eastAsia="en-GB"/>
        </w:rPr>
        <w:t>is shown as having occurred</w:t>
      </w:r>
      <w:r w:rsidRPr="00B15860">
        <w:rPr>
          <w:kern w:val="36"/>
          <w:lang w:val="en-GB" w:eastAsia="en-GB"/>
        </w:rPr>
        <w:t xml:space="preserve"> three or more years before the last year of enrolment in that qualification. </w:t>
      </w:r>
    </w:p>
    <w:p w:rsidR="00864BFD" w:rsidRPr="00BB4C59" w:rsidRDefault="00864BFD" w:rsidP="00B218DA">
      <w:pPr>
        <w:pStyle w:val="Heading3"/>
        <w:jc w:val="both"/>
      </w:pPr>
      <w:r w:rsidRPr="00BB4C59">
        <w:lastRenderedPageBreak/>
        <w:t>Number of years post-study</w:t>
      </w:r>
    </w:p>
    <w:p w:rsidR="00864BFD" w:rsidRDefault="00864BFD" w:rsidP="005555AE">
      <w:pPr>
        <w:pStyle w:val="BodyText"/>
      </w:pPr>
      <w:r w:rsidRPr="00BB4C59">
        <w:t xml:space="preserve">The number of years post study are defined using tax years for earnings and all destinations except further study where calendar years are used.  Table </w:t>
      </w:r>
      <w:r w:rsidR="00057EF8">
        <w:t>4</w:t>
      </w:r>
      <w:r w:rsidR="00057EF8" w:rsidRPr="00BB4C59">
        <w:t xml:space="preserve"> </w:t>
      </w:r>
      <w:r w:rsidRPr="00BB4C59">
        <w:t>below shows how the aggregated cohorts align with tax and calendar years for each post study year.</w:t>
      </w:r>
    </w:p>
    <w:p w:rsidR="00864BFD" w:rsidRPr="00BB4C59" w:rsidRDefault="00864BFD" w:rsidP="00864BFD">
      <w:pPr>
        <w:pStyle w:val="Caption"/>
        <w:jc w:val="both"/>
      </w:pPr>
      <w:r w:rsidRPr="00BB4C59">
        <w:t xml:space="preserve">Table </w:t>
      </w:r>
      <w:r w:rsidR="00057EF8">
        <w:t>4</w:t>
      </w:r>
    </w:p>
    <w:p w:rsidR="00864BFD" w:rsidRPr="00BB4C59" w:rsidRDefault="00864BFD" w:rsidP="00864BFD">
      <w:pPr>
        <w:pStyle w:val="Tablelabel"/>
        <w:jc w:val="both"/>
      </w:pPr>
      <w:bookmarkStart w:id="4" w:name="_Toc346198687"/>
      <w:proofErr w:type="gramStart"/>
      <w:r w:rsidRPr="00BB4C59">
        <w:t>Alignment of cohorts with tax and calendar years.</w:t>
      </w:r>
      <w:bookmarkEnd w:id="4"/>
      <w:proofErr w:type="gramEnd"/>
    </w:p>
    <w:tbl>
      <w:tblPr>
        <w:tblW w:w="6538" w:type="dxa"/>
        <w:tblInd w:w="91" w:type="dxa"/>
        <w:tblLook w:val="04A0"/>
      </w:tblPr>
      <w:tblGrid>
        <w:gridCol w:w="760"/>
        <w:gridCol w:w="1668"/>
        <w:gridCol w:w="1984"/>
        <w:gridCol w:w="2126"/>
      </w:tblGrid>
      <w:tr w:rsidR="00864BFD" w:rsidRPr="00BB4C59" w:rsidTr="00CB1E93">
        <w:trPr>
          <w:trHeight w:val="315"/>
        </w:trPr>
        <w:tc>
          <w:tcPr>
            <w:tcW w:w="760" w:type="dxa"/>
            <w:tcBorders>
              <w:top w:val="single" w:sz="8" w:space="0" w:color="7F7F7F"/>
              <w:left w:val="single" w:sz="8" w:space="0" w:color="7F7F7F"/>
              <w:bottom w:val="single" w:sz="8" w:space="0" w:color="7F7F7F"/>
              <w:right w:val="single" w:sz="8" w:space="0" w:color="7F7F7F"/>
            </w:tcBorders>
            <w:shd w:val="clear" w:color="auto" w:fill="C4BC96" w:themeFill="background2" w:themeFillShade="BF"/>
            <w:vAlign w:val="center"/>
            <w:hideMark/>
          </w:tcPr>
          <w:p w:rsidR="00864BFD" w:rsidRPr="00BB4C59" w:rsidRDefault="00864BFD" w:rsidP="00864BFD">
            <w:pPr>
              <w:pStyle w:val="Tableheading"/>
              <w:jc w:val="both"/>
              <w:rPr>
                <w:rFonts w:cs="Arial"/>
                <w:lang w:eastAsia="en-NZ"/>
              </w:rPr>
            </w:pPr>
            <w:r w:rsidRPr="00BB4C59">
              <w:rPr>
                <w:rFonts w:cs="Arial"/>
                <w:lang w:eastAsia="en-NZ"/>
              </w:rPr>
              <w:t>Cohort</w:t>
            </w:r>
          </w:p>
        </w:tc>
        <w:tc>
          <w:tcPr>
            <w:tcW w:w="1668" w:type="dxa"/>
            <w:tcBorders>
              <w:top w:val="single" w:sz="8" w:space="0" w:color="7F7F7F"/>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heading"/>
              <w:rPr>
                <w:rFonts w:cs="Arial"/>
                <w:bCs/>
                <w:color w:val="000000"/>
                <w:szCs w:val="15"/>
                <w:lang w:eastAsia="en-NZ"/>
              </w:rPr>
            </w:pPr>
            <w:r w:rsidRPr="00BB4C59">
              <w:rPr>
                <w:rFonts w:cs="Arial"/>
                <w:bCs/>
                <w:color w:val="000000"/>
                <w:szCs w:val="15"/>
                <w:lang w:eastAsia="en-NZ"/>
              </w:rPr>
              <w:t>Years post study</w:t>
            </w:r>
          </w:p>
        </w:tc>
        <w:tc>
          <w:tcPr>
            <w:tcW w:w="1984" w:type="dxa"/>
            <w:tcBorders>
              <w:top w:val="single" w:sz="8" w:space="0" w:color="7F7F7F"/>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heading"/>
              <w:rPr>
                <w:rFonts w:cs="Arial"/>
                <w:bCs/>
                <w:color w:val="000000"/>
                <w:szCs w:val="15"/>
                <w:lang w:eastAsia="en-NZ"/>
              </w:rPr>
            </w:pPr>
            <w:r w:rsidRPr="00BB4C59">
              <w:rPr>
                <w:rFonts w:cs="Arial"/>
                <w:bCs/>
                <w:color w:val="000000"/>
                <w:szCs w:val="15"/>
                <w:lang w:eastAsia="en-NZ"/>
              </w:rPr>
              <w:t>Calendar year</w:t>
            </w:r>
          </w:p>
        </w:tc>
        <w:tc>
          <w:tcPr>
            <w:tcW w:w="2126" w:type="dxa"/>
            <w:tcBorders>
              <w:top w:val="single" w:sz="8" w:space="0" w:color="7F7F7F"/>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heading"/>
              <w:rPr>
                <w:rFonts w:cs="Arial"/>
                <w:bCs/>
                <w:color w:val="000000"/>
                <w:szCs w:val="15"/>
                <w:lang w:eastAsia="en-NZ"/>
              </w:rPr>
            </w:pPr>
            <w:r w:rsidRPr="00BB4C59">
              <w:rPr>
                <w:rFonts w:cs="Arial"/>
                <w:bCs/>
                <w:color w:val="000000"/>
                <w:szCs w:val="15"/>
                <w:lang w:eastAsia="en-NZ"/>
              </w:rPr>
              <w:t>Tax year</w:t>
            </w:r>
          </w:p>
        </w:tc>
      </w:tr>
      <w:tr w:rsidR="00864BFD" w:rsidRPr="00BB4C59" w:rsidTr="00CB1E93">
        <w:trPr>
          <w:trHeight w:val="300"/>
        </w:trPr>
        <w:tc>
          <w:tcPr>
            <w:tcW w:w="760" w:type="dxa"/>
            <w:tcBorders>
              <w:top w:val="nil"/>
              <w:left w:val="single" w:sz="8" w:space="0" w:color="7F7F7F"/>
              <w:bottom w:val="nil"/>
              <w:right w:val="single" w:sz="8" w:space="0" w:color="7F7F7F"/>
            </w:tcBorders>
            <w:shd w:val="clear" w:color="auto" w:fill="auto"/>
            <w:vAlign w:val="center"/>
            <w:hideMark/>
          </w:tcPr>
          <w:p w:rsidR="00864BFD" w:rsidRPr="00BB4C59" w:rsidRDefault="00864BFD" w:rsidP="00864BFD">
            <w:pPr>
              <w:pStyle w:val="Tabletext"/>
              <w:jc w:val="both"/>
              <w:rPr>
                <w:rFonts w:cs="Arial"/>
                <w:lang w:eastAsia="en-NZ"/>
              </w:rPr>
            </w:pPr>
            <w:r w:rsidRPr="00BB4C59">
              <w:rPr>
                <w:rFonts w:cs="Arial"/>
                <w:lang w:eastAsia="en-NZ"/>
              </w:rPr>
              <w:t>08/09</w:t>
            </w:r>
          </w:p>
        </w:tc>
        <w:tc>
          <w:tcPr>
            <w:tcW w:w="1668"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1</w:t>
            </w:r>
          </w:p>
        </w:tc>
        <w:tc>
          <w:tcPr>
            <w:tcW w:w="1984"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2009/2010</w:t>
            </w:r>
          </w:p>
        </w:tc>
        <w:tc>
          <w:tcPr>
            <w:tcW w:w="2126"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2010/2011</w:t>
            </w:r>
          </w:p>
        </w:tc>
      </w:tr>
      <w:tr w:rsidR="00864BFD" w:rsidRPr="00BB4C59" w:rsidTr="00CB1E93">
        <w:trPr>
          <w:trHeight w:val="300"/>
        </w:trPr>
        <w:tc>
          <w:tcPr>
            <w:tcW w:w="760" w:type="dxa"/>
            <w:tcBorders>
              <w:top w:val="nil"/>
              <w:left w:val="single" w:sz="8" w:space="0" w:color="7F7F7F"/>
              <w:bottom w:val="nil"/>
              <w:right w:val="single" w:sz="8" w:space="0" w:color="7F7F7F"/>
            </w:tcBorders>
            <w:shd w:val="clear" w:color="auto" w:fill="C4BC96" w:themeFill="background2" w:themeFillShade="BF"/>
            <w:vAlign w:val="center"/>
            <w:hideMark/>
          </w:tcPr>
          <w:p w:rsidR="00864BFD" w:rsidRPr="00BB4C59" w:rsidRDefault="00864BFD" w:rsidP="00864BFD">
            <w:pPr>
              <w:pStyle w:val="Tabletext"/>
              <w:jc w:val="both"/>
              <w:rPr>
                <w:rFonts w:cs="Arial"/>
                <w:lang w:eastAsia="en-NZ"/>
              </w:rPr>
            </w:pPr>
            <w:r w:rsidRPr="00BB4C59">
              <w:rPr>
                <w:rFonts w:cs="Arial"/>
                <w:lang w:eastAsia="en-NZ"/>
              </w:rPr>
              <w:t>07/08</w:t>
            </w:r>
          </w:p>
        </w:tc>
        <w:tc>
          <w:tcPr>
            <w:tcW w:w="1668"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w:t>
            </w:r>
          </w:p>
        </w:tc>
        <w:tc>
          <w:tcPr>
            <w:tcW w:w="1984"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2009/2010</w:t>
            </w:r>
          </w:p>
        </w:tc>
        <w:tc>
          <w:tcPr>
            <w:tcW w:w="2126"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2010/2011</w:t>
            </w:r>
          </w:p>
        </w:tc>
      </w:tr>
      <w:tr w:rsidR="00864BFD" w:rsidRPr="00BB4C59" w:rsidTr="00CB1E93">
        <w:trPr>
          <w:trHeight w:val="315"/>
        </w:trPr>
        <w:tc>
          <w:tcPr>
            <w:tcW w:w="760" w:type="dxa"/>
            <w:tcBorders>
              <w:top w:val="nil"/>
              <w:left w:val="single" w:sz="8" w:space="0" w:color="7F7F7F"/>
              <w:bottom w:val="nil"/>
              <w:right w:val="single" w:sz="8" w:space="0" w:color="7F7F7F"/>
            </w:tcBorders>
            <w:shd w:val="clear" w:color="auto" w:fill="auto"/>
            <w:vAlign w:val="center"/>
            <w:hideMark/>
          </w:tcPr>
          <w:p w:rsidR="00864BFD" w:rsidRPr="00BB4C59" w:rsidRDefault="00864BFD" w:rsidP="00864BFD">
            <w:pPr>
              <w:pStyle w:val="Tabletext"/>
              <w:jc w:val="both"/>
              <w:rPr>
                <w:rFonts w:cs="Arial"/>
                <w:lang w:eastAsia="en-NZ"/>
              </w:rPr>
            </w:pPr>
            <w:r w:rsidRPr="00BB4C59">
              <w:rPr>
                <w:rFonts w:cs="Arial"/>
                <w:lang w:eastAsia="en-NZ"/>
              </w:rPr>
              <w:t>06/07</w:t>
            </w:r>
          </w:p>
        </w:tc>
        <w:tc>
          <w:tcPr>
            <w:tcW w:w="1668"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3</w:t>
            </w:r>
          </w:p>
        </w:tc>
        <w:tc>
          <w:tcPr>
            <w:tcW w:w="1984"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2009/2010</w:t>
            </w:r>
          </w:p>
        </w:tc>
        <w:tc>
          <w:tcPr>
            <w:tcW w:w="2126" w:type="dxa"/>
            <w:tcBorders>
              <w:top w:val="nil"/>
              <w:left w:val="nil"/>
              <w:bottom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2010/2011</w:t>
            </w:r>
          </w:p>
        </w:tc>
      </w:tr>
      <w:tr w:rsidR="00864BFD" w:rsidRPr="00BB4C59" w:rsidTr="00CB1E93">
        <w:trPr>
          <w:trHeight w:val="315"/>
        </w:trPr>
        <w:tc>
          <w:tcPr>
            <w:tcW w:w="760" w:type="dxa"/>
            <w:tcBorders>
              <w:top w:val="nil"/>
              <w:left w:val="single" w:sz="8" w:space="0" w:color="7F7F7F"/>
              <w:bottom w:val="nil"/>
              <w:right w:val="single" w:sz="8" w:space="0" w:color="7F7F7F"/>
            </w:tcBorders>
            <w:shd w:val="clear" w:color="auto" w:fill="C4BC96" w:themeFill="background2" w:themeFillShade="BF"/>
            <w:vAlign w:val="center"/>
            <w:hideMark/>
          </w:tcPr>
          <w:p w:rsidR="00864BFD" w:rsidRPr="00BB4C59" w:rsidRDefault="00864BFD" w:rsidP="00864BFD">
            <w:pPr>
              <w:pStyle w:val="Tabletext"/>
              <w:jc w:val="both"/>
              <w:rPr>
                <w:rFonts w:cs="Arial"/>
                <w:lang w:eastAsia="en-NZ"/>
              </w:rPr>
            </w:pPr>
            <w:r w:rsidRPr="00BB4C59">
              <w:rPr>
                <w:rFonts w:cs="Arial"/>
                <w:lang w:eastAsia="en-NZ"/>
              </w:rPr>
              <w:t>05/06</w:t>
            </w:r>
          </w:p>
        </w:tc>
        <w:tc>
          <w:tcPr>
            <w:tcW w:w="1668"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4</w:t>
            </w:r>
          </w:p>
        </w:tc>
        <w:tc>
          <w:tcPr>
            <w:tcW w:w="1984"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2009/2010</w:t>
            </w:r>
          </w:p>
        </w:tc>
        <w:tc>
          <w:tcPr>
            <w:tcW w:w="2126" w:type="dxa"/>
            <w:tcBorders>
              <w:top w:val="nil"/>
              <w:left w:val="nil"/>
              <w:bottom w:val="nil"/>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2010/2011</w:t>
            </w:r>
          </w:p>
        </w:tc>
      </w:tr>
      <w:tr w:rsidR="00864BFD" w:rsidRPr="00BB4C59" w:rsidTr="00CB1E93">
        <w:trPr>
          <w:trHeight w:val="315"/>
        </w:trPr>
        <w:tc>
          <w:tcPr>
            <w:tcW w:w="760" w:type="dxa"/>
            <w:tcBorders>
              <w:top w:val="nil"/>
              <w:left w:val="single" w:sz="8" w:space="0" w:color="7F7F7F"/>
              <w:right w:val="single" w:sz="8" w:space="0" w:color="7F7F7F"/>
            </w:tcBorders>
            <w:shd w:val="clear" w:color="auto" w:fill="auto"/>
            <w:vAlign w:val="center"/>
            <w:hideMark/>
          </w:tcPr>
          <w:p w:rsidR="00864BFD" w:rsidRPr="00BB4C59" w:rsidRDefault="00864BFD" w:rsidP="00864BFD">
            <w:pPr>
              <w:pStyle w:val="Tabletext"/>
              <w:jc w:val="both"/>
              <w:rPr>
                <w:rFonts w:cs="Arial"/>
                <w:lang w:eastAsia="en-NZ"/>
              </w:rPr>
            </w:pPr>
            <w:r w:rsidRPr="00BB4C59">
              <w:rPr>
                <w:rFonts w:cs="Arial"/>
                <w:lang w:eastAsia="en-NZ"/>
              </w:rPr>
              <w:t>04/05</w:t>
            </w:r>
          </w:p>
        </w:tc>
        <w:tc>
          <w:tcPr>
            <w:tcW w:w="1668" w:type="dxa"/>
            <w:tcBorders>
              <w:top w:val="nil"/>
              <w:left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5</w:t>
            </w:r>
          </w:p>
        </w:tc>
        <w:tc>
          <w:tcPr>
            <w:tcW w:w="1984" w:type="dxa"/>
            <w:tcBorders>
              <w:top w:val="nil"/>
              <w:left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2009/2010</w:t>
            </w:r>
          </w:p>
        </w:tc>
        <w:tc>
          <w:tcPr>
            <w:tcW w:w="2126" w:type="dxa"/>
            <w:tcBorders>
              <w:top w:val="nil"/>
              <w:left w:val="nil"/>
              <w:right w:val="single" w:sz="8" w:space="0" w:color="7F7F7F"/>
            </w:tcBorders>
            <w:shd w:val="clear" w:color="auto" w:fill="auto"/>
            <w:vAlign w:val="center"/>
            <w:hideMark/>
          </w:tcPr>
          <w:p w:rsidR="00864BFD" w:rsidRPr="00BB4C59" w:rsidRDefault="00864BFD" w:rsidP="00CB1E93">
            <w:pPr>
              <w:pStyle w:val="Tabletext"/>
              <w:jc w:val="center"/>
              <w:rPr>
                <w:rFonts w:cs="Arial"/>
                <w:lang w:eastAsia="en-NZ"/>
              </w:rPr>
            </w:pPr>
            <w:r w:rsidRPr="00BB4C59">
              <w:rPr>
                <w:rFonts w:cs="Arial"/>
                <w:lang w:eastAsia="en-NZ"/>
              </w:rPr>
              <w:t>2010/2011</w:t>
            </w:r>
          </w:p>
        </w:tc>
      </w:tr>
      <w:tr w:rsidR="00864BFD" w:rsidRPr="00BB4C59" w:rsidTr="00CB1E93">
        <w:trPr>
          <w:trHeight w:val="315"/>
        </w:trPr>
        <w:tc>
          <w:tcPr>
            <w:tcW w:w="760" w:type="dxa"/>
            <w:tcBorders>
              <w:top w:val="nil"/>
              <w:left w:val="single" w:sz="8" w:space="0" w:color="7F7F7F"/>
              <w:bottom w:val="single" w:sz="8" w:space="0" w:color="7F7F7F"/>
              <w:right w:val="single" w:sz="8" w:space="0" w:color="7F7F7F"/>
            </w:tcBorders>
            <w:shd w:val="clear" w:color="auto" w:fill="C4BC96" w:themeFill="background2" w:themeFillShade="BF"/>
            <w:vAlign w:val="center"/>
            <w:hideMark/>
          </w:tcPr>
          <w:p w:rsidR="00864BFD" w:rsidRPr="00BB4C59" w:rsidRDefault="00864BFD" w:rsidP="00864BFD">
            <w:pPr>
              <w:pStyle w:val="Tabletext"/>
              <w:jc w:val="both"/>
              <w:rPr>
                <w:rFonts w:cs="Arial"/>
                <w:lang w:eastAsia="en-NZ"/>
              </w:rPr>
            </w:pPr>
            <w:r w:rsidRPr="00BB4C59">
              <w:rPr>
                <w:rFonts w:cs="Arial"/>
                <w:lang w:eastAsia="en-NZ"/>
              </w:rPr>
              <w:t>03/04</w:t>
            </w:r>
          </w:p>
        </w:tc>
        <w:tc>
          <w:tcPr>
            <w:tcW w:w="1668" w:type="dxa"/>
            <w:tcBorders>
              <w:top w:val="nil"/>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6</w:t>
            </w:r>
          </w:p>
        </w:tc>
        <w:tc>
          <w:tcPr>
            <w:tcW w:w="1984" w:type="dxa"/>
            <w:tcBorders>
              <w:top w:val="nil"/>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2009/2010</w:t>
            </w:r>
          </w:p>
        </w:tc>
        <w:tc>
          <w:tcPr>
            <w:tcW w:w="2126" w:type="dxa"/>
            <w:tcBorders>
              <w:top w:val="nil"/>
              <w:left w:val="nil"/>
              <w:bottom w:val="single" w:sz="8" w:space="0" w:color="7F7F7F"/>
              <w:right w:val="single" w:sz="8" w:space="0" w:color="7F7F7F"/>
            </w:tcBorders>
            <w:shd w:val="clear" w:color="auto" w:fill="C4BC96" w:themeFill="background2" w:themeFillShade="BF"/>
            <w:vAlign w:val="center"/>
            <w:hideMark/>
          </w:tcPr>
          <w:p w:rsidR="00864BFD" w:rsidRPr="00BB4C59" w:rsidRDefault="00864BFD" w:rsidP="00CB1E93">
            <w:pPr>
              <w:pStyle w:val="Tabletext"/>
              <w:jc w:val="center"/>
              <w:rPr>
                <w:rFonts w:cs="Arial"/>
                <w:lang w:eastAsia="en-NZ"/>
              </w:rPr>
            </w:pPr>
            <w:r w:rsidRPr="00BB4C59">
              <w:rPr>
                <w:rFonts w:cs="Arial"/>
                <w:lang w:eastAsia="en-NZ"/>
              </w:rPr>
              <w:t>2010/2011</w:t>
            </w:r>
          </w:p>
        </w:tc>
      </w:tr>
    </w:tbl>
    <w:p w:rsidR="002E2822" w:rsidRDefault="002E2822" w:rsidP="002E2822">
      <w:pPr>
        <w:pStyle w:val="Heading3"/>
      </w:pPr>
    </w:p>
    <w:p w:rsidR="00864BFD" w:rsidRPr="002E2822" w:rsidRDefault="00864BFD" w:rsidP="002E2822">
      <w:pPr>
        <w:pStyle w:val="Heading3"/>
      </w:pPr>
      <w:r w:rsidRPr="002E2822">
        <w:t>Graduate earnings</w:t>
      </w:r>
    </w:p>
    <w:p w:rsidR="00864BFD" w:rsidRPr="005555AE" w:rsidRDefault="00864BFD" w:rsidP="005555AE">
      <w:pPr>
        <w:pStyle w:val="BodyText"/>
      </w:pPr>
      <w:r w:rsidRPr="005555AE">
        <w:t xml:space="preserve">Earnings are only presented for graduates who are classified in the ‘Employment’ destination.  Earnings have also been scaled using the Labour Cost Index to normalise differences between the 2010 and 2011 tax years and are presented in 2011 dollars. </w:t>
      </w:r>
    </w:p>
    <w:p w:rsidR="00864BFD" w:rsidRPr="005555AE" w:rsidRDefault="00B218DA" w:rsidP="005555AE">
      <w:pPr>
        <w:pStyle w:val="BodyText"/>
      </w:pPr>
      <w:r w:rsidRPr="005555AE">
        <w:t>A</w:t>
      </w:r>
      <w:r w:rsidR="00864BFD" w:rsidRPr="005555AE">
        <w:t xml:space="preserve">dditionally, throughout this report, we have compared graduate earnings to the national median earnings for the 2011 tax year for all workers aged between 15-64 years who have earnings recorded in the IDI, no matter what their qualifications, occupations and hours of work.  </w:t>
      </w:r>
    </w:p>
    <w:p w:rsidR="00864BFD" w:rsidRPr="003917DE" w:rsidRDefault="00864BFD" w:rsidP="00B218DA">
      <w:pPr>
        <w:pStyle w:val="Heading3"/>
      </w:pPr>
      <w:r w:rsidRPr="003917DE">
        <w:t xml:space="preserve">Confidentiality of data </w:t>
      </w:r>
    </w:p>
    <w:p w:rsidR="00864BFD" w:rsidRDefault="00864BFD" w:rsidP="00B218DA">
      <w:pPr>
        <w:pStyle w:val="BodyText"/>
        <w:rPr>
          <w:kern w:val="36"/>
          <w:lang w:val="en-GB" w:eastAsia="en-GB"/>
        </w:rPr>
      </w:pPr>
      <w:r w:rsidRPr="001918FB">
        <w:rPr>
          <w:kern w:val="36"/>
          <w:lang w:val="en-GB" w:eastAsia="en-GB"/>
        </w:rPr>
        <w:t>The results published in this report</w:t>
      </w:r>
      <w:r>
        <w:rPr>
          <w:kern w:val="36"/>
          <w:lang w:val="en-GB" w:eastAsia="en-GB"/>
        </w:rPr>
        <w:t xml:space="preserve"> and in the tables in the corresponding spreadsheets </w:t>
      </w:r>
      <w:r w:rsidRPr="001918FB">
        <w:rPr>
          <w:kern w:val="36"/>
          <w:lang w:val="en-GB" w:eastAsia="en-GB"/>
        </w:rPr>
        <w:t xml:space="preserve">all comply with the Statistics New Zealand’s confidentiality requirements. These include a requirement to use </w:t>
      </w:r>
      <w:r w:rsidRPr="003917DE">
        <w:rPr>
          <w:i/>
          <w:kern w:val="36"/>
          <w:lang w:val="en-GB" w:eastAsia="en-GB"/>
        </w:rPr>
        <w:t>graduated random rounding</w:t>
      </w:r>
      <w:r w:rsidRPr="001918FB">
        <w:rPr>
          <w:kern w:val="36"/>
          <w:lang w:val="en-GB" w:eastAsia="en-GB"/>
        </w:rPr>
        <w:t xml:space="preserve"> for all counts including those which underlie percentages. Additionally, when publishing employment rates or earnings, the corresponding provider, enterprise and graduate counts for that qualification level </w:t>
      </w:r>
      <w:r>
        <w:rPr>
          <w:kern w:val="36"/>
          <w:lang w:val="en-GB" w:eastAsia="en-GB"/>
        </w:rPr>
        <w:t>x</w:t>
      </w:r>
      <w:r w:rsidRPr="001918FB">
        <w:rPr>
          <w:kern w:val="36"/>
          <w:lang w:val="en-GB" w:eastAsia="en-GB"/>
        </w:rPr>
        <w:t xml:space="preserve"> field of study combination must be higher than prescribed limits. Blanks may also be suppressed in line with Statistic New Zealand’s confidentiality rules. Results from a single provider are suppressed in all cases. </w:t>
      </w:r>
    </w:p>
    <w:p w:rsidR="00864BFD" w:rsidRDefault="00864BFD" w:rsidP="00B218DA">
      <w:pPr>
        <w:pStyle w:val="BodyText"/>
      </w:pPr>
      <w:r w:rsidRPr="001918FB">
        <w:rPr>
          <w:kern w:val="36"/>
          <w:lang w:val="en-GB" w:eastAsia="en-GB"/>
        </w:rPr>
        <w:t xml:space="preserve">Random rounding may result in a total not agreeing with the sum of individual items shown in a table. It is </w:t>
      </w:r>
      <w:r>
        <w:rPr>
          <w:kern w:val="36"/>
          <w:lang w:val="en-GB" w:eastAsia="en-GB"/>
        </w:rPr>
        <w:t xml:space="preserve">also </w:t>
      </w:r>
      <w:r w:rsidRPr="001918FB">
        <w:rPr>
          <w:kern w:val="36"/>
          <w:lang w:val="en-GB" w:eastAsia="en-GB"/>
        </w:rPr>
        <w:t xml:space="preserve">important to take this into account when comparing percentages as some variation may simply be due to this factor and not to an underlying trend. For example, if the </w:t>
      </w:r>
      <w:r>
        <w:rPr>
          <w:kern w:val="36"/>
          <w:lang w:val="en-GB" w:eastAsia="en-GB"/>
        </w:rPr>
        <w:t xml:space="preserve">total number of graduates in a particular year after study is higher than 100, (which is the case for 70 percent of the results), the </w:t>
      </w:r>
      <w:r w:rsidRPr="001918FB">
        <w:rPr>
          <w:kern w:val="36"/>
          <w:lang w:val="en-GB" w:eastAsia="en-GB"/>
        </w:rPr>
        <w:t>perc</w:t>
      </w:r>
      <w:r>
        <w:rPr>
          <w:kern w:val="36"/>
          <w:lang w:val="en-GB" w:eastAsia="en-GB"/>
        </w:rPr>
        <w:t xml:space="preserve">entage in a destination is less than 1% out for four-fifths of results, between 1-2% out for 15% of results, and between 2-5% out for 6% of results, </w:t>
      </w:r>
      <w:r w:rsidRPr="001918FB">
        <w:rPr>
          <w:kern w:val="36"/>
          <w:lang w:val="en-GB" w:eastAsia="en-GB"/>
        </w:rPr>
        <w:t xml:space="preserve">merely due to rounding. </w:t>
      </w:r>
      <w:r>
        <w:rPr>
          <w:kern w:val="36"/>
          <w:lang w:val="en-GB" w:eastAsia="en-GB"/>
        </w:rPr>
        <w:t>Whereas if the total number of graduates is between 20 to 100, the percentage is less than 1% out for 26% of results, between 1-2% out for 21% of results, between 2-5% out for 35% of results, and more than 5% out for 18% of results</w:t>
      </w:r>
    </w:p>
    <w:p w:rsidR="00864BFD" w:rsidRDefault="00864BFD" w:rsidP="00B218DA">
      <w:pPr>
        <w:pStyle w:val="BodyText"/>
      </w:pPr>
      <w:r w:rsidRPr="00BB4C59">
        <w:t xml:space="preserve">Please refer to Chapter 12 of </w:t>
      </w:r>
      <w:r w:rsidRPr="00BB4C59">
        <w:rPr>
          <w:i/>
        </w:rPr>
        <w:t>Moving on up</w:t>
      </w:r>
      <w:r w:rsidRPr="00BB4C59">
        <w:t xml:space="preserve"> for more technical details about the data in these tables.</w:t>
      </w:r>
    </w:p>
    <w:p w:rsidR="00864BFD" w:rsidRPr="000613E0" w:rsidRDefault="00864BFD" w:rsidP="00BE61C2">
      <w:pPr>
        <w:pStyle w:val="Heading3"/>
      </w:pPr>
      <w:r w:rsidRPr="000613E0">
        <w:t>Disclaimer</w:t>
      </w:r>
    </w:p>
    <w:p w:rsidR="00864BFD" w:rsidRDefault="00864BFD" w:rsidP="00864BFD">
      <w:pPr>
        <w:jc w:val="both"/>
        <w:rPr>
          <w:i/>
          <w:szCs w:val="22"/>
        </w:rPr>
      </w:pPr>
    </w:p>
    <w:p w:rsidR="00864BFD" w:rsidRPr="005555AE" w:rsidRDefault="00864BFD" w:rsidP="005555AE">
      <w:pPr>
        <w:pStyle w:val="BodyText"/>
        <w:rPr>
          <w:i/>
        </w:rPr>
      </w:pPr>
      <w:r w:rsidRPr="005555AE">
        <w:rPr>
          <w:i/>
        </w:rPr>
        <w:t xml:space="preserve">The results in this report are not official statistics, they have been created for research purposes from the Integrated Data Infrastructure (IDI) managed by Statistics New Zealand. </w:t>
      </w:r>
    </w:p>
    <w:p w:rsidR="00864BFD" w:rsidRPr="005555AE" w:rsidRDefault="00864BFD" w:rsidP="005555AE">
      <w:pPr>
        <w:pStyle w:val="BodyText"/>
        <w:rPr>
          <w:i/>
        </w:rPr>
      </w:pPr>
      <w:r w:rsidRPr="005555AE">
        <w:rPr>
          <w:i/>
        </w:rPr>
        <w:lastRenderedPageBreak/>
        <w:t>The opinions, findings, recommendations and conclusions expressed in this report are those of the authors not Statistics NZ.</w:t>
      </w:r>
    </w:p>
    <w:p w:rsidR="00864BFD" w:rsidRPr="005555AE" w:rsidRDefault="00864BFD" w:rsidP="005555AE">
      <w:pPr>
        <w:pStyle w:val="BodyText"/>
        <w:rPr>
          <w:i/>
        </w:rPr>
      </w:pPr>
      <w:r w:rsidRPr="005555AE">
        <w:rPr>
          <w:i/>
        </w:rPr>
        <w:t xml:space="preserve">Access to the </w:t>
      </w:r>
      <w:proofErr w:type="spellStart"/>
      <w:r w:rsidRPr="005555AE">
        <w:rPr>
          <w:i/>
        </w:rPr>
        <w:t>anonymised</w:t>
      </w:r>
      <w:proofErr w:type="spellEnd"/>
      <w:r w:rsidRPr="005555AE">
        <w:rPr>
          <w:i/>
        </w:rPr>
        <w:t xml:space="preserve"> data used in this study was provided by Statistics NZ in accordance with security and confidentiality provisions of the Statistics Act 1975. Only people authorised by the Statistics Act 1975 are allowed to see data about a particular person, household, business or organisation and the results in this report have been </w:t>
      </w:r>
      <w:proofErr w:type="spellStart"/>
      <w:r w:rsidRPr="005555AE">
        <w:rPr>
          <w:i/>
        </w:rPr>
        <w:t>confidentialised</w:t>
      </w:r>
      <w:proofErr w:type="spellEnd"/>
      <w:r w:rsidRPr="005555AE">
        <w:rPr>
          <w:i/>
        </w:rPr>
        <w:t xml:space="preserve"> to protect these groups from identification.</w:t>
      </w:r>
    </w:p>
    <w:p w:rsidR="00864BFD" w:rsidRPr="005555AE" w:rsidRDefault="00864BFD" w:rsidP="005555AE">
      <w:pPr>
        <w:pStyle w:val="BodyText"/>
        <w:rPr>
          <w:i/>
        </w:rPr>
      </w:pPr>
      <w:r w:rsidRPr="005555AE">
        <w:rPr>
          <w:i/>
        </w:rPr>
        <w:t xml:space="preserve">Careful consideration has been given to the privacy, security and confidentiality issues associated with using administrative and survey data in the IDI. Further detail can be found in the </w:t>
      </w:r>
      <w:hyperlink r:id="rId17" w:history="1">
        <w:r w:rsidRPr="005555AE">
          <w:rPr>
            <w:i/>
          </w:rPr>
          <w:t>Privacy impact assessment for the Integrated Data Infrastructure</w:t>
        </w:r>
      </w:hyperlink>
      <w:r w:rsidRPr="005555AE">
        <w:rPr>
          <w:i/>
        </w:rPr>
        <w:t xml:space="preserve"> available from </w:t>
      </w:r>
      <w:hyperlink r:id="rId18" w:history="1">
        <w:r w:rsidRPr="005555AE">
          <w:rPr>
            <w:i/>
          </w:rPr>
          <w:t>www.stats.govt.nz</w:t>
        </w:r>
      </w:hyperlink>
      <w:r w:rsidRPr="005555AE">
        <w:rPr>
          <w:i/>
        </w:rPr>
        <w:t xml:space="preserve">. </w:t>
      </w:r>
    </w:p>
    <w:p w:rsidR="00864BFD" w:rsidRPr="005555AE" w:rsidRDefault="00864BFD" w:rsidP="005555AE">
      <w:pPr>
        <w:pStyle w:val="BodyText"/>
        <w:rPr>
          <w:i/>
        </w:rPr>
      </w:pPr>
      <w:r w:rsidRPr="005555AE">
        <w:rPr>
          <w:i/>
        </w:rPr>
        <w:t>The results are based in part on tax data supplied by Inland Revenue to Statistics NZ under the Tax Administration Act 1994. This tax data must be used only for statistical purposes, and no individual information may be published or disclosed in any other form, or provided to Inland Revenue for administrative or regulatory purposes.</w:t>
      </w:r>
    </w:p>
    <w:p w:rsidR="002D42B9" w:rsidRDefault="00864BFD" w:rsidP="005555AE">
      <w:pPr>
        <w:pStyle w:val="BodyText"/>
        <w:rPr>
          <w:i/>
        </w:rPr>
      </w:pPr>
      <w:r w:rsidRPr="005555AE">
        <w:rPr>
          <w:i/>
        </w:rPr>
        <w:t>Any person who has had access to the unit-record data has certified that they have been shown, have read, and have understood section 81 of the Tax Administration Act 1994, which relates to secrecy. Any discussion of data limitations or weaknesses is in the context of using the IDI for statistical purposes, and is not related to the data's ability to support Inland Revenue's</w:t>
      </w:r>
      <w:r w:rsidR="005555AE">
        <w:rPr>
          <w:i/>
        </w:rPr>
        <w:t xml:space="preserve"> core operational requirements.</w:t>
      </w:r>
    </w:p>
    <w:p w:rsidR="002D42B9" w:rsidRDefault="002D42B9">
      <w:pPr>
        <w:rPr>
          <w:i/>
          <w:szCs w:val="20"/>
        </w:rPr>
      </w:pPr>
      <w:r>
        <w:rPr>
          <w:i/>
        </w:rPr>
        <w:br w:type="page"/>
      </w:r>
    </w:p>
    <w:p w:rsidR="002D42B9" w:rsidRPr="002D42B9" w:rsidRDefault="002D42B9" w:rsidP="004C0BB3">
      <w:pPr>
        <w:pStyle w:val="Heading2"/>
      </w:pPr>
      <w:proofErr w:type="gramStart"/>
      <w:r w:rsidRPr="002D42B9">
        <w:lastRenderedPageBreak/>
        <w:t>Appendix 1.</w:t>
      </w:r>
      <w:proofErr w:type="gramEnd"/>
      <w:r w:rsidRPr="002D42B9">
        <w:t xml:space="preserve">  Median and quartile annual earnings of young domestic </w:t>
      </w:r>
      <w:proofErr w:type="gramStart"/>
      <w:r w:rsidRPr="002D42B9">
        <w:t>bachelors</w:t>
      </w:r>
      <w:proofErr w:type="gramEnd"/>
      <w:r w:rsidRPr="002D42B9">
        <w:t xml:space="preserve"> degree graduates, one, two and five years afte</w:t>
      </w:r>
      <w:r>
        <w:t>r study by broad field of study.</w:t>
      </w:r>
    </w:p>
    <w:tbl>
      <w:tblPr>
        <w:tblW w:w="8046" w:type="dxa"/>
        <w:tblLayout w:type="fixed"/>
        <w:tblLook w:val="04A0"/>
      </w:tblPr>
      <w:tblGrid>
        <w:gridCol w:w="1791"/>
        <w:gridCol w:w="1436"/>
        <w:gridCol w:w="2079"/>
        <w:gridCol w:w="1370"/>
        <w:gridCol w:w="1370"/>
      </w:tblGrid>
      <w:tr w:rsidR="002D42B9" w:rsidRPr="001F6ECE" w:rsidTr="0058509A">
        <w:trPr>
          <w:trHeight w:val="227"/>
        </w:trPr>
        <w:tc>
          <w:tcPr>
            <w:tcW w:w="1791" w:type="dxa"/>
            <w:vMerge w:val="restart"/>
            <w:tcBorders>
              <w:top w:val="single" w:sz="4" w:space="0" w:color="auto"/>
              <w:left w:val="single" w:sz="4" w:space="0" w:color="auto"/>
              <w:right w:val="single" w:sz="4" w:space="0" w:color="auto"/>
            </w:tcBorders>
            <w:shd w:val="clear" w:color="auto" w:fill="auto"/>
            <w:vAlign w:val="center"/>
            <w:hideMark/>
          </w:tcPr>
          <w:p w:rsidR="002D42B9" w:rsidRPr="00B837D0" w:rsidRDefault="002D42B9" w:rsidP="00B837D0">
            <w:pPr>
              <w:pStyle w:val="Tableheading"/>
              <w:jc w:val="both"/>
              <w:rPr>
                <w:lang w:eastAsia="en-NZ"/>
              </w:rPr>
            </w:pPr>
            <w:r w:rsidRPr="00B837D0">
              <w:rPr>
                <w:lang w:eastAsia="en-NZ"/>
              </w:rPr>
              <w:t>Field of study</w:t>
            </w:r>
          </w:p>
        </w:tc>
        <w:tc>
          <w:tcPr>
            <w:tcW w:w="1436" w:type="dxa"/>
            <w:vMerge w:val="restart"/>
            <w:tcBorders>
              <w:top w:val="single" w:sz="4" w:space="0" w:color="auto"/>
              <w:left w:val="nil"/>
              <w:right w:val="single" w:sz="4" w:space="0" w:color="auto"/>
            </w:tcBorders>
            <w:shd w:val="clear" w:color="auto" w:fill="auto"/>
            <w:noWrap/>
            <w:vAlign w:val="center"/>
            <w:hideMark/>
          </w:tcPr>
          <w:p w:rsidR="002D42B9" w:rsidRPr="00B837D0" w:rsidRDefault="002D42B9" w:rsidP="00B837D0">
            <w:pPr>
              <w:pStyle w:val="Tableheading"/>
              <w:jc w:val="both"/>
              <w:rPr>
                <w:lang w:eastAsia="en-NZ"/>
              </w:rPr>
            </w:pPr>
            <w:r w:rsidRPr="00B837D0">
              <w:rPr>
                <w:lang w:eastAsia="en-NZ"/>
              </w:rPr>
              <w:t>Measure</w:t>
            </w:r>
          </w:p>
        </w:tc>
        <w:tc>
          <w:tcPr>
            <w:tcW w:w="4819" w:type="dxa"/>
            <w:gridSpan w:val="3"/>
            <w:tcBorders>
              <w:top w:val="single" w:sz="4" w:space="0" w:color="auto"/>
              <w:left w:val="nil"/>
              <w:bottom w:val="nil"/>
              <w:right w:val="single" w:sz="4" w:space="0" w:color="auto"/>
            </w:tcBorders>
            <w:shd w:val="clear" w:color="auto" w:fill="auto"/>
            <w:noWrap/>
            <w:hideMark/>
          </w:tcPr>
          <w:p w:rsidR="002D42B9" w:rsidRPr="00B837D0" w:rsidRDefault="002D42B9" w:rsidP="0058509A">
            <w:pPr>
              <w:pStyle w:val="Tableheading"/>
              <w:rPr>
                <w:lang w:eastAsia="en-NZ"/>
              </w:rPr>
            </w:pPr>
            <w:r w:rsidRPr="00B837D0">
              <w:rPr>
                <w:lang w:eastAsia="en-NZ"/>
              </w:rPr>
              <w:t>Years after study</w:t>
            </w:r>
          </w:p>
        </w:tc>
      </w:tr>
      <w:tr w:rsidR="002D42B9" w:rsidRPr="001F6ECE" w:rsidTr="0058509A">
        <w:trPr>
          <w:trHeight w:val="227"/>
        </w:trPr>
        <w:tc>
          <w:tcPr>
            <w:tcW w:w="1791" w:type="dxa"/>
            <w:vMerge/>
            <w:tcBorders>
              <w:left w:val="single" w:sz="4" w:space="0" w:color="auto"/>
              <w:bottom w:val="single" w:sz="4" w:space="0" w:color="000000"/>
              <w:right w:val="single" w:sz="4" w:space="0" w:color="auto"/>
            </w:tcBorders>
            <w:shd w:val="clear" w:color="auto" w:fill="auto"/>
            <w:vAlign w:val="center"/>
            <w:hideMark/>
          </w:tcPr>
          <w:p w:rsidR="002D42B9" w:rsidRPr="00B837D0" w:rsidRDefault="002D42B9" w:rsidP="00B837D0">
            <w:pPr>
              <w:pStyle w:val="Tableheading"/>
              <w:jc w:val="both"/>
              <w:rPr>
                <w:lang w:eastAsia="en-NZ"/>
              </w:rPr>
            </w:pPr>
          </w:p>
        </w:tc>
        <w:tc>
          <w:tcPr>
            <w:tcW w:w="1436" w:type="dxa"/>
            <w:vMerge/>
            <w:tcBorders>
              <w:left w:val="nil"/>
              <w:bottom w:val="nil"/>
              <w:right w:val="single" w:sz="4" w:space="0" w:color="auto"/>
            </w:tcBorders>
            <w:shd w:val="clear" w:color="auto" w:fill="auto"/>
            <w:noWrap/>
            <w:vAlign w:val="bottom"/>
            <w:hideMark/>
          </w:tcPr>
          <w:p w:rsidR="002D42B9" w:rsidRPr="00B837D0" w:rsidRDefault="002D42B9" w:rsidP="00B837D0">
            <w:pPr>
              <w:pStyle w:val="Tableheading"/>
              <w:jc w:val="both"/>
              <w:rPr>
                <w:lang w:eastAsia="en-NZ"/>
              </w:rPr>
            </w:pPr>
          </w:p>
        </w:tc>
        <w:tc>
          <w:tcPr>
            <w:tcW w:w="2079" w:type="dxa"/>
            <w:tcBorders>
              <w:top w:val="single" w:sz="4" w:space="0" w:color="auto"/>
              <w:left w:val="nil"/>
              <w:bottom w:val="nil"/>
              <w:right w:val="single" w:sz="4" w:space="0" w:color="auto"/>
            </w:tcBorders>
            <w:shd w:val="clear" w:color="auto" w:fill="auto"/>
            <w:noWrap/>
            <w:vAlign w:val="center"/>
            <w:hideMark/>
          </w:tcPr>
          <w:p w:rsidR="002D42B9" w:rsidRPr="00B837D0" w:rsidRDefault="002D42B9" w:rsidP="0058509A">
            <w:pPr>
              <w:pStyle w:val="Tableheading"/>
              <w:rPr>
                <w:lang w:eastAsia="en-NZ"/>
              </w:rPr>
            </w:pPr>
            <w:r w:rsidRPr="00B837D0">
              <w:rPr>
                <w:lang w:eastAsia="en-NZ"/>
              </w:rPr>
              <w:t>One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2B9" w:rsidRPr="00B837D0" w:rsidRDefault="002D42B9" w:rsidP="0058509A">
            <w:pPr>
              <w:pStyle w:val="Tableheading"/>
              <w:rPr>
                <w:lang w:eastAsia="en-NZ"/>
              </w:rPr>
            </w:pPr>
            <w:r w:rsidRPr="00B837D0">
              <w:rPr>
                <w:lang w:eastAsia="en-NZ"/>
              </w:rPr>
              <w:t>Two</w:t>
            </w:r>
          </w:p>
        </w:tc>
        <w:tc>
          <w:tcPr>
            <w:tcW w:w="1370" w:type="dxa"/>
            <w:tcBorders>
              <w:top w:val="single" w:sz="4" w:space="0" w:color="auto"/>
              <w:left w:val="single" w:sz="4" w:space="0" w:color="auto"/>
              <w:bottom w:val="nil"/>
              <w:right w:val="single" w:sz="4" w:space="0" w:color="auto"/>
            </w:tcBorders>
            <w:shd w:val="clear" w:color="auto" w:fill="auto"/>
            <w:noWrap/>
            <w:vAlign w:val="center"/>
            <w:hideMark/>
          </w:tcPr>
          <w:p w:rsidR="002D42B9" w:rsidRPr="00B837D0" w:rsidRDefault="002D42B9" w:rsidP="0058509A">
            <w:pPr>
              <w:pStyle w:val="Tableheading"/>
              <w:rPr>
                <w:lang w:eastAsia="en-NZ"/>
              </w:rPr>
            </w:pPr>
            <w:r w:rsidRPr="00B837D0">
              <w:rPr>
                <w:lang w:eastAsia="en-NZ"/>
              </w:rPr>
              <w:t>Five</w:t>
            </w:r>
          </w:p>
        </w:tc>
      </w:tr>
      <w:tr w:rsidR="002D42B9" w:rsidRPr="001F6ECE" w:rsidTr="002D42B9">
        <w:trPr>
          <w:trHeight w:val="227"/>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2B9" w:rsidRPr="002D42B9" w:rsidRDefault="002D42B9" w:rsidP="002D42B9">
            <w:pPr>
              <w:rPr>
                <w:rFonts w:ascii="Arial" w:hAnsi="Arial"/>
                <w:sz w:val="15"/>
                <w:lang w:eastAsia="en-NZ"/>
              </w:rPr>
            </w:pPr>
            <w:r w:rsidRPr="002D42B9">
              <w:rPr>
                <w:rFonts w:ascii="Arial" w:hAnsi="Arial"/>
                <w:sz w:val="15"/>
                <w:lang w:eastAsia="en-NZ"/>
              </w:rPr>
              <w:t>Agriculture, environmental and related studies</w:t>
            </w:r>
          </w:p>
        </w:tc>
        <w:tc>
          <w:tcPr>
            <w:tcW w:w="1436" w:type="dxa"/>
            <w:tcBorders>
              <w:top w:val="single" w:sz="4" w:space="0" w:color="auto"/>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$46,222</w:t>
            </w:r>
          </w:p>
        </w:tc>
        <w:tc>
          <w:tcPr>
            <w:tcW w:w="1370"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$53,429</w:t>
            </w:r>
          </w:p>
        </w:tc>
        <w:tc>
          <w:tcPr>
            <w:tcW w:w="1370" w:type="dxa"/>
            <w:tcBorders>
              <w:top w:val="single" w:sz="4" w:space="0" w:color="auto"/>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$62,536</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$35,565</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$43,442</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$50,487</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$19,080</w:t>
            </w:r>
          </w:p>
        </w:tc>
        <w:tc>
          <w:tcPr>
            <w:tcW w:w="1370" w:type="dxa"/>
            <w:tcBorders>
              <w:top w:val="nil"/>
              <w:left w:val="nil"/>
              <w:bottom w:val="single" w:sz="4" w:space="0" w:color="auto"/>
              <w:right w:val="nil"/>
            </w:tcBorders>
            <w:shd w:val="clear" w:color="auto" w:fill="auto"/>
            <w:noWrap/>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$34,013</w:t>
            </w:r>
          </w:p>
        </w:tc>
        <w:tc>
          <w:tcPr>
            <w:tcW w:w="1370" w:type="dxa"/>
            <w:tcBorders>
              <w:top w:val="nil"/>
              <w:left w:val="nil"/>
              <w:bottom w:val="single" w:sz="4" w:space="0" w:color="auto"/>
              <w:right w:val="single" w:sz="4" w:space="0" w:color="auto"/>
            </w:tcBorders>
            <w:shd w:val="clear" w:color="auto" w:fill="auto"/>
            <w:noWrap/>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$37,145</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Architecture and building</w:t>
            </w:r>
          </w:p>
        </w:tc>
        <w:tc>
          <w:tcPr>
            <w:tcW w:w="1436" w:type="dxa"/>
            <w:tcBorders>
              <w:top w:val="single" w:sz="4" w:space="0" w:color="auto"/>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$44,930</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$49,550</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$60,906</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$35,301</w:t>
            </w:r>
          </w:p>
        </w:tc>
        <w:tc>
          <w:tcPr>
            <w:tcW w:w="1370" w:type="dxa"/>
            <w:tcBorders>
              <w:top w:val="nil"/>
              <w:left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$40,930</w:t>
            </w:r>
          </w:p>
        </w:tc>
        <w:tc>
          <w:tcPr>
            <w:tcW w:w="1370" w:type="dxa"/>
            <w:tcBorders>
              <w:top w:val="nil"/>
              <w:left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$47,892</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$25,782</w:t>
            </w:r>
          </w:p>
        </w:tc>
        <w:tc>
          <w:tcPr>
            <w:tcW w:w="1370"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$31,347</w:t>
            </w:r>
          </w:p>
        </w:tc>
        <w:tc>
          <w:tcPr>
            <w:tcW w:w="1370" w:type="dxa"/>
            <w:tcBorders>
              <w:top w:val="nil"/>
              <w:left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$36,089</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Creative arts</w:t>
            </w:r>
          </w:p>
        </w:tc>
        <w:tc>
          <w:tcPr>
            <w:tcW w:w="1436" w:type="dxa"/>
            <w:tcBorders>
              <w:top w:val="single" w:sz="4" w:space="0" w:color="auto"/>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$36,043</w:t>
            </w:r>
          </w:p>
        </w:tc>
        <w:tc>
          <w:tcPr>
            <w:tcW w:w="1370"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$42,042</w:t>
            </w:r>
          </w:p>
        </w:tc>
        <w:tc>
          <w:tcPr>
            <w:tcW w:w="1370" w:type="dxa"/>
            <w:tcBorders>
              <w:top w:val="single" w:sz="4" w:space="0" w:color="auto"/>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$52,169</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$28,265</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$34,685</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$41,546</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$18,816</w:t>
            </w:r>
          </w:p>
        </w:tc>
        <w:tc>
          <w:tcPr>
            <w:tcW w:w="1370"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$22,899</w:t>
            </w:r>
          </w:p>
        </w:tc>
        <w:tc>
          <w:tcPr>
            <w:tcW w:w="1370" w:type="dxa"/>
            <w:tcBorders>
              <w:top w:val="nil"/>
              <w:left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$27,002</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Education</w:t>
            </w:r>
          </w:p>
        </w:tc>
        <w:tc>
          <w:tcPr>
            <w:tcW w:w="1436" w:type="dxa"/>
            <w:tcBorders>
              <w:top w:val="single" w:sz="4" w:space="0" w:color="auto"/>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$46,866</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$48,704</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$57,829</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$44,791</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$46,370</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$50,829</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$37,203</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$41,419</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$36,037</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2D42B9">
            <w:pPr>
              <w:rPr>
                <w:rFonts w:ascii="Arial" w:hAnsi="Arial"/>
                <w:sz w:val="15"/>
                <w:lang w:eastAsia="en-NZ"/>
              </w:rPr>
            </w:pPr>
            <w:r w:rsidRPr="002D42B9">
              <w:rPr>
                <w:rFonts w:ascii="Arial" w:hAnsi="Arial"/>
                <w:sz w:val="15"/>
                <w:lang w:eastAsia="en-NZ"/>
              </w:rPr>
              <w:t>Engineering and related technologies</w:t>
            </w:r>
          </w:p>
        </w:tc>
        <w:tc>
          <w:tcPr>
            <w:tcW w:w="1436" w:type="dxa"/>
            <w:tcBorders>
              <w:top w:val="single" w:sz="4" w:space="0" w:color="auto"/>
              <w:left w:val="nil"/>
              <w:bottom w:val="nil"/>
              <w:right w:val="single" w:sz="4" w:space="0" w:color="auto"/>
            </w:tcBorders>
            <w:shd w:val="clear" w:color="auto" w:fill="auto"/>
            <w:noWrap/>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$49,182</w:t>
            </w:r>
          </w:p>
        </w:tc>
        <w:tc>
          <w:tcPr>
            <w:tcW w:w="1370"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$51,911</w:t>
            </w:r>
          </w:p>
        </w:tc>
        <w:tc>
          <w:tcPr>
            <w:tcW w:w="1370" w:type="dxa"/>
            <w:tcBorders>
              <w:top w:val="single" w:sz="4" w:space="0" w:color="auto"/>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$69,269</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$41,503</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$45,158</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$57,350</w:t>
            </w:r>
          </w:p>
        </w:tc>
      </w:tr>
      <w:tr w:rsidR="002D42B9" w:rsidRPr="001F6ECE" w:rsidTr="002D42B9">
        <w:trPr>
          <w:trHeight w:val="373"/>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$27,940</w:t>
            </w:r>
          </w:p>
        </w:tc>
        <w:tc>
          <w:tcPr>
            <w:tcW w:w="1370" w:type="dxa"/>
            <w:tcBorders>
              <w:top w:val="nil"/>
              <w:left w:val="nil"/>
              <w:bottom w:val="single" w:sz="4" w:space="0" w:color="auto"/>
              <w:right w:val="nil"/>
            </w:tcBorders>
            <w:shd w:val="clear" w:color="auto" w:fill="auto"/>
            <w:noWrap/>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$36,736</w:t>
            </w:r>
          </w:p>
        </w:tc>
        <w:tc>
          <w:tcPr>
            <w:tcW w:w="1370" w:type="dxa"/>
            <w:tcBorders>
              <w:top w:val="nil"/>
              <w:left w:val="nil"/>
              <w:bottom w:val="single" w:sz="4" w:space="0" w:color="auto"/>
              <w:right w:val="single" w:sz="4" w:space="0" w:color="auto"/>
            </w:tcBorders>
            <w:shd w:val="clear" w:color="auto" w:fill="auto"/>
            <w:noWrap/>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$44,581</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Health</w:t>
            </w: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$63,041</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$66,324</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$83,593</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$46,950</w:t>
            </w:r>
          </w:p>
        </w:tc>
        <w:tc>
          <w:tcPr>
            <w:tcW w:w="1370" w:type="dxa"/>
            <w:tcBorders>
              <w:top w:val="nil"/>
              <w:left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$52,037</w:t>
            </w:r>
          </w:p>
        </w:tc>
        <w:tc>
          <w:tcPr>
            <w:tcW w:w="1370" w:type="dxa"/>
            <w:tcBorders>
              <w:top w:val="nil"/>
              <w:left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$61,747</w:t>
            </w:r>
          </w:p>
        </w:tc>
      </w:tr>
      <w:tr w:rsidR="002D42B9" w:rsidRPr="001F6ECE" w:rsidTr="002D42B9">
        <w:trPr>
          <w:trHeight w:val="227"/>
        </w:trPr>
        <w:tc>
          <w:tcPr>
            <w:tcW w:w="1791" w:type="dxa"/>
            <w:vMerge/>
            <w:tcBorders>
              <w:top w:val="nil"/>
              <w:left w:val="single" w:sz="4" w:space="0" w:color="auto"/>
              <w:bottom w:val="single" w:sz="4" w:space="0" w:color="auto"/>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$36,955</w:t>
            </w:r>
          </w:p>
        </w:tc>
        <w:tc>
          <w:tcPr>
            <w:tcW w:w="1370"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$42,098</w:t>
            </w:r>
          </w:p>
        </w:tc>
        <w:tc>
          <w:tcPr>
            <w:tcW w:w="1370" w:type="dxa"/>
            <w:tcBorders>
              <w:top w:val="nil"/>
              <w:left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$41,807</w:t>
            </w:r>
          </w:p>
        </w:tc>
      </w:tr>
      <w:tr w:rsidR="002D42B9" w:rsidRPr="001F6ECE" w:rsidTr="002D42B9">
        <w:trPr>
          <w:trHeight w:val="227"/>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Information technology</w:t>
            </w:r>
          </w:p>
        </w:tc>
        <w:tc>
          <w:tcPr>
            <w:tcW w:w="1436" w:type="dxa"/>
            <w:tcBorders>
              <w:top w:val="single" w:sz="4" w:space="0" w:color="auto"/>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$47,811</w:t>
            </w:r>
          </w:p>
        </w:tc>
        <w:tc>
          <w:tcPr>
            <w:tcW w:w="1370"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$53,083</w:t>
            </w:r>
          </w:p>
        </w:tc>
        <w:tc>
          <w:tcPr>
            <w:tcW w:w="1370" w:type="dxa"/>
            <w:tcBorders>
              <w:top w:val="single" w:sz="4" w:space="0" w:color="auto"/>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$69,801</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$41,130</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$45,858</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$56,309</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$29,637</w:t>
            </w:r>
          </w:p>
        </w:tc>
        <w:tc>
          <w:tcPr>
            <w:tcW w:w="1370"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$34,424</w:t>
            </w:r>
          </w:p>
        </w:tc>
        <w:tc>
          <w:tcPr>
            <w:tcW w:w="1370" w:type="dxa"/>
            <w:tcBorders>
              <w:top w:val="nil"/>
              <w:left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$44,898</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Management and commerce</w:t>
            </w: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$45,000</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$50,416</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$66,856</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$38,473</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$43,845</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$52,896</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$29,467</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$36,123</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$41,025</w:t>
            </w:r>
          </w:p>
        </w:tc>
      </w:tr>
      <w:tr w:rsidR="002D42B9" w:rsidRPr="001F6ECE" w:rsidTr="002D42B9">
        <w:trPr>
          <w:trHeight w:val="227"/>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rsidR="002D42B9" w:rsidRPr="002D42B9" w:rsidRDefault="002D42B9" w:rsidP="002D42B9">
            <w:pPr>
              <w:rPr>
                <w:rFonts w:ascii="Arial" w:hAnsi="Arial"/>
                <w:sz w:val="15"/>
                <w:lang w:eastAsia="en-NZ"/>
              </w:rPr>
            </w:pPr>
            <w:r w:rsidRPr="002D42B9">
              <w:rPr>
                <w:rFonts w:ascii="Arial" w:hAnsi="Arial"/>
                <w:sz w:val="15"/>
                <w:lang w:eastAsia="en-NZ"/>
              </w:rPr>
              <w:t>Natural and physical sciences</w:t>
            </w:r>
          </w:p>
        </w:tc>
        <w:tc>
          <w:tcPr>
            <w:tcW w:w="1436" w:type="dxa"/>
            <w:tcBorders>
              <w:top w:val="single" w:sz="4" w:space="0" w:color="auto"/>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$43,541</w:t>
            </w:r>
          </w:p>
        </w:tc>
        <w:tc>
          <w:tcPr>
            <w:tcW w:w="1370" w:type="dxa"/>
            <w:tcBorders>
              <w:top w:val="single" w:sz="4" w:space="0" w:color="auto"/>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$51,287</w:t>
            </w:r>
          </w:p>
        </w:tc>
        <w:tc>
          <w:tcPr>
            <w:tcW w:w="1370" w:type="dxa"/>
            <w:tcBorders>
              <w:top w:val="single" w:sz="4" w:space="0" w:color="auto"/>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$61,448</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$34,054</w:t>
            </w:r>
          </w:p>
        </w:tc>
        <w:tc>
          <w:tcPr>
            <w:tcW w:w="1370" w:type="dxa"/>
            <w:tcBorders>
              <w:top w:val="nil"/>
              <w:left w:val="nil"/>
              <w:bottom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$43,074</w:t>
            </w:r>
          </w:p>
        </w:tc>
        <w:tc>
          <w:tcPr>
            <w:tcW w:w="1370" w:type="dxa"/>
            <w:tcBorders>
              <w:top w:val="nil"/>
              <w:left w:val="nil"/>
              <w:bottom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$50,483</w:t>
            </w:r>
          </w:p>
        </w:tc>
      </w:tr>
      <w:tr w:rsidR="002D42B9" w:rsidRPr="001F6ECE" w:rsidTr="002D42B9">
        <w:trPr>
          <w:trHeight w:val="227"/>
        </w:trPr>
        <w:tc>
          <w:tcPr>
            <w:tcW w:w="1791" w:type="dxa"/>
            <w:vMerge/>
            <w:tcBorders>
              <w:top w:val="nil"/>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$23,476</w:t>
            </w:r>
          </w:p>
        </w:tc>
        <w:tc>
          <w:tcPr>
            <w:tcW w:w="1370"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$32,909</w:t>
            </w:r>
          </w:p>
        </w:tc>
        <w:tc>
          <w:tcPr>
            <w:tcW w:w="1370" w:type="dxa"/>
            <w:tcBorders>
              <w:top w:val="nil"/>
              <w:left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$37,473</w:t>
            </w:r>
          </w:p>
        </w:tc>
      </w:tr>
      <w:tr w:rsidR="002D42B9" w:rsidRPr="001F6ECE" w:rsidTr="002D42B9">
        <w:trPr>
          <w:trHeight w:val="227"/>
        </w:trPr>
        <w:tc>
          <w:tcPr>
            <w:tcW w:w="1791" w:type="dxa"/>
            <w:vMerge w:val="restart"/>
            <w:tcBorders>
              <w:top w:val="nil"/>
              <w:left w:val="single" w:sz="4" w:space="0" w:color="auto"/>
              <w:right w:val="single" w:sz="4" w:space="0" w:color="auto"/>
            </w:tcBorders>
            <w:vAlign w:val="center"/>
            <w:hideMark/>
          </w:tcPr>
          <w:p w:rsidR="002D42B9" w:rsidRPr="002D42B9" w:rsidRDefault="002D42B9" w:rsidP="0058509A">
            <w:pPr>
              <w:rPr>
                <w:rFonts w:ascii="Arial" w:hAnsi="Arial"/>
                <w:sz w:val="15"/>
                <w:lang w:eastAsia="en-NZ"/>
              </w:rPr>
            </w:pPr>
            <w:r w:rsidRPr="002D42B9">
              <w:rPr>
                <w:rFonts w:ascii="Arial" w:hAnsi="Arial"/>
                <w:sz w:val="15"/>
                <w:lang w:eastAsia="en-NZ"/>
              </w:rPr>
              <w:t>Society and culture</w:t>
            </w:r>
          </w:p>
        </w:tc>
        <w:tc>
          <w:tcPr>
            <w:tcW w:w="1436" w:type="dxa"/>
            <w:tcBorders>
              <w:top w:val="single" w:sz="4" w:space="0" w:color="auto"/>
              <w:left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$43,514</w:t>
            </w:r>
          </w:p>
        </w:tc>
        <w:tc>
          <w:tcPr>
            <w:tcW w:w="1370" w:type="dxa"/>
            <w:tcBorders>
              <w:top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$49,192</w:t>
            </w:r>
          </w:p>
        </w:tc>
        <w:tc>
          <w:tcPr>
            <w:tcW w:w="1370" w:type="dxa"/>
            <w:tcBorders>
              <w:top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$59,598</w:t>
            </w:r>
          </w:p>
        </w:tc>
      </w:tr>
      <w:tr w:rsidR="002D42B9" w:rsidRPr="001F6ECE" w:rsidTr="002D42B9">
        <w:trPr>
          <w:trHeight w:val="227"/>
        </w:trPr>
        <w:tc>
          <w:tcPr>
            <w:tcW w:w="1791" w:type="dxa"/>
            <w:vMerge/>
            <w:tcBorders>
              <w:left w:val="single" w:sz="4" w:space="0" w:color="auto"/>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top w:val="nil"/>
              <w:lef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$35,003</w:t>
            </w:r>
          </w:p>
        </w:tc>
        <w:tc>
          <w:tcPr>
            <w:tcW w:w="1370" w:type="dxa"/>
            <w:tcBorders>
              <w:top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$42,055</w:t>
            </w:r>
          </w:p>
        </w:tc>
        <w:tc>
          <w:tcPr>
            <w:tcW w:w="1370" w:type="dxa"/>
            <w:tcBorders>
              <w:top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$49,055</w:t>
            </w:r>
          </w:p>
        </w:tc>
      </w:tr>
      <w:tr w:rsidR="002D42B9" w:rsidRPr="001F6ECE" w:rsidTr="002D42B9">
        <w:trPr>
          <w:trHeight w:val="227"/>
        </w:trPr>
        <w:tc>
          <w:tcPr>
            <w:tcW w:w="1791" w:type="dxa"/>
            <w:vMerge/>
            <w:tcBorders>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single" w:sz="4" w:space="0" w:color="auto"/>
              <w:bottom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$23,083</w:t>
            </w:r>
          </w:p>
        </w:tc>
        <w:tc>
          <w:tcPr>
            <w:tcW w:w="1370" w:type="dxa"/>
            <w:tcBorders>
              <w:top w:val="nil"/>
              <w:bottom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$31,059</w:t>
            </w:r>
          </w:p>
        </w:tc>
        <w:tc>
          <w:tcPr>
            <w:tcW w:w="1370" w:type="dxa"/>
            <w:tcBorders>
              <w:top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$36,340</w:t>
            </w:r>
          </w:p>
        </w:tc>
      </w:tr>
      <w:tr w:rsidR="002D42B9" w:rsidRPr="001F6ECE" w:rsidTr="002D42B9">
        <w:trPr>
          <w:trHeight w:val="227"/>
        </w:trPr>
        <w:tc>
          <w:tcPr>
            <w:tcW w:w="1791" w:type="dxa"/>
            <w:vMerge w:val="restart"/>
            <w:tcBorders>
              <w:top w:val="nil"/>
              <w:left w:val="single" w:sz="4" w:space="0" w:color="auto"/>
              <w:bottom w:val="single" w:sz="4" w:space="0" w:color="auto"/>
              <w:right w:val="single" w:sz="4" w:space="0" w:color="auto"/>
            </w:tcBorders>
            <w:shd w:val="clear" w:color="auto" w:fill="auto"/>
            <w:vAlign w:val="center"/>
            <w:hideMark/>
          </w:tcPr>
          <w:p w:rsidR="002D42B9" w:rsidRPr="002D42B9" w:rsidRDefault="002D42B9" w:rsidP="002D42B9">
            <w:pPr>
              <w:rPr>
                <w:rFonts w:ascii="Arial" w:hAnsi="Arial"/>
                <w:sz w:val="15"/>
                <w:lang w:eastAsia="en-NZ"/>
              </w:rPr>
            </w:pPr>
            <w:r w:rsidRPr="002D42B9">
              <w:rPr>
                <w:rFonts w:ascii="Arial" w:hAnsi="Arial"/>
                <w:sz w:val="15"/>
                <w:lang w:eastAsia="en-NZ"/>
              </w:rPr>
              <w:t>Total students</w:t>
            </w:r>
          </w:p>
        </w:tc>
        <w:tc>
          <w:tcPr>
            <w:tcW w:w="1436" w:type="dxa"/>
            <w:tcBorders>
              <w:top w:val="single" w:sz="4" w:space="0" w:color="auto"/>
              <w:left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Upper quartile</w:t>
            </w:r>
          </w:p>
        </w:tc>
        <w:tc>
          <w:tcPr>
            <w:tcW w:w="2079" w:type="dxa"/>
            <w:tcBorders>
              <w:top w:val="single" w:sz="4" w:space="0" w:color="auto"/>
              <w:left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$46,169</w:t>
            </w:r>
          </w:p>
        </w:tc>
        <w:tc>
          <w:tcPr>
            <w:tcW w:w="1370" w:type="dxa"/>
            <w:tcBorders>
              <w:top w:val="single" w:sz="4" w:space="0" w:color="auto"/>
              <w:left w:val="nil"/>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$50,591</w:t>
            </w:r>
          </w:p>
        </w:tc>
        <w:tc>
          <w:tcPr>
            <w:tcW w:w="1370" w:type="dxa"/>
            <w:tcBorders>
              <w:top w:val="single" w:sz="4" w:space="0" w:color="auto"/>
              <w:left w:val="nil"/>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$62,992</w:t>
            </w:r>
          </w:p>
        </w:tc>
      </w:tr>
      <w:tr w:rsidR="002D42B9" w:rsidRPr="001F6ECE" w:rsidTr="002D42B9">
        <w:trPr>
          <w:trHeight w:val="227"/>
        </w:trPr>
        <w:tc>
          <w:tcPr>
            <w:tcW w:w="1791" w:type="dxa"/>
            <w:vMerge/>
            <w:tcBorders>
              <w:top w:val="single" w:sz="4" w:space="0" w:color="auto"/>
              <w:left w:val="single" w:sz="4" w:space="0" w:color="auto"/>
              <w:bottom w:val="single" w:sz="4" w:space="0" w:color="000000"/>
              <w:right w:val="single" w:sz="4" w:space="0" w:color="auto"/>
            </w:tcBorders>
            <w:vAlign w:val="center"/>
            <w:hideMark/>
          </w:tcPr>
          <w:p w:rsidR="002D42B9" w:rsidRPr="002D42B9" w:rsidRDefault="002D42B9" w:rsidP="002D42B9">
            <w:pPr>
              <w:pStyle w:val="Tabletext"/>
              <w:rPr>
                <w:lang w:eastAsia="en-NZ"/>
              </w:rPr>
            </w:pPr>
          </w:p>
        </w:tc>
        <w:tc>
          <w:tcPr>
            <w:tcW w:w="1436" w:type="dxa"/>
            <w:tcBorders>
              <w:left w:val="single" w:sz="4" w:space="0" w:color="auto"/>
              <w:bottom w:val="nil"/>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Median</w:t>
            </w:r>
          </w:p>
        </w:tc>
        <w:tc>
          <w:tcPr>
            <w:tcW w:w="2079" w:type="dxa"/>
            <w:tcBorders>
              <w:lef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$38,082</w:t>
            </w:r>
          </w:p>
        </w:tc>
        <w:tc>
          <w:tcPr>
            <w:tcW w:w="1370" w:type="dxa"/>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$43,720</w:t>
            </w:r>
          </w:p>
        </w:tc>
        <w:tc>
          <w:tcPr>
            <w:tcW w:w="1370" w:type="dxa"/>
            <w:tcBorders>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$50,749</w:t>
            </w:r>
          </w:p>
        </w:tc>
      </w:tr>
      <w:tr w:rsidR="002D42B9" w:rsidRPr="001F6ECE" w:rsidTr="002D42B9">
        <w:trPr>
          <w:trHeight w:val="227"/>
        </w:trPr>
        <w:tc>
          <w:tcPr>
            <w:tcW w:w="1791" w:type="dxa"/>
            <w:vMerge/>
            <w:tcBorders>
              <w:top w:val="nil"/>
              <w:left w:val="single" w:sz="4" w:space="0" w:color="auto"/>
              <w:bottom w:val="single" w:sz="4" w:space="0" w:color="auto"/>
              <w:right w:val="single" w:sz="4" w:space="0" w:color="auto"/>
            </w:tcBorders>
            <w:vAlign w:val="center"/>
            <w:hideMark/>
          </w:tcPr>
          <w:p w:rsidR="002D42B9" w:rsidRPr="002D42B9" w:rsidRDefault="002D42B9" w:rsidP="002D42B9">
            <w:pPr>
              <w:pStyle w:val="Tabletext"/>
              <w:rPr>
                <w:lang w:eastAsia="en-NZ"/>
              </w:rPr>
            </w:pPr>
          </w:p>
        </w:tc>
        <w:tc>
          <w:tcPr>
            <w:tcW w:w="1436" w:type="dxa"/>
            <w:tcBorders>
              <w:top w:val="nil"/>
              <w:left w:val="nil"/>
              <w:bottom w:val="single" w:sz="4" w:space="0" w:color="auto"/>
              <w:right w:val="single" w:sz="4" w:space="0" w:color="auto"/>
            </w:tcBorders>
            <w:shd w:val="clear" w:color="auto" w:fill="auto"/>
            <w:noWrap/>
            <w:vAlign w:val="center"/>
            <w:hideMark/>
          </w:tcPr>
          <w:p w:rsidR="002D42B9" w:rsidRPr="002D42B9" w:rsidRDefault="002D42B9" w:rsidP="002D42B9">
            <w:pPr>
              <w:pStyle w:val="Tabletext"/>
              <w:rPr>
                <w:lang w:eastAsia="en-NZ"/>
              </w:rPr>
            </w:pPr>
            <w:r w:rsidRPr="002D42B9">
              <w:rPr>
                <w:lang w:eastAsia="en-NZ"/>
              </w:rPr>
              <w:t>Lower quartile</w:t>
            </w:r>
          </w:p>
        </w:tc>
        <w:tc>
          <w:tcPr>
            <w:tcW w:w="2079"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$26,592</w:t>
            </w:r>
          </w:p>
        </w:tc>
        <w:tc>
          <w:tcPr>
            <w:tcW w:w="1370" w:type="dxa"/>
            <w:tcBorders>
              <w:top w:val="nil"/>
              <w:left w:val="nil"/>
              <w:bottom w:val="single" w:sz="4" w:space="0" w:color="auto"/>
              <w:right w:val="nil"/>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$33,141</w:t>
            </w:r>
          </w:p>
        </w:tc>
        <w:tc>
          <w:tcPr>
            <w:tcW w:w="1370" w:type="dxa"/>
            <w:tcBorders>
              <w:top w:val="nil"/>
              <w:left w:val="nil"/>
              <w:bottom w:val="single" w:sz="4" w:space="0" w:color="auto"/>
              <w:right w:val="single" w:sz="4" w:space="0" w:color="auto"/>
            </w:tcBorders>
            <w:shd w:val="clear" w:color="auto" w:fill="auto"/>
            <w:noWrap/>
            <w:vAlign w:val="bottom"/>
            <w:hideMark/>
          </w:tcPr>
          <w:p w:rsidR="002D42B9" w:rsidRPr="002D42B9" w:rsidRDefault="002D42B9" w:rsidP="002D42B9">
            <w:pPr>
              <w:jc w:val="center"/>
              <w:rPr>
                <w:rFonts w:ascii="Arial" w:hAnsi="Arial"/>
                <w:sz w:val="15"/>
                <w:lang w:eastAsia="en-NZ"/>
              </w:rPr>
            </w:pPr>
            <w:r w:rsidRPr="002D42B9">
              <w:rPr>
                <w:rFonts w:ascii="Arial" w:hAnsi="Arial"/>
                <w:sz w:val="15"/>
                <w:lang w:eastAsia="en-NZ"/>
              </w:rPr>
              <w:t>$37,070</w:t>
            </w:r>
          </w:p>
        </w:tc>
      </w:tr>
    </w:tbl>
    <w:p w:rsidR="00767E52" w:rsidRDefault="00767E52" w:rsidP="002D42B9"/>
    <w:p w:rsidR="004C0BB3" w:rsidRDefault="002D42B9" w:rsidP="002D42B9">
      <w:pPr>
        <w:rPr>
          <w:rFonts w:ascii="Arial" w:hAnsi="Arial"/>
          <w:sz w:val="14"/>
        </w:rPr>
      </w:pPr>
      <w:r w:rsidRPr="002D42B9">
        <w:rPr>
          <w:rFonts w:ascii="Arial" w:hAnsi="Arial"/>
          <w:sz w:val="14"/>
        </w:rPr>
        <w:t>Source: Statistics New Zealand, Integrated Data Infrastructure, Ministry of Education interpretation. Earnings are gro</w:t>
      </w:r>
      <w:r>
        <w:rPr>
          <w:rFonts w:ascii="Arial" w:hAnsi="Arial"/>
          <w:sz w:val="14"/>
        </w:rPr>
        <w:t xml:space="preserve">ss, annual and in 2011 dollars.  Only graduates </w:t>
      </w:r>
      <w:r w:rsidRPr="002D42B9">
        <w:rPr>
          <w:rFonts w:ascii="Arial" w:hAnsi="Arial"/>
          <w:sz w:val="14"/>
        </w:rPr>
        <w:t xml:space="preserve">classified in the employment destination are included in these results.  </w:t>
      </w:r>
    </w:p>
    <w:p w:rsidR="004C0BB3" w:rsidRDefault="004C0BB3">
      <w:pPr>
        <w:rPr>
          <w:rFonts w:ascii="Arial" w:hAnsi="Arial"/>
          <w:sz w:val="14"/>
        </w:rPr>
      </w:pPr>
      <w:r>
        <w:rPr>
          <w:rFonts w:ascii="Arial" w:hAnsi="Arial"/>
          <w:sz w:val="14"/>
        </w:rPr>
        <w:br w:type="page"/>
      </w:r>
    </w:p>
    <w:p w:rsidR="004C0BB3" w:rsidRDefault="004C0BB3" w:rsidP="004C0BB3">
      <w:pPr>
        <w:pStyle w:val="Heading2"/>
      </w:pPr>
      <w:proofErr w:type="gramStart"/>
      <w:r w:rsidRPr="00CC3F11">
        <w:lastRenderedPageBreak/>
        <w:t>Appendix 2.</w:t>
      </w:r>
      <w:proofErr w:type="gramEnd"/>
      <w:r w:rsidRPr="00CC3F11">
        <w:t xml:space="preserve">  </w:t>
      </w:r>
      <w:bookmarkStart w:id="5" w:name="_Toc346198679"/>
      <w:r w:rsidR="00CC3F11" w:rsidRPr="00CC3F11">
        <w:t xml:space="preserve">Median earnings for young domestic </w:t>
      </w:r>
      <w:proofErr w:type="gramStart"/>
      <w:r w:rsidR="00CC3F11" w:rsidRPr="00CC3F11">
        <w:t>bachelors</w:t>
      </w:r>
      <w:proofErr w:type="gramEnd"/>
      <w:r w:rsidR="00CC3F11" w:rsidRPr="00CC3F11">
        <w:t xml:space="preserve"> degree graduates, one, two and five years after study, by narrow field of study</w:t>
      </w:r>
      <w:bookmarkEnd w:id="5"/>
      <w:r>
        <w:t>.</w:t>
      </w:r>
    </w:p>
    <w:tbl>
      <w:tblPr>
        <w:tblStyle w:val="TableGrid"/>
        <w:tblW w:w="0" w:type="auto"/>
        <w:tblLook w:val="04A0"/>
      </w:tblPr>
      <w:tblGrid>
        <w:gridCol w:w="1951"/>
        <w:gridCol w:w="3203"/>
        <w:gridCol w:w="1148"/>
        <w:gridCol w:w="1110"/>
        <w:gridCol w:w="1110"/>
      </w:tblGrid>
      <w:tr w:rsidR="00B837D0" w:rsidRPr="004E66C0" w:rsidTr="0058509A">
        <w:trPr>
          <w:trHeight w:val="315"/>
        </w:trPr>
        <w:tc>
          <w:tcPr>
            <w:tcW w:w="1951" w:type="dxa"/>
            <w:hideMark/>
          </w:tcPr>
          <w:p w:rsidR="00B837D0" w:rsidRPr="00B837D0" w:rsidRDefault="00B837D0" w:rsidP="00B837D0">
            <w:pPr>
              <w:pStyle w:val="Tableheading"/>
              <w:jc w:val="both"/>
              <w:rPr>
                <w:lang w:eastAsia="en-NZ"/>
              </w:rPr>
            </w:pPr>
          </w:p>
        </w:tc>
        <w:tc>
          <w:tcPr>
            <w:tcW w:w="3203" w:type="dxa"/>
            <w:noWrap/>
            <w:hideMark/>
          </w:tcPr>
          <w:p w:rsidR="00B837D0" w:rsidRPr="00B837D0" w:rsidRDefault="00B837D0" w:rsidP="00B837D0">
            <w:pPr>
              <w:pStyle w:val="Tableheading"/>
              <w:jc w:val="both"/>
              <w:rPr>
                <w:lang w:eastAsia="en-NZ"/>
              </w:rPr>
            </w:pPr>
          </w:p>
        </w:tc>
        <w:tc>
          <w:tcPr>
            <w:tcW w:w="3368" w:type="dxa"/>
            <w:gridSpan w:val="3"/>
            <w:noWrap/>
            <w:vAlign w:val="center"/>
            <w:hideMark/>
          </w:tcPr>
          <w:p w:rsidR="00B837D0" w:rsidRPr="00B837D0" w:rsidRDefault="00B837D0" w:rsidP="0058509A">
            <w:pPr>
              <w:pStyle w:val="Tableheading"/>
              <w:rPr>
                <w:lang w:eastAsia="en-NZ"/>
              </w:rPr>
            </w:pPr>
            <w:r w:rsidRPr="00B837D0">
              <w:rPr>
                <w:lang w:eastAsia="en-NZ"/>
              </w:rPr>
              <w:t>Annual earnings</w:t>
            </w:r>
          </w:p>
        </w:tc>
      </w:tr>
      <w:tr w:rsidR="00B837D0" w:rsidRPr="004E66C0" w:rsidTr="0058509A">
        <w:trPr>
          <w:trHeight w:val="335"/>
        </w:trPr>
        <w:tc>
          <w:tcPr>
            <w:tcW w:w="1951" w:type="dxa"/>
            <w:vAlign w:val="center"/>
            <w:hideMark/>
          </w:tcPr>
          <w:p w:rsidR="00B837D0" w:rsidRPr="00B837D0" w:rsidRDefault="00B837D0" w:rsidP="0058509A">
            <w:pPr>
              <w:pStyle w:val="Tableheading"/>
              <w:rPr>
                <w:lang w:eastAsia="en-NZ"/>
              </w:rPr>
            </w:pPr>
            <w:r w:rsidRPr="00B837D0">
              <w:rPr>
                <w:lang w:eastAsia="en-NZ"/>
              </w:rPr>
              <w:t>Broad field of study</w:t>
            </w:r>
          </w:p>
        </w:tc>
        <w:tc>
          <w:tcPr>
            <w:tcW w:w="3203" w:type="dxa"/>
            <w:vAlign w:val="center"/>
            <w:hideMark/>
          </w:tcPr>
          <w:p w:rsidR="00B837D0" w:rsidRPr="00B837D0" w:rsidRDefault="00B837D0" w:rsidP="0058509A">
            <w:pPr>
              <w:pStyle w:val="Tableheading"/>
              <w:rPr>
                <w:lang w:eastAsia="en-NZ"/>
              </w:rPr>
            </w:pPr>
            <w:r w:rsidRPr="00B837D0">
              <w:rPr>
                <w:lang w:eastAsia="en-NZ"/>
              </w:rPr>
              <w:t>Narrow field of study</w:t>
            </w:r>
          </w:p>
        </w:tc>
        <w:tc>
          <w:tcPr>
            <w:tcW w:w="1148" w:type="dxa"/>
            <w:vAlign w:val="center"/>
            <w:hideMark/>
          </w:tcPr>
          <w:p w:rsidR="00B837D0" w:rsidRPr="00B837D0" w:rsidRDefault="00B837D0" w:rsidP="0058509A">
            <w:pPr>
              <w:pStyle w:val="Tableheading"/>
              <w:rPr>
                <w:lang w:eastAsia="en-NZ"/>
              </w:rPr>
            </w:pPr>
            <w:r w:rsidRPr="00B837D0">
              <w:rPr>
                <w:lang w:eastAsia="en-NZ"/>
              </w:rPr>
              <w:t>Year 1</w:t>
            </w:r>
          </w:p>
        </w:tc>
        <w:tc>
          <w:tcPr>
            <w:tcW w:w="1110" w:type="dxa"/>
            <w:vAlign w:val="center"/>
            <w:hideMark/>
          </w:tcPr>
          <w:p w:rsidR="00B837D0" w:rsidRPr="00B837D0" w:rsidRDefault="00B837D0" w:rsidP="0058509A">
            <w:pPr>
              <w:pStyle w:val="Tableheading"/>
              <w:rPr>
                <w:lang w:eastAsia="en-NZ"/>
              </w:rPr>
            </w:pPr>
            <w:r w:rsidRPr="00B837D0">
              <w:rPr>
                <w:lang w:eastAsia="en-NZ"/>
              </w:rPr>
              <w:t>Year 2</w:t>
            </w:r>
          </w:p>
        </w:tc>
        <w:tc>
          <w:tcPr>
            <w:tcW w:w="1110" w:type="dxa"/>
            <w:vAlign w:val="center"/>
            <w:hideMark/>
          </w:tcPr>
          <w:p w:rsidR="00B837D0" w:rsidRPr="00B837D0" w:rsidRDefault="00B837D0" w:rsidP="0058509A">
            <w:pPr>
              <w:pStyle w:val="Tableheading"/>
              <w:rPr>
                <w:lang w:eastAsia="en-NZ"/>
              </w:rPr>
            </w:pPr>
            <w:r w:rsidRPr="00B837D0">
              <w:rPr>
                <w:lang w:eastAsia="en-NZ"/>
              </w:rPr>
              <w:t>Year 5</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Agriculture, environmental and related studies</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Agriculture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$39,172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$44,058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$48,250</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Horticulture and Viticulture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$33,406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$37,398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$49,713</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Forestry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$43,012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$48,750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$56,654</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Environmental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$31,332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$45,567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$51,268</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Architecture and building</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Architecture and Urban Environment</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$33,502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$40,637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$47,197</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Building</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$43,474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$46,723</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$59,034</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Creative arts</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Performing Arts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$22,368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$27,264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$33,801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Visual Arts and Crafts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$25,099</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$31,070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$39,266</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Graphic and Design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$27,737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$34,882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$42,379</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Communication and Media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$32,332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$38,102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$46,331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Creative Arts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$31,893</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$30,536</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Education</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Teacher Education</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$44,798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$46,477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$51,139</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Curriculum and Education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$44,412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$46,511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$50,317</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Engineering and related technologies</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Manufacturing, Engineering and Technology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$61,567</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Process and Resources Engineering</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$40,331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$38,696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$58,108</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Mechanical and Industrial Engineering and Technology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$41,692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$47,714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$54,559</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Civil Engineering</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$46,145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$48,996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$63,091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proofErr w:type="spellStart"/>
            <w:r w:rsidRPr="00B837D0">
              <w:rPr>
                <w:rFonts w:ascii="Arial" w:hAnsi="Arial"/>
                <w:sz w:val="15"/>
                <w:lang w:eastAsia="en-NZ"/>
              </w:rPr>
              <w:t>Geomatic</w:t>
            </w:r>
            <w:proofErr w:type="spellEnd"/>
            <w:r w:rsidRPr="00B837D0">
              <w:rPr>
                <w:rFonts w:ascii="Arial" w:hAnsi="Arial"/>
                <w:sz w:val="15"/>
                <w:lang w:eastAsia="en-NZ"/>
              </w:rPr>
              <w:t xml:space="preserve"> Engineering</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$43,975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$45,309</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$53,108</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Electrical and Electronic Engineering and Technology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$39,104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$45,734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$59,542</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Engineering and Related Technologies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$36,237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$61,542</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Health</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Medical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$88,731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$93,456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$109,318</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Nursing</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$45,737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$50,337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$55,575</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Pharmacy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$40,278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$65,060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$74,251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Dental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$67,757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$75,131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$65,720</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Veterinary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$61,055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$65,075</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Public Health</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$38,982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$46,930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$59,821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Radiography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$54,387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$58,416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$71,724</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Rehabilitation Therapies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$44,028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$47,762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$48,813</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Health</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$30,448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$38,190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$46,723</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Information technology</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Computer Science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$41,151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$45,616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$57,091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Information Systems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$40,460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$45,498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$56,230</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Information Technology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$41,310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$48,018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$56,849</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Management and commerce</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Accountancy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$41,987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$45,004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$58,722</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Business and Management</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$38,427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$43,687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$51,615</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Sales and Marketing</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$37,450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$42,875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$50,758</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Tourism</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$33,342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$38,386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$45,365</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Banking, Finance and Related Fields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$40,274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$45,638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$57,474</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Management and Commerce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$38,039</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$44,961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$58,850</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Natural and physical sciences</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Mathematical Sciences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$38,522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$45,944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$52,471</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Physics and Astronomy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$40,446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$43,714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$55,133</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Chemical Sciences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$34,560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$40,530</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$46,876</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Earth Sciences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$32,874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$44,158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$51,865</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Biological Sciences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$31,308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$37,755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$47,814</w:t>
            </w:r>
          </w:p>
        </w:tc>
      </w:tr>
      <w:tr w:rsidR="00B837D0" w:rsidRPr="004E66C0" w:rsidTr="0058509A">
        <w:trPr>
          <w:trHeight w:val="300"/>
        </w:trPr>
        <w:tc>
          <w:tcPr>
            <w:tcW w:w="1951" w:type="dxa"/>
            <w:vMerge/>
            <w:vAlign w:val="center"/>
            <w:hideMark/>
          </w:tcPr>
          <w:p w:rsidR="00B837D0" w:rsidRPr="00B837D0" w:rsidRDefault="00B837D0" w:rsidP="0058509A">
            <w:pP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Natural and Physical Sciences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$38,657</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$50,306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$57,827</w:t>
            </w:r>
          </w:p>
        </w:tc>
      </w:tr>
      <w:tr w:rsidR="00B837D0" w:rsidRPr="004E66C0" w:rsidTr="0058509A">
        <w:trPr>
          <w:trHeight w:val="300"/>
        </w:trPr>
        <w:tc>
          <w:tcPr>
            <w:tcW w:w="1951" w:type="dxa"/>
            <w:vMerge w:val="restart"/>
            <w:vAlign w:val="center"/>
            <w:hideMark/>
          </w:tcPr>
          <w:p w:rsidR="00B837D0" w:rsidRPr="00B837D0" w:rsidRDefault="00B837D0" w:rsidP="0058509A">
            <w:pPr>
              <w:rPr>
                <w:rFonts w:ascii="Arial" w:hAnsi="Arial"/>
                <w:sz w:val="15"/>
                <w:lang w:eastAsia="en-NZ"/>
              </w:rPr>
            </w:pPr>
            <w:r w:rsidRPr="00B837D0">
              <w:rPr>
                <w:rFonts w:ascii="Arial" w:hAnsi="Arial"/>
                <w:sz w:val="15"/>
                <w:lang w:eastAsia="en-NZ"/>
              </w:rPr>
              <w:t>Society and culture</w:t>
            </w: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Political Science and Policy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$34,902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$40,912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$49,733</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Studies in Human Society</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$32,214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$40,094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$47,764</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Human Welfare Studies and Services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$41,788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$45,945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$51,046</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Behavioural Science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$32,928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$39,973</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$47,349</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Law</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$41,706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$47,874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$54,771</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Justice and Law Enforcement</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$34,095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$39,755</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$45,542</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Language and Literature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$29,701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$38,352</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$44,836</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Philosophy and Religious Studies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$32,569</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$38,068</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$47,323</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Economics and Econometrics</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$39,726</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$45,683</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$57,882</w:t>
            </w:r>
          </w:p>
        </w:tc>
      </w:tr>
      <w:tr w:rsidR="00B837D0" w:rsidRPr="004E66C0" w:rsidTr="0058509A">
        <w:trPr>
          <w:trHeight w:val="300"/>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Sport and Recreation</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$28,851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$36,461</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$45,356</w:t>
            </w:r>
          </w:p>
        </w:tc>
      </w:tr>
      <w:tr w:rsidR="00B837D0" w:rsidRPr="004E66C0" w:rsidTr="0058509A">
        <w:trPr>
          <w:trHeight w:val="315"/>
        </w:trPr>
        <w:tc>
          <w:tcPr>
            <w:tcW w:w="1951" w:type="dxa"/>
            <w:vMerge/>
            <w:vAlign w:val="center"/>
            <w:hideMark/>
          </w:tcPr>
          <w:p w:rsidR="00B837D0" w:rsidRPr="00B837D0" w:rsidRDefault="00B837D0" w:rsidP="0058509A">
            <w:pPr>
              <w:jc w:val="center"/>
              <w:rPr>
                <w:rFonts w:ascii="Arial" w:hAnsi="Arial"/>
                <w:sz w:val="15"/>
                <w:lang w:eastAsia="en-NZ"/>
              </w:rPr>
            </w:pPr>
          </w:p>
        </w:tc>
        <w:tc>
          <w:tcPr>
            <w:tcW w:w="3203"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Other Society and Culture</w:t>
            </w:r>
          </w:p>
        </w:tc>
        <w:tc>
          <w:tcPr>
            <w:tcW w:w="1148"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$30,903</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$38,204</w:t>
            </w:r>
          </w:p>
        </w:tc>
        <w:tc>
          <w:tcPr>
            <w:tcW w:w="1110" w:type="dxa"/>
            <w:noWrap/>
            <w:vAlign w:val="center"/>
            <w:hideMark/>
          </w:tcPr>
          <w:p w:rsidR="00B837D0" w:rsidRPr="00B837D0" w:rsidRDefault="00B837D0" w:rsidP="0058509A">
            <w:pPr>
              <w:jc w:val="center"/>
              <w:rPr>
                <w:rFonts w:ascii="Arial" w:hAnsi="Arial"/>
                <w:sz w:val="15"/>
                <w:lang w:eastAsia="en-NZ"/>
              </w:rPr>
            </w:pPr>
            <w:r w:rsidRPr="00B837D0">
              <w:rPr>
                <w:rFonts w:ascii="Arial" w:hAnsi="Arial"/>
                <w:sz w:val="15"/>
                <w:lang w:eastAsia="en-NZ"/>
              </w:rPr>
              <w:t>$44,338</w:t>
            </w:r>
          </w:p>
        </w:tc>
      </w:tr>
    </w:tbl>
    <w:p w:rsidR="00B837D0" w:rsidRDefault="00B837D0" w:rsidP="00B837D0">
      <w:pPr>
        <w:rPr>
          <w:rFonts w:ascii="Arial" w:hAnsi="Arial" w:cs="Arial"/>
          <w:b/>
          <w:szCs w:val="22"/>
        </w:rPr>
      </w:pPr>
    </w:p>
    <w:p w:rsidR="00CC3F11" w:rsidRPr="00790BA6" w:rsidRDefault="00790BA6" w:rsidP="00790BA6">
      <w:pPr>
        <w:pStyle w:val="BodyText"/>
        <w:spacing w:after="0" w:line="240" w:lineRule="auto"/>
        <w:jc w:val="left"/>
        <w:rPr>
          <w:rFonts w:ascii="Arial" w:hAnsi="Arial"/>
          <w:sz w:val="14"/>
          <w:szCs w:val="24"/>
        </w:rPr>
      </w:pPr>
      <w:r w:rsidRPr="00790BA6">
        <w:rPr>
          <w:rFonts w:ascii="Arial" w:hAnsi="Arial"/>
          <w:sz w:val="14"/>
          <w:szCs w:val="24"/>
        </w:rPr>
        <w:t xml:space="preserve">Source: Statistics New Zealand, Integrated Data Infrastructure, Ministry of Education interpretation. Earnings are gross, annual and in 2011 dollars. An "S" indicates that a value is suppressed as it has not met Statistics </w:t>
      </w:r>
      <w:proofErr w:type="spellStart"/>
      <w:r w:rsidRPr="00790BA6">
        <w:rPr>
          <w:rFonts w:ascii="Arial" w:hAnsi="Arial"/>
          <w:sz w:val="14"/>
          <w:szCs w:val="24"/>
        </w:rPr>
        <w:t>NZ's</w:t>
      </w:r>
      <w:proofErr w:type="spellEnd"/>
      <w:r w:rsidRPr="00790BA6">
        <w:rPr>
          <w:rFonts w:ascii="Arial" w:hAnsi="Arial"/>
          <w:sz w:val="14"/>
          <w:szCs w:val="24"/>
        </w:rPr>
        <w:t xml:space="preserve"> confidentiality requirements. Only graduates classified in the employment destination are included in these results.  </w:t>
      </w:r>
    </w:p>
    <w:p w:rsidR="002D42B9" w:rsidRPr="002D42B9" w:rsidRDefault="002D42B9" w:rsidP="002D42B9">
      <w:pPr>
        <w:rPr>
          <w:rFonts w:ascii="Arial" w:hAnsi="Arial"/>
          <w:sz w:val="14"/>
        </w:rPr>
      </w:pPr>
    </w:p>
    <w:sectPr w:rsidR="002D42B9" w:rsidRPr="002D42B9" w:rsidSect="00205A50">
      <w:headerReference w:type="even" r:id="rId19"/>
      <w:headerReference w:type="default" r:id="rId20"/>
      <w:footerReference w:type="even" r:id="rId21"/>
      <w:footerReference w:type="default" r:id="rId22"/>
      <w:pgSz w:w="11906" w:h="16838" w:code="9"/>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5F5" w:rsidRDefault="00B975F5" w:rsidP="00326930">
      <w:r>
        <w:separator/>
      </w:r>
    </w:p>
  </w:endnote>
  <w:endnote w:type="continuationSeparator" w:id="0">
    <w:p w:rsidR="00B975F5" w:rsidRDefault="00B975F5" w:rsidP="0032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3935D1">
    <w:pPr>
      <w:pStyle w:val="Footer"/>
    </w:pPr>
    <w:r w:rsidRPr="003935D1">
      <w:rPr>
        <w:noProof/>
        <w:lang w:val="en-GB" w:eastAsia="en-GB"/>
      </w:rPr>
      <w:pict>
        <v:shapetype id="_x0000_t202" coordsize="21600,21600" o:spt="202" path="m,l,21600r21600,l21600,xe">
          <v:stroke joinstyle="miter"/>
          <v:path gradientshapeok="t" o:connecttype="rect"/>
        </v:shapetype>
        <v:shape id="_x0000_s2051" type="#_x0000_t202" style="position:absolute;margin-left:180pt;margin-top:-2.75pt;width:306pt;height:27pt;z-index:251658752" filled="f" stroked="f">
          <v:textbox>
            <w:txbxContent>
              <w:p w:rsidR="00B837D0" w:rsidRPr="009E4CB6" w:rsidRDefault="00B837D0" w:rsidP="009E4CB6">
                <w:pPr>
                  <w:jc w:val="right"/>
                  <w:rPr>
                    <w:rFonts w:ascii="Arial" w:hAnsi="Arial" w:cs="Arial"/>
                    <w:sz w:val="28"/>
                    <w:szCs w:val="28"/>
                  </w:rPr>
                </w:pPr>
                <w:r w:rsidRPr="009E4CB6">
                  <w:rPr>
                    <w:rFonts w:ascii="Arial" w:hAnsi="Arial" w:cs="Arial"/>
                    <w:sz w:val="28"/>
                    <w:szCs w:val="28"/>
                  </w:rPr>
                  <w:t>Tertiary education occasional paper</w:t>
                </w:r>
                <w:r>
                  <w:rPr>
                    <w:rFonts w:ascii="Arial" w:hAnsi="Arial" w:cs="Arial"/>
                    <w:sz w:val="28"/>
                    <w:szCs w:val="28"/>
                  </w:rPr>
                  <w:t xml:space="preserve"> 2013/02</w:t>
                </w:r>
              </w:p>
            </w:txbxContent>
          </v:textbox>
        </v:shape>
      </w:pict>
    </w:r>
    <w:r w:rsidRPr="003935D1">
      <w:rPr>
        <w:noProof/>
        <w:lang w:val="en-GB" w:eastAsia="en-GB"/>
      </w:rPr>
      <w:pict>
        <v:line id="_x0000_s2050" style="position:absolute;z-index:251657728" from="-89.85pt,-29.75pt" to="513.15pt,-29.75pt" strokecolor="gray" strokeweight="2.5pt"/>
      </w:pict>
    </w:r>
    <w:r w:rsidR="00B837D0">
      <w:rPr>
        <w:noProof/>
        <w:lang w:eastAsia="en-NZ"/>
      </w:rPr>
      <w:drawing>
        <wp:anchor distT="0" distB="0" distL="114300" distR="114300" simplePos="0" relativeHeight="251655680" behindDoc="1" locked="0" layoutInCell="1" allowOverlap="1">
          <wp:simplePos x="0" y="0"/>
          <wp:positionH relativeFrom="column">
            <wp:posOffset>-457200</wp:posOffset>
          </wp:positionH>
          <wp:positionV relativeFrom="paragraph">
            <wp:posOffset>77470</wp:posOffset>
          </wp:positionV>
          <wp:extent cx="1371600" cy="144780"/>
          <wp:effectExtent l="19050" t="0" r="0" b="0"/>
          <wp:wrapNone/>
          <wp:docPr id="36" name="Picture 36"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newzealand-government"/>
                  <pic:cNvPicPr>
                    <a:picLocks noChangeAspect="1" noChangeArrowheads="1"/>
                  </pic:cNvPicPr>
                </pic:nvPicPr>
                <pic:blipFill>
                  <a:blip r:embed="rId1"/>
                  <a:srcRect/>
                  <a:stretch>
                    <a:fillRect/>
                  </a:stretch>
                </pic:blipFill>
                <pic:spPr bwMode="auto">
                  <a:xfrm>
                    <a:off x="0" y="0"/>
                    <a:ext cx="1371600" cy="14478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3935D1" w:rsidP="000E2624">
    <w:pPr>
      <w:pStyle w:val="Footer"/>
      <w:framePr w:wrap="around" w:vAnchor="text" w:hAnchor="page" w:x="1711" w:y="352"/>
      <w:rPr>
        <w:rStyle w:val="PageNumber"/>
      </w:rPr>
    </w:pPr>
    <w:r>
      <w:rPr>
        <w:rStyle w:val="PageNumber"/>
      </w:rPr>
      <w:fldChar w:fldCharType="begin"/>
    </w:r>
    <w:r w:rsidR="00B837D0">
      <w:rPr>
        <w:rStyle w:val="PageNumber"/>
      </w:rPr>
      <w:instrText xml:space="preserve">PAGE  </w:instrText>
    </w:r>
    <w:r>
      <w:rPr>
        <w:rStyle w:val="PageNumber"/>
      </w:rPr>
      <w:fldChar w:fldCharType="separate"/>
    </w:r>
    <w:r w:rsidR="00D94464">
      <w:rPr>
        <w:rStyle w:val="PageNumber"/>
        <w:noProof/>
      </w:rPr>
      <w:t>12</w:t>
    </w:r>
    <w:r>
      <w:rPr>
        <w:rStyle w:val="PageNumber"/>
      </w:rPr>
      <w:fldChar w:fldCharType="end"/>
    </w:r>
  </w:p>
  <w:p w:rsidR="00B837D0" w:rsidRPr="000E2624" w:rsidRDefault="00B837D0" w:rsidP="00BB56A5">
    <w:pPr>
      <w:pStyle w:val="Title"/>
      <w:ind w:left="0" w:firstLine="567"/>
      <w:jc w:val="left"/>
      <w:rPr>
        <w:sz w:val="16"/>
        <w:szCs w:val="16"/>
      </w:rPr>
    </w:pPr>
    <w:r w:rsidRPr="000E2624">
      <w:rPr>
        <w:b/>
        <w:sz w:val="16"/>
        <w:szCs w:val="16"/>
      </w:rPr>
      <w:t>Ministry of Education</w:t>
    </w:r>
    <w:r w:rsidRPr="000E2624">
      <w:rPr>
        <w:sz w:val="16"/>
        <w:szCs w:val="16"/>
      </w:rPr>
      <w:tab/>
    </w:r>
    <w:r>
      <w:rPr>
        <w:sz w:val="16"/>
        <w:szCs w:val="16"/>
      </w:rPr>
      <w:tab/>
    </w:r>
    <w:fldSimple w:instr=" REF ReportTitle  \* MERGEFORMAT ">
      <w:r w:rsidRPr="001805DA">
        <w:rPr>
          <w:sz w:val="16"/>
          <w:szCs w:val="16"/>
        </w:rPr>
        <w:t>Looking at the employment outcomes of tertiary education</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3935D1" w:rsidP="00BB56A5">
    <w:pPr>
      <w:pStyle w:val="Footer"/>
      <w:framePr w:wrap="around" w:vAnchor="text" w:hAnchor="page" w:x="10066" w:y="711"/>
      <w:ind w:right="-52"/>
      <w:rPr>
        <w:rStyle w:val="PageNumber"/>
      </w:rPr>
    </w:pPr>
    <w:r>
      <w:rPr>
        <w:rStyle w:val="PageNumber"/>
      </w:rPr>
      <w:fldChar w:fldCharType="begin"/>
    </w:r>
    <w:r w:rsidR="00B837D0">
      <w:rPr>
        <w:rStyle w:val="PageNumber"/>
      </w:rPr>
      <w:instrText xml:space="preserve">PAGE  </w:instrText>
    </w:r>
    <w:r>
      <w:rPr>
        <w:rStyle w:val="PageNumber"/>
      </w:rPr>
      <w:fldChar w:fldCharType="separate"/>
    </w:r>
    <w:r w:rsidR="00D94464">
      <w:rPr>
        <w:rStyle w:val="PageNumber"/>
        <w:noProof/>
      </w:rPr>
      <w:t>11</w:t>
    </w:r>
    <w:r>
      <w:rPr>
        <w:rStyle w:val="PageNumber"/>
      </w:rPr>
      <w:fldChar w:fldCharType="end"/>
    </w:r>
  </w:p>
  <w:p w:rsidR="00B837D0" w:rsidRPr="00296C25" w:rsidRDefault="00B837D0" w:rsidP="00BB56A5">
    <w:pPr>
      <w:pStyle w:val="Title"/>
      <w:ind w:left="0"/>
      <w:jc w:val="left"/>
      <w:rPr>
        <w:b/>
        <w:sz w:val="16"/>
        <w:szCs w:val="16"/>
      </w:rPr>
    </w:pPr>
  </w:p>
  <w:p w:rsidR="00B837D0" w:rsidRPr="000E2624" w:rsidRDefault="003935D1" w:rsidP="00BB56A5">
    <w:pPr>
      <w:pStyle w:val="Title"/>
      <w:spacing w:line="240" w:lineRule="auto"/>
      <w:ind w:left="0"/>
      <w:rPr>
        <w:b/>
        <w:sz w:val="16"/>
        <w:szCs w:val="16"/>
      </w:rPr>
    </w:pPr>
    <w:fldSimple w:instr=" REF ReportTitle  \* MERGEFORMAT ">
      <w:r w:rsidR="00B837D0" w:rsidRPr="001805DA">
        <w:rPr>
          <w:sz w:val="16"/>
          <w:szCs w:val="16"/>
        </w:rPr>
        <w:t>Looking at the employment outcomes of tertiary education</w:t>
      </w:r>
    </w:fldSimple>
    <w:r w:rsidR="00B837D0">
      <w:tab/>
    </w:r>
    <w:r w:rsidR="00B837D0" w:rsidRPr="00296C25">
      <w:rPr>
        <w:b/>
        <w:sz w:val="16"/>
        <w:szCs w:val="16"/>
      </w:rPr>
      <w:t>Ministry of Education</w:t>
    </w:r>
    <w:r w:rsidR="00B837D0">
      <w:rPr>
        <w:b/>
        <w:sz w:val="16"/>
        <w:szCs w:val="16"/>
      </w:rPr>
      <w:tab/>
    </w:r>
    <w:r w:rsidR="00B837D0">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5F5" w:rsidRPr="00CC3EDB" w:rsidRDefault="00B975F5" w:rsidP="00326930">
      <w:pPr>
        <w:rPr>
          <w:color w:val="347FB9"/>
        </w:rPr>
      </w:pPr>
      <w:r w:rsidRPr="00CC3EDB">
        <w:rPr>
          <w:color w:val="347FB9"/>
        </w:rPr>
        <w:separator/>
      </w:r>
    </w:p>
  </w:footnote>
  <w:footnote w:type="continuationSeparator" w:id="0">
    <w:p w:rsidR="00B975F5" w:rsidRPr="0069109A" w:rsidRDefault="00B975F5" w:rsidP="00326930">
      <w:pPr>
        <w:rPr>
          <w:color w:val="347FB9"/>
        </w:rPr>
      </w:pPr>
      <w:r w:rsidRPr="0069109A">
        <w:rPr>
          <w:color w:val="347FB9"/>
        </w:rPr>
        <w:continuationSeparator/>
      </w:r>
    </w:p>
  </w:footnote>
  <w:footnote w:id="1">
    <w:p w:rsidR="00B837D0" w:rsidRPr="00FA682D" w:rsidRDefault="00B837D0" w:rsidP="00890A85">
      <w:pPr>
        <w:rPr>
          <w:rStyle w:val="Hyperlink"/>
          <w:sz w:val="14"/>
          <w:szCs w:val="14"/>
        </w:rPr>
      </w:pPr>
      <w:r>
        <w:rPr>
          <w:rStyle w:val="FootnoteReference"/>
        </w:rPr>
        <w:footnoteRef/>
      </w:r>
      <w:r>
        <w:t xml:space="preserve"> </w:t>
      </w:r>
      <w:proofErr w:type="spellStart"/>
      <w:r w:rsidRPr="00890A85">
        <w:rPr>
          <w:sz w:val="14"/>
          <w:szCs w:val="14"/>
        </w:rPr>
        <w:t>Mahoney</w:t>
      </w:r>
      <w:proofErr w:type="gramStart"/>
      <w:r w:rsidRPr="00890A85">
        <w:rPr>
          <w:sz w:val="14"/>
          <w:szCs w:val="14"/>
        </w:rPr>
        <w:t>,P</w:t>
      </w:r>
      <w:proofErr w:type="spellEnd"/>
      <w:proofErr w:type="gramEnd"/>
      <w:r w:rsidRPr="00890A85">
        <w:rPr>
          <w:sz w:val="14"/>
          <w:szCs w:val="14"/>
        </w:rPr>
        <w:t>., Park, Z., Smyth, R. (2013</w:t>
      </w:r>
      <w:r w:rsidRPr="00890A85">
        <w:rPr>
          <w:i/>
          <w:sz w:val="14"/>
          <w:szCs w:val="14"/>
        </w:rPr>
        <w:t xml:space="preserve">). </w:t>
      </w:r>
      <w:proofErr w:type="gramStart"/>
      <w:r w:rsidRPr="00890A85">
        <w:rPr>
          <w:i/>
          <w:sz w:val="14"/>
          <w:szCs w:val="14"/>
        </w:rPr>
        <w:t>Moving on up: What young people earn after their tertiary education</w:t>
      </w:r>
      <w:r w:rsidRPr="00890A85">
        <w:rPr>
          <w:sz w:val="14"/>
          <w:szCs w:val="14"/>
        </w:rPr>
        <w:t>, Wellington, Ministry of Education, New Zealand.</w:t>
      </w:r>
      <w:proofErr w:type="gramEnd"/>
      <w:r w:rsidRPr="00890A85">
        <w:rPr>
          <w:sz w:val="14"/>
          <w:szCs w:val="14"/>
        </w:rPr>
        <w:t xml:space="preserve"> </w:t>
      </w:r>
      <w:r w:rsidRPr="00FA682D">
        <w:rPr>
          <w:rStyle w:val="Hyperlink"/>
          <w:sz w:val="14"/>
          <w:szCs w:val="14"/>
        </w:rPr>
        <w:t>http://www.educationcounts.govt.nz/publications/tertiary_education/115410</w:t>
      </w:r>
    </w:p>
    <w:p w:rsidR="00B837D0" w:rsidRPr="00FA682D" w:rsidRDefault="00B837D0">
      <w:pPr>
        <w:pStyle w:val="FootnoteText"/>
        <w:rPr>
          <w:rStyle w:val="Hyperlink"/>
          <w:szCs w:val="14"/>
        </w:rPr>
      </w:pPr>
    </w:p>
  </w:footnote>
  <w:footnote w:id="2">
    <w:p w:rsidR="00B837D0" w:rsidRPr="0080183F" w:rsidRDefault="00B837D0" w:rsidP="00864BFD">
      <w:pPr>
        <w:pStyle w:val="FootnoteText"/>
        <w:rPr>
          <w:szCs w:val="14"/>
        </w:rPr>
      </w:pPr>
      <w:r w:rsidRPr="0080183F">
        <w:rPr>
          <w:rStyle w:val="FootnoteReference"/>
          <w:szCs w:val="14"/>
        </w:rPr>
        <w:footnoteRef/>
      </w:r>
      <w:r w:rsidRPr="0080183F">
        <w:rPr>
          <w:szCs w:val="14"/>
        </w:rPr>
        <w:t xml:space="preserve"> Note that the age cut-off for a “young” graduate is higher for higher qualifications though – the cut-off is 21 years for certificates and 23 years for diplomas.  This will likely explain some of the increase in earnings.</w:t>
      </w:r>
    </w:p>
  </w:footnote>
  <w:footnote w:id="3">
    <w:p w:rsidR="00B837D0" w:rsidRPr="0080183F" w:rsidRDefault="00B837D0" w:rsidP="00864BFD">
      <w:pPr>
        <w:pStyle w:val="FootnoteText"/>
      </w:pPr>
      <w:r w:rsidRPr="0080183F">
        <w:rPr>
          <w:rStyle w:val="FootnoteReference"/>
        </w:rPr>
        <w:footnoteRef/>
      </w:r>
      <w:r w:rsidRPr="0080183F">
        <w:t xml:space="preserve"> The data in both this update and </w:t>
      </w:r>
      <w:r w:rsidRPr="0080183F">
        <w:rPr>
          <w:i/>
        </w:rPr>
        <w:t>Moving on up</w:t>
      </w:r>
      <w:r w:rsidRPr="0080183F">
        <w:t xml:space="preserve"> is adjusted by the wages and salary component of the Labour Cost Index so that all values are in 2011 dollars.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B837D0" w:rsidP="009E4CB6">
    <w:pPr>
      <w:pStyle w:val="Header"/>
    </w:pPr>
    <w:r>
      <w:rPr>
        <w:noProof/>
        <w:lang w:eastAsia="en-NZ"/>
      </w:rPr>
      <w:drawing>
        <wp:anchor distT="0" distB="0" distL="114300" distR="114300" simplePos="0" relativeHeight="251659776" behindDoc="1" locked="0" layoutInCell="1" allowOverlap="1">
          <wp:simplePos x="0" y="0"/>
          <wp:positionH relativeFrom="column">
            <wp:posOffset>-914400</wp:posOffset>
          </wp:positionH>
          <wp:positionV relativeFrom="paragraph">
            <wp:posOffset>-347980</wp:posOffset>
          </wp:positionV>
          <wp:extent cx="7315200" cy="1856740"/>
          <wp:effectExtent l="19050" t="0" r="0" b="0"/>
          <wp:wrapNone/>
          <wp:docPr id="41" name="Picture 41" descr="gray branding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y branding strip"/>
                  <pic:cNvPicPr>
                    <a:picLocks noChangeAspect="1" noChangeArrowheads="1"/>
                  </pic:cNvPicPr>
                </pic:nvPicPr>
                <pic:blipFill>
                  <a:blip r:embed="rId1"/>
                  <a:srcRect/>
                  <a:stretch>
                    <a:fillRect/>
                  </a:stretch>
                </pic:blipFill>
                <pic:spPr bwMode="auto">
                  <a:xfrm>
                    <a:off x="0" y="0"/>
                    <a:ext cx="7315200" cy="1856740"/>
                  </a:xfrm>
                  <a:prstGeom prst="rect">
                    <a:avLst/>
                  </a:prstGeom>
                  <a:noFill/>
                  <a:ln w="9525">
                    <a:noFill/>
                    <a:miter lim="800000"/>
                    <a:headEnd/>
                    <a:tailEnd/>
                  </a:ln>
                </pic:spPr>
              </pic:pic>
            </a:graphicData>
          </a:graphic>
        </wp:anchor>
      </w:drawing>
    </w:r>
    <w:r w:rsidR="003935D1" w:rsidRPr="003935D1">
      <w:rPr>
        <w:noProof/>
        <w:lang w:val="en-GB" w:eastAsia="en-GB"/>
      </w:rPr>
      <w:pict>
        <v:line id="_x0000_s2049" style="position:absolute;z-index:251656704;mso-position-horizontal-relative:text;mso-position-vertical-relative:text" from="-89.85pt,629.45pt" to="513.15pt,629.45pt" strokecolor="gray"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B837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B837D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7D0" w:rsidRDefault="00B837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02E"/>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
    <w:nsid w:val="11E77CD2"/>
    <w:multiLevelType w:val="multilevel"/>
    <w:tmpl w:val="9EF8142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4"/>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2">
    <w:nsid w:val="3FFA209B"/>
    <w:multiLevelType w:val="multilevel"/>
    <w:tmpl w:val="655ABCD0"/>
    <w:lvl w:ilvl="0">
      <w:start w:val="1"/>
      <w:numFmt w:val="upperLetter"/>
      <w:pStyle w:val="Appendix"/>
      <w:lvlText w:val="Appendix %1 "/>
      <w:lvlJc w:val="left"/>
      <w:pPr>
        <w:tabs>
          <w:tab w:val="num" w:pos="2155"/>
        </w:tabs>
        <w:ind w:left="2155" w:hanging="2155"/>
      </w:pPr>
      <w:rPr>
        <w:rFonts w:hint="default"/>
      </w:rPr>
    </w:lvl>
    <w:lvl w:ilvl="1">
      <w:start w:val="1"/>
      <w:numFmt w:val="decimal"/>
      <w:pStyle w:val="AppendixSub"/>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
    <w:nsid w:val="44A66064"/>
    <w:multiLevelType w:val="multilevel"/>
    <w:tmpl w:val="92347E3E"/>
    <w:lvl w:ilvl="0">
      <w:start w:val="1"/>
      <w:numFmt w:val="bullet"/>
      <w:pStyle w:val="TGbulletindent"/>
      <w:lvlText w:val=""/>
      <w:lvlJc w:val="left"/>
      <w:pPr>
        <w:tabs>
          <w:tab w:val="num" w:pos="360"/>
        </w:tabs>
        <w:ind w:left="360" w:hanging="360"/>
      </w:pPr>
      <w:rPr>
        <w:rFonts w:ascii="Symbol" w:hAnsi="Symbol" w:hint="default"/>
        <w:b w:val="0"/>
        <w:i w:val="0"/>
        <w:color w:val="auto"/>
      </w:rPr>
    </w:lvl>
    <w:lvl w:ilvl="1">
      <w:start w:val="1"/>
      <w:numFmt w:val="lowerLetter"/>
      <w:lvlText w:val="%2."/>
      <w:lvlJc w:val="left"/>
      <w:pPr>
        <w:tabs>
          <w:tab w:val="num" w:pos="794"/>
        </w:tabs>
        <w:ind w:left="792" w:hanging="435"/>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4EC81851"/>
    <w:multiLevelType w:val="hybridMultilevel"/>
    <w:tmpl w:val="D5302B4A"/>
    <w:lvl w:ilvl="0" w:tplc="3092ACAA">
      <w:start w:val="1"/>
      <w:numFmt w:val="bullet"/>
      <w:pStyle w:val="Bullet1"/>
      <w:lvlText w:val=""/>
      <w:lvlJc w:val="left"/>
      <w:pPr>
        <w:tabs>
          <w:tab w:val="num" w:pos="1134"/>
        </w:tabs>
        <w:ind w:left="1134"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7121918"/>
    <w:multiLevelType w:val="hybridMultilevel"/>
    <w:tmpl w:val="BDEEE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BD6580D"/>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7">
    <w:nsid w:val="69C628C0"/>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8">
    <w:nsid w:val="6ABD35DB"/>
    <w:multiLevelType w:val="multilevel"/>
    <w:tmpl w:val="CAB86FD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9">
    <w:nsid w:val="6DDD761B"/>
    <w:multiLevelType w:val="multilevel"/>
    <w:tmpl w:val="336E6796"/>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8"/>
      </w:rPr>
    </w:lvl>
    <w:lvl w:ilvl="2">
      <w:start w:val="1"/>
      <w:numFmt w:val="decimal"/>
      <w:lvlRestart w:val="1"/>
      <w:pStyle w:val="Heading2a"/>
      <w:lvlText w:val="%1.%3"/>
      <w:lvlJc w:val="left"/>
      <w:pPr>
        <w:tabs>
          <w:tab w:val="num" w:pos="567"/>
        </w:tabs>
        <w:ind w:left="567" w:hanging="567"/>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10">
    <w:nsid w:val="7DFD36A5"/>
    <w:multiLevelType w:val="hybridMultilevel"/>
    <w:tmpl w:val="3F6C9F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7E280C30"/>
    <w:multiLevelType w:val="multilevel"/>
    <w:tmpl w:val="D5D843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sz w:val="24"/>
      </w:rPr>
    </w:lvl>
    <w:lvl w:ilvl="2">
      <w:start w:val="1"/>
      <w:numFmt w:val="decimal"/>
      <w:lvlText w:val="%1.%2.%3"/>
      <w:lvlJc w:val="left"/>
      <w:pPr>
        <w:tabs>
          <w:tab w:val="num" w:pos="1701"/>
        </w:tabs>
        <w:ind w:left="1701" w:hanging="964"/>
      </w:pPr>
      <w:rPr>
        <w:rFonts w:hint="default"/>
      </w:rPr>
    </w:lvl>
    <w:lvl w:ilvl="3">
      <w:start w:val="1"/>
      <w:numFmt w:val="lowerRoman"/>
      <w:lvlText w:val="(%4)"/>
      <w:lvlJc w:val="left"/>
      <w:pPr>
        <w:tabs>
          <w:tab w:val="num" w:pos="2268"/>
        </w:tabs>
        <w:ind w:left="2268" w:hanging="567"/>
      </w:pPr>
      <w:rPr>
        <w:rFonts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1"/>
  </w:num>
  <w:num w:numId="6">
    <w:abstractNumId w:val="0"/>
  </w:num>
  <w:num w:numId="7">
    <w:abstractNumId w:val="11"/>
  </w:num>
  <w:num w:numId="8">
    <w:abstractNumId w:val="6"/>
  </w:num>
  <w:num w:numId="9">
    <w:abstractNumId w:val="8"/>
  </w:num>
  <w:num w:numId="10">
    <w:abstractNumId w:val="10"/>
  </w:num>
  <w:num w:numId="11">
    <w:abstractNumId w:val="5"/>
  </w:num>
  <w:num w:numId="1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hideSpellingErrors/>
  <w:hideGrammaticalErrors/>
  <w:proofState w:spelling="clean" w:grammar="clean"/>
  <w:stylePaneFormatFilter w:val="3001"/>
  <w:defaultTabStop w:val="567"/>
  <w:evenAndOddHeaders/>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A6C71"/>
    <w:rsid w:val="00011D25"/>
    <w:rsid w:val="000161BA"/>
    <w:rsid w:val="00035523"/>
    <w:rsid w:val="000356E9"/>
    <w:rsid w:val="00045DE1"/>
    <w:rsid w:val="00053781"/>
    <w:rsid w:val="000547D0"/>
    <w:rsid w:val="00057EF8"/>
    <w:rsid w:val="00060161"/>
    <w:rsid w:val="00065B09"/>
    <w:rsid w:val="00070C0C"/>
    <w:rsid w:val="00072166"/>
    <w:rsid w:val="0008206B"/>
    <w:rsid w:val="0008265F"/>
    <w:rsid w:val="0008412C"/>
    <w:rsid w:val="000902F4"/>
    <w:rsid w:val="000A0A10"/>
    <w:rsid w:val="000B48E1"/>
    <w:rsid w:val="000C3909"/>
    <w:rsid w:val="000D1A0C"/>
    <w:rsid w:val="000E2624"/>
    <w:rsid w:val="000F354C"/>
    <w:rsid w:val="001038A7"/>
    <w:rsid w:val="00110E8C"/>
    <w:rsid w:val="00116922"/>
    <w:rsid w:val="00120577"/>
    <w:rsid w:val="00120635"/>
    <w:rsid w:val="001279CC"/>
    <w:rsid w:val="00133F2B"/>
    <w:rsid w:val="00137F9B"/>
    <w:rsid w:val="00144330"/>
    <w:rsid w:val="0014758A"/>
    <w:rsid w:val="001526A1"/>
    <w:rsid w:val="001541C6"/>
    <w:rsid w:val="00155AD0"/>
    <w:rsid w:val="001609E9"/>
    <w:rsid w:val="00177D52"/>
    <w:rsid w:val="001805DA"/>
    <w:rsid w:val="001806CD"/>
    <w:rsid w:val="001912D3"/>
    <w:rsid w:val="001B770A"/>
    <w:rsid w:val="001C39F5"/>
    <w:rsid w:val="001C6542"/>
    <w:rsid w:val="001E5925"/>
    <w:rsid w:val="001E6593"/>
    <w:rsid w:val="001F14D0"/>
    <w:rsid w:val="001F49A8"/>
    <w:rsid w:val="001F6A3F"/>
    <w:rsid w:val="001F7F9F"/>
    <w:rsid w:val="0020015B"/>
    <w:rsid w:val="002017C1"/>
    <w:rsid w:val="00205A50"/>
    <w:rsid w:val="00207F77"/>
    <w:rsid w:val="00217633"/>
    <w:rsid w:val="00237332"/>
    <w:rsid w:val="002870C4"/>
    <w:rsid w:val="00287F55"/>
    <w:rsid w:val="00287F99"/>
    <w:rsid w:val="00296C25"/>
    <w:rsid w:val="002977C0"/>
    <w:rsid w:val="002A52DC"/>
    <w:rsid w:val="002B7E68"/>
    <w:rsid w:val="002D21E0"/>
    <w:rsid w:val="002D2B21"/>
    <w:rsid w:val="002D42B9"/>
    <w:rsid w:val="002E2822"/>
    <w:rsid w:val="002E4C92"/>
    <w:rsid w:val="002E58D4"/>
    <w:rsid w:val="002F7F68"/>
    <w:rsid w:val="0030156D"/>
    <w:rsid w:val="00301D0D"/>
    <w:rsid w:val="0030300D"/>
    <w:rsid w:val="003033D6"/>
    <w:rsid w:val="00306C9D"/>
    <w:rsid w:val="00315AFE"/>
    <w:rsid w:val="00324E47"/>
    <w:rsid w:val="00326930"/>
    <w:rsid w:val="0034641C"/>
    <w:rsid w:val="003518F8"/>
    <w:rsid w:val="003532BF"/>
    <w:rsid w:val="00384499"/>
    <w:rsid w:val="00390996"/>
    <w:rsid w:val="003925D9"/>
    <w:rsid w:val="003935D1"/>
    <w:rsid w:val="003A4DCF"/>
    <w:rsid w:val="003B2923"/>
    <w:rsid w:val="003B3B1B"/>
    <w:rsid w:val="003B6CA8"/>
    <w:rsid w:val="003C1E01"/>
    <w:rsid w:val="003C221C"/>
    <w:rsid w:val="003C6045"/>
    <w:rsid w:val="003D212D"/>
    <w:rsid w:val="003D4A90"/>
    <w:rsid w:val="003E2467"/>
    <w:rsid w:val="003F7A18"/>
    <w:rsid w:val="00400AC4"/>
    <w:rsid w:val="00411B40"/>
    <w:rsid w:val="004230DF"/>
    <w:rsid w:val="00424498"/>
    <w:rsid w:val="00433E27"/>
    <w:rsid w:val="0044013D"/>
    <w:rsid w:val="00452836"/>
    <w:rsid w:val="00476572"/>
    <w:rsid w:val="00484948"/>
    <w:rsid w:val="00497D50"/>
    <w:rsid w:val="004A2E4F"/>
    <w:rsid w:val="004A39F2"/>
    <w:rsid w:val="004B0055"/>
    <w:rsid w:val="004B3F0A"/>
    <w:rsid w:val="004C050D"/>
    <w:rsid w:val="004C0BB3"/>
    <w:rsid w:val="004C515F"/>
    <w:rsid w:val="004D1E17"/>
    <w:rsid w:val="004D20DA"/>
    <w:rsid w:val="004D2D04"/>
    <w:rsid w:val="004D596C"/>
    <w:rsid w:val="004D7EC6"/>
    <w:rsid w:val="004F0D40"/>
    <w:rsid w:val="004F525C"/>
    <w:rsid w:val="005063C1"/>
    <w:rsid w:val="00521C07"/>
    <w:rsid w:val="0052744B"/>
    <w:rsid w:val="005350A1"/>
    <w:rsid w:val="00537ED0"/>
    <w:rsid w:val="00552000"/>
    <w:rsid w:val="00553620"/>
    <w:rsid w:val="005555AE"/>
    <w:rsid w:val="00555B89"/>
    <w:rsid w:val="00555BDB"/>
    <w:rsid w:val="0058509A"/>
    <w:rsid w:val="00585E1C"/>
    <w:rsid w:val="00590DF7"/>
    <w:rsid w:val="005A419E"/>
    <w:rsid w:val="005A41A0"/>
    <w:rsid w:val="005A5E81"/>
    <w:rsid w:val="005A7FBE"/>
    <w:rsid w:val="005B2792"/>
    <w:rsid w:val="005B6C4B"/>
    <w:rsid w:val="005B78A4"/>
    <w:rsid w:val="005D68F7"/>
    <w:rsid w:val="005E2A8A"/>
    <w:rsid w:val="005F0B38"/>
    <w:rsid w:val="005F6921"/>
    <w:rsid w:val="005F7F75"/>
    <w:rsid w:val="00607EB7"/>
    <w:rsid w:val="00610017"/>
    <w:rsid w:val="0061590D"/>
    <w:rsid w:val="006262A3"/>
    <w:rsid w:val="00642831"/>
    <w:rsid w:val="00643CB3"/>
    <w:rsid w:val="00665610"/>
    <w:rsid w:val="00665898"/>
    <w:rsid w:val="00682791"/>
    <w:rsid w:val="0069109A"/>
    <w:rsid w:val="006A0089"/>
    <w:rsid w:val="006B2DB1"/>
    <w:rsid w:val="006B595C"/>
    <w:rsid w:val="006B64A7"/>
    <w:rsid w:val="006C1031"/>
    <w:rsid w:val="006C207F"/>
    <w:rsid w:val="006C3E92"/>
    <w:rsid w:val="006E52B9"/>
    <w:rsid w:val="006E7C8E"/>
    <w:rsid w:val="006F57EA"/>
    <w:rsid w:val="00700D3C"/>
    <w:rsid w:val="007138E1"/>
    <w:rsid w:val="00720CBD"/>
    <w:rsid w:val="00721E8C"/>
    <w:rsid w:val="0072229B"/>
    <w:rsid w:val="00737B46"/>
    <w:rsid w:val="007437B7"/>
    <w:rsid w:val="00743A44"/>
    <w:rsid w:val="0074635C"/>
    <w:rsid w:val="007558E2"/>
    <w:rsid w:val="00767E52"/>
    <w:rsid w:val="0077410A"/>
    <w:rsid w:val="00790BA6"/>
    <w:rsid w:val="007A034C"/>
    <w:rsid w:val="007B2C5B"/>
    <w:rsid w:val="007B5983"/>
    <w:rsid w:val="007B699A"/>
    <w:rsid w:val="007C5376"/>
    <w:rsid w:val="007C537A"/>
    <w:rsid w:val="007D023F"/>
    <w:rsid w:val="007D4BB2"/>
    <w:rsid w:val="007F0BE5"/>
    <w:rsid w:val="007F3E1E"/>
    <w:rsid w:val="007F63EB"/>
    <w:rsid w:val="00801283"/>
    <w:rsid w:val="00801392"/>
    <w:rsid w:val="0080183F"/>
    <w:rsid w:val="00802631"/>
    <w:rsid w:val="00822E54"/>
    <w:rsid w:val="00832F8A"/>
    <w:rsid w:val="00833BA1"/>
    <w:rsid w:val="008414E1"/>
    <w:rsid w:val="008456EC"/>
    <w:rsid w:val="00864BFD"/>
    <w:rsid w:val="0087238B"/>
    <w:rsid w:val="008870EC"/>
    <w:rsid w:val="00890A85"/>
    <w:rsid w:val="00894DD5"/>
    <w:rsid w:val="008A6AD9"/>
    <w:rsid w:val="008B2290"/>
    <w:rsid w:val="008B47B3"/>
    <w:rsid w:val="008B6254"/>
    <w:rsid w:val="008C326F"/>
    <w:rsid w:val="008C48F6"/>
    <w:rsid w:val="008C5366"/>
    <w:rsid w:val="008D4B89"/>
    <w:rsid w:val="008E405B"/>
    <w:rsid w:val="008F1DA0"/>
    <w:rsid w:val="00904B68"/>
    <w:rsid w:val="00916471"/>
    <w:rsid w:val="009170D0"/>
    <w:rsid w:val="00933E4A"/>
    <w:rsid w:val="0094226C"/>
    <w:rsid w:val="00942A6C"/>
    <w:rsid w:val="00955E00"/>
    <w:rsid w:val="00962F65"/>
    <w:rsid w:val="00984461"/>
    <w:rsid w:val="009930F4"/>
    <w:rsid w:val="00995115"/>
    <w:rsid w:val="009A016F"/>
    <w:rsid w:val="009A33C6"/>
    <w:rsid w:val="009A58D0"/>
    <w:rsid w:val="009A7099"/>
    <w:rsid w:val="009A78FC"/>
    <w:rsid w:val="009B4680"/>
    <w:rsid w:val="009D4AD9"/>
    <w:rsid w:val="009D7E1B"/>
    <w:rsid w:val="009E4CB6"/>
    <w:rsid w:val="009E7D7B"/>
    <w:rsid w:val="00A00D4B"/>
    <w:rsid w:val="00A03E9B"/>
    <w:rsid w:val="00A055E8"/>
    <w:rsid w:val="00A0628E"/>
    <w:rsid w:val="00A07BD5"/>
    <w:rsid w:val="00A30EF7"/>
    <w:rsid w:val="00A40949"/>
    <w:rsid w:val="00A51E64"/>
    <w:rsid w:val="00A54297"/>
    <w:rsid w:val="00A56A37"/>
    <w:rsid w:val="00A96147"/>
    <w:rsid w:val="00AA0322"/>
    <w:rsid w:val="00AA6C71"/>
    <w:rsid w:val="00AB0E40"/>
    <w:rsid w:val="00AB413E"/>
    <w:rsid w:val="00AB4280"/>
    <w:rsid w:val="00AD2536"/>
    <w:rsid w:val="00AD4EA4"/>
    <w:rsid w:val="00AF0321"/>
    <w:rsid w:val="00AF1151"/>
    <w:rsid w:val="00AF1972"/>
    <w:rsid w:val="00AF50C0"/>
    <w:rsid w:val="00B218DA"/>
    <w:rsid w:val="00B22C11"/>
    <w:rsid w:val="00B35010"/>
    <w:rsid w:val="00B35230"/>
    <w:rsid w:val="00B3553C"/>
    <w:rsid w:val="00B36D09"/>
    <w:rsid w:val="00B434C8"/>
    <w:rsid w:val="00B4411A"/>
    <w:rsid w:val="00B5104A"/>
    <w:rsid w:val="00B573B8"/>
    <w:rsid w:val="00B669A1"/>
    <w:rsid w:val="00B675AF"/>
    <w:rsid w:val="00B70C25"/>
    <w:rsid w:val="00B72F97"/>
    <w:rsid w:val="00B74EB6"/>
    <w:rsid w:val="00B83046"/>
    <w:rsid w:val="00B837D0"/>
    <w:rsid w:val="00B83DA0"/>
    <w:rsid w:val="00B91465"/>
    <w:rsid w:val="00B92DE7"/>
    <w:rsid w:val="00B975F5"/>
    <w:rsid w:val="00BA1C44"/>
    <w:rsid w:val="00BA7A5C"/>
    <w:rsid w:val="00BB56A5"/>
    <w:rsid w:val="00BB72D9"/>
    <w:rsid w:val="00BC3A84"/>
    <w:rsid w:val="00BD1DD4"/>
    <w:rsid w:val="00BE2E38"/>
    <w:rsid w:val="00BE61C2"/>
    <w:rsid w:val="00BF7619"/>
    <w:rsid w:val="00C006E3"/>
    <w:rsid w:val="00C12C42"/>
    <w:rsid w:val="00C20523"/>
    <w:rsid w:val="00C32C3D"/>
    <w:rsid w:val="00C4491F"/>
    <w:rsid w:val="00C64698"/>
    <w:rsid w:val="00C65E13"/>
    <w:rsid w:val="00C80637"/>
    <w:rsid w:val="00C931E3"/>
    <w:rsid w:val="00CA4286"/>
    <w:rsid w:val="00CB0569"/>
    <w:rsid w:val="00CB1E93"/>
    <w:rsid w:val="00CB23B3"/>
    <w:rsid w:val="00CC3EDB"/>
    <w:rsid w:val="00CC3F11"/>
    <w:rsid w:val="00CE63FE"/>
    <w:rsid w:val="00D04922"/>
    <w:rsid w:val="00D04B97"/>
    <w:rsid w:val="00D11CD9"/>
    <w:rsid w:val="00D24A03"/>
    <w:rsid w:val="00D32634"/>
    <w:rsid w:val="00D34058"/>
    <w:rsid w:val="00D365E2"/>
    <w:rsid w:val="00D53CE8"/>
    <w:rsid w:val="00D61F52"/>
    <w:rsid w:val="00D629FE"/>
    <w:rsid w:val="00D85B95"/>
    <w:rsid w:val="00D87F57"/>
    <w:rsid w:val="00D94464"/>
    <w:rsid w:val="00DA5068"/>
    <w:rsid w:val="00DC62B9"/>
    <w:rsid w:val="00DD0C40"/>
    <w:rsid w:val="00DF059C"/>
    <w:rsid w:val="00E0650B"/>
    <w:rsid w:val="00E104CA"/>
    <w:rsid w:val="00E21B86"/>
    <w:rsid w:val="00E41A16"/>
    <w:rsid w:val="00E62C3B"/>
    <w:rsid w:val="00E6628F"/>
    <w:rsid w:val="00E769DC"/>
    <w:rsid w:val="00E81EE1"/>
    <w:rsid w:val="00E8525E"/>
    <w:rsid w:val="00E866F7"/>
    <w:rsid w:val="00EA1F32"/>
    <w:rsid w:val="00EB34A9"/>
    <w:rsid w:val="00EB5071"/>
    <w:rsid w:val="00EB6DE7"/>
    <w:rsid w:val="00ED68DB"/>
    <w:rsid w:val="00EE6BF5"/>
    <w:rsid w:val="00EF3128"/>
    <w:rsid w:val="00EF4D41"/>
    <w:rsid w:val="00F009F0"/>
    <w:rsid w:val="00F03124"/>
    <w:rsid w:val="00F0613C"/>
    <w:rsid w:val="00F117E2"/>
    <w:rsid w:val="00F12E90"/>
    <w:rsid w:val="00F27446"/>
    <w:rsid w:val="00F3364E"/>
    <w:rsid w:val="00F4495A"/>
    <w:rsid w:val="00F45EC2"/>
    <w:rsid w:val="00F67954"/>
    <w:rsid w:val="00F71AE5"/>
    <w:rsid w:val="00F74BE0"/>
    <w:rsid w:val="00F828A2"/>
    <w:rsid w:val="00F97DFB"/>
    <w:rsid w:val="00FA682D"/>
    <w:rsid w:val="00FB19B2"/>
    <w:rsid w:val="00FD107D"/>
    <w:rsid w:val="00FD718F"/>
    <w:rsid w:val="00FE2F41"/>
    <w:rsid w:val="00FE3D1F"/>
    <w:rsid w:val="00FE5EEC"/>
    <w:rsid w:val="00FE7236"/>
    <w:rsid w:val="00FF0765"/>
    <w:rsid w:val="00FF204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able of figures"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13C"/>
    <w:rPr>
      <w:sz w:val="22"/>
      <w:szCs w:val="24"/>
      <w:lang w:eastAsia="en-US"/>
    </w:rPr>
  </w:style>
  <w:style w:type="paragraph" w:styleId="Heading1">
    <w:name w:val="heading 1"/>
    <w:basedOn w:val="Normal"/>
    <w:next w:val="BodyText"/>
    <w:qFormat/>
    <w:rsid w:val="00CC3EDB"/>
    <w:pPr>
      <w:keepNext/>
      <w:numPr>
        <w:numId w:val="1"/>
      </w:numPr>
      <w:pBdr>
        <w:bottom w:val="single" w:sz="12" w:space="1" w:color="347FB9"/>
      </w:pBdr>
      <w:spacing w:after="360"/>
      <w:outlineLvl w:val="0"/>
    </w:pPr>
    <w:rPr>
      <w:rFonts w:ascii="Arial" w:hAnsi="Arial"/>
      <w:caps/>
      <w:sz w:val="32"/>
    </w:rPr>
  </w:style>
  <w:style w:type="paragraph" w:styleId="Heading2">
    <w:name w:val="heading 2"/>
    <w:basedOn w:val="Normal"/>
    <w:next w:val="BodyText"/>
    <w:qFormat/>
    <w:rsid w:val="00A0628E"/>
    <w:pPr>
      <w:keepNext/>
      <w:spacing w:before="240" w:after="240" w:line="260" w:lineRule="atLeast"/>
      <w:outlineLvl w:val="1"/>
    </w:pPr>
    <w:rPr>
      <w:rFonts w:ascii="Arial" w:hAnsi="Arial"/>
      <w:sz w:val="28"/>
      <w:szCs w:val="28"/>
    </w:rPr>
  </w:style>
  <w:style w:type="paragraph" w:styleId="Heading3">
    <w:name w:val="heading 3"/>
    <w:basedOn w:val="Normal"/>
    <w:next w:val="BodyText"/>
    <w:link w:val="Heading3Char"/>
    <w:qFormat/>
    <w:rsid w:val="00A54297"/>
    <w:pPr>
      <w:keepNext/>
      <w:spacing w:before="120" w:line="260" w:lineRule="atLeast"/>
      <w:outlineLvl w:val="2"/>
    </w:pPr>
    <w:rPr>
      <w:rFonts w:ascii="Arial" w:hAnsi="Arial"/>
      <w:b/>
    </w:rPr>
  </w:style>
  <w:style w:type="paragraph" w:styleId="Heading4">
    <w:name w:val="heading 4"/>
    <w:basedOn w:val="BodyText"/>
    <w:next w:val="BodyText"/>
    <w:qFormat/>
    <w:rsid w:val="00B83046"/>
    <w:pPr>
      <w:keepNext/>
      <w:spacing w:before="120" w:after="0"/>
      <w:outlineLvl w:val="3"/>
    </w:pPr>
    <w:rPr>
      <w:b/>
    </w:rPr>
  </w:style>
  <w:style w:type="paragraph" w:styleId="Heading9">
    <w:name w:val="heading 9"/>
    <w:basedOn w:val="Normal"/>
    <w:qFormat/>
    <w:rsid w:val="00682791"/>
    <w:pPr>
      <w:outlineLvl w:val="8"/>
    </w:pPr>
    <w:rPr>
      <w:rFonts w:cs="Arial"/>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72D9"/>
    <w:pPr>
      <w:spacing w:after="240" w:line="260" w:lineRule="atLeast"/>
      <w:jc w:val="both"/>
    </w:pPr>
    <w:rPr>
      <w:szCs w:val="20"/>
    </w:rPr>
  </w:style>
  <w:style w:type="paragraph" w:customStyle="1" w:styleId="Bullet2nospace">
    <w:name w:val="Bullet 2 no space"/>
    <w:basedOn w:val="Bullet1"/>
    <w:rsid w:val="00E21B86"/>
    <w:pPr>
      <w:spacing w:after="0"/>
    </w:pPr>
  </w:style>
  <w:style w:type="paragraph" w:customStyle="1" w:styleId="Bullet1">
    <w:name w:val="Bullet 1"/>
    <w:basedOn w:val="BodyText"/>
    <w:rsid w:val="00411B40"/>
    <w:pPr>
      <w:numPr>
        <w:numId w:val="2"/>
      </w:numPr>
      <w:tabs>
        <w:tab w:val="clear" w:pos="1134"/>
        <w:tab w:val="left" w:pos="284"/>
      </w:tabs>
      <w:ind w:left="284" w:hanging="284"/>
    </w:pPr>
  </w:style>
  <w:style w:type="paragraph" w:styleId="Footer">
    <w:name w:val="footer"/>
    <w:basedOn w:val="Normal"/>
    <w:rsid w:val="00995115"/>
    <w:pPr>
      <w:tabs>
        <w:tab w:val="center" w:pos="4153"/>
        <w:tab w:val="right" w:pos="8306"/>
      </w:tabs>
    </w:pPr>
  </w:style>
  <w:style w:type="paragraph" w:styleId="FootnoteText">
    <w:name w:val="footnote text"/>
    <w:basedOn w:val="Normal"/>
    <w:link w:val="FootnoteTextChar"/>
    <w:rsid w:val="009A016F"/>
    <w:rPr>
      <w:sz w:val="14"/>
      <w:szCs w:val="20"/>
    </w:rPr>
  </w:style>
  <w:style w:type="paragraph" w:styleId="Header">
    <w:name w:val="header"/>
    <w:basedOn w:val="Normal"/>
    <w:rsid w:val="00C64698"/>
    <w:pPr>
      <w:tabs>
        <w:tab w:val="center" w:pos="4253"/>
        <w:tab w:val="right" w:pos="8505"/>
      </w:tabs>
      <w:spacing w:line="200" w:lineRule="atLeast"/>
    </w:pPr>
    <w:rPr>
      <w:sz w:val="16"/>
      <w:szCs w:val="20"/>
    </w:rPr>
  </w:style>
  <w:style w:type="character" w:styleId="Hyperlink">
    <w:name w:val="Hyperlink"/>
    <w:basedOn w:val="DefaultParagraphFont"/>
    <w:semiHidden/>
    <w:rsid w:val="00B3553C"/>
    <w:rPr>
      <w:color w:val="0000FF"/>
      <w:u w:val="single"/>
    </w:rPr>
  </w:style>
  <w:style w:type="paragraph" w:customStyle="1" w:styleId="Keypointtext">
    <w:name w:val="Key point text"/>
    <w:basedOn w:val="Normal"/>
    <w:rsid w:val="007B699A"/>
    <w:pPr>
      <w:spacing w:before="120" w:line="260" w:lineRule="atLeast"/>
    </w:pPr>
    <w:rPr>
      <w:rFonts w:ascii="Arial" w:hAnsi="Arial"/>
      <w:sz w:val="20"/>
    </w:rPr>
  </w:style>
  <w:style w:type="table" w:customStyle="1" w:styleId="TableMOE1">
    <w:name w:val="Table MOE 1"/>
    <w:basedOn w:val="TableNormal"/>
    <w:rsid w:val="00433E27"/>
    <w:pPr>
      <w:jc w:val="right"/>
    </w:pPr>
    <w:rPr>
      <w:rFonts w:ascii="Arial" w:hAnsi="Arial"/>
    </w:rPr>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table" w:styleId="TableGrid">
    <w:name w:val="Table Grid"/>
    <w:basedOn w:val="TableNormal"/>
    <w:uiPriority w:val="59"/>
    <w:rsid w:val="00615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A80F89"/>
    <w:rPr>
      <w:vertAlign w:val="superscript"/>
    </w:rPr>
  </w:style>
  <w:style w:type="paragraph" w:styleId="Caption">
    <w:name w:val="caption"/>
    <w:basedOn w:val="Normal"/>
    <w:next w:val="Normal"/>
    <w:qFormat/>
    <w:rsid w:val="006C3E92"/>
    <w:pPr>
      <w:keepNext/>
      <w:spacing w:line="220" w:lineRule="atLeast"/>
    </w:pPr>
    <w:rPr>
      <w:rFonts w:ascii="Arial" w:hAnsi="Arial" w:cs="Arial"/>
      <w:b/>
      <w:bCs/>
      <w:sz w:val="15"/>
      <w:szCs w:val="20"/>
    </w:rPr>
  </w:style>
  <w:style w:type="character" w:styleId="PageNumber">
    <w:name w:val="page number"/>
    <w:basedOn w:val="DefaultParagraphFont"/>
    <w:semiHidden/>
    <w:rsid w:val="009930F4"/>
    <w:rPr>
      <w:rFonts w:ascii="Arial" w:hAnsi="Arial"/>
      <w:sz w:val="18"/>
    </w:rPr>
  </w:style>
  <w:style w:type="paragraph" w:customStyle="1" w:styleId="Tabletext">
    <w:name w:val="Table text"/>
    <w:basedOn w:val="Normal"/>
    <w:rsid w:val="00F45EC2"/>
    <w:pPr>
      <w:spacing w:line="220" w:lineRule="atLeast"/>
    </w:pPr>
    <w:rPr>
      <w:rFonts w:ascii="Arial" w:hAnsi="Arial"/>
      <w:sz w:val="15"/>
    </w:rPr>
  </w:style>
  <w:style w:type="paragraph" w:styleId="BalloonText">
    <w:name w:val="Balloon Text"/>
    <w:basedOn w:val="Normal"/>
    <w:semiHidden/>
    <w:rsid w:val="002541DD"/>
    <w:rPr>
      <w:rFonts w:cs="Tahoma"/>
      <w:sz w:val="16"/>
      <w:szCs w:val="16"/>
    </w:rPr>
  </w:style>
  <w:style w:type="paragraph" w:customStyle="1" w:styleId="Tableheading">
    <w:name w:val="Table heading"/>
    <w:basedOn w:val="Tabletext"/>
    <w:rsid w:val="00D24A03"/>
    <w:pPr>
      <w:keepNext/>
      <w:jc w:val="center"/>
    </w:pPr>
    <w:rPr>
      <w:b/>
    </w:rPr>
  </w:style>
  <w:style w:type="paragraph" w:styleId="TOC1">
    <w:name w:val="toc 1"/>
    <w:basedOn w:val="BodyText"/>
    <w:next w:val="Normal"/>
    <w:semiHidden/>
    <w:rsid w:val="00177D52"/>
    <w:pPr>
      <w:tabs>
        <w:tab w:val="right" w:pos="8222"/>
      </w:tabs>
      <w:spacing w:before="240" w:after="80" w:line="240" w:lineRule="auto"/>
      <w:ind w:left="567" w:right="709" w:hanging="567"/>
    </w:pPr>
    <w:rPr>
      <w:rFonts w:ascii="Arial" w:hAnsi="Arial" w:cs="Arial"/>
      <w:noProof/>
      <w:sz w:val="20"/>
    </w:rPr>
  </w:style>
  <w:style w:type="paragraph" w:styleId="TOC2">
    <w:name w:val="toc 2"/>
    <w:basedOn w:val="Normal"/>
    <w:next w:val="Normal"/>
    <w:semiHidden/>
    <w:rsid w:val="00F009F0"/>
    <w:pPr>
      <w:tabs>
        <w:tab w:val="right" w:pos="8222"/>
      </w:tabs>
      <w:spacing w:after="80"/>
      <w:ind w:left="1134" w:right="709" w:hanging="567"/>
    </w:pPr>
    <w:rPr>
      <w:rFonts w:ascii="Arial" w:hAnsi="Arial"/>
      <w:noProof/>
      <w:sz w:val="20"/>
    </w:rPr>
  </w:style>
  <w:style w:type="paragraph" w:styleId="TableofFigures">
    <w:name w:val="table of figures"/>
    <w:basedOn w:val="BodyText"/>
    <w:next w:val="Normal"/>
    <w:uiPriority w:val="99"/>
    <w:semiHidden/>
    <w:rsid w:val="006B595C"/>
    <w:pPr>
      <w:tabs>
        <w:tab w:val="right" w:pos="7598"/>
      </w:tabs>
      <w:spacing w:before="240" w:after="120" w:line="260" w:lineRule="exact"/>
      <w:ind w:right="851"/>
      <w:jc w:val="left"/>
    </w:pPr>
    <w:rPr>
      <w:rFonts w:ascii="Arial" w:hAnsi="Arial" w:cs="Arial"/>
      <w:sz w:val="18"/>
    </w:rPr>
  </w:style>
  <w:style w:type="paragraph" w:customStyle="1" w:styleId="Note">
    <w:name w:val="Note"/>
    <w:basedOn w:val="Normal"/>
    <w:next w:val="BodyText"/>
    <w:rsid w:val="00B22C11"/>
    <w:pPr>
      <w:spacing w:before="120" w:after="240" w:line="180" w:lineRule="atLeast"/>
    </w:pPr>
    <w:rPr>
      <w:rFonts w:ascii="Arial" w:hAnsi="Arial"/>
      <w:sz w:val="14"/>
    </w:rPr>
  </w:style>
  <w:style w:type="paragraph" w:customStyle="1" w:styleId="Bullet1a">
    <w:name w:val="Bullet 1a"/>
    <w:basedOn w:val="Bullet1"/>
    <w:rsid w:val="00315AFE"/>
    <w:pPr>
      <w:tabs>
        <w:tab w:val="left" w:pos="567"/>
      </w:tabs>
      <w:ind w:left="568"/>
    </w:pPr>
  </w:style>
  <w:style w:type="paragraph" w:customStyle="1" w:styleId="Figurelabel">
    <w:name w:val="Figure label"/>
    <w:basedOn w:val="Caption"/>
    <w:next w:val="BodyText"/>
    <w:rsid w:val="009A7099"/>
    <w:pPr>
      <w:spacing w:after="120"/>
    </w:pPr>
    <w:rPr>
      <w:b w:val="0"/>
    </w:rPr>
  </w:style>
  <w:style w:type="paragraph" w:customStyle="1" w:styleId="Referencetext">
    <w:name w:val="Reference text"/>
    <w:basedOn w:val="BodyText"/>
    <w:qFormat/>
    <w:rsid w:val="00AD4BF0"/>
  </w:style>
  <w:style w:type="paragraph" w:styleId="Title">
    <w:name w:val="Title"/>
    <w:basedOn w:val="Normal"/>
    <w:link w:val="TitleChar"/>
    <w:qFormat/>
    <w:rsid w:val="00A0628E"/>
    <w:pPr>
      <w:spacing w:after="120" w:line="620" w:lineRule="exact"/>
      <w:ind w:left="2552"/>
      <w:jc w:val="right"/>
      <w:outlineLvl w:val="0"/>
    </w:pPr>
    <w:rPr>
      <w:rFonts w:ascii="Arial" w:hAnsi="Arial"/>
      <w:sz w:val="48"/>
    </w:rPr>
  </w:style>
  <w:style w:type="paragraph" w:customStyle="1" w:styleId="Insidecover">
    <w:name w:val="Inside cover"/>
    <w:basedOn w:val="Normal"/>
    <w:rsid w:val="004D1E17"/>
    <w:pPr>
      <w:ind w:left="-284"/>
    </w:pPr>
    <w:rPr>
      <w:rFonts w:ascii="Arial" w:hAnsi="Arial"/>
      <w:sz w:val="18"/>
    </w:rPr>
  </w:style>
  <w:style w:type="paragraph" w:customStyle="1" w:styleId="Heading">
    <w:name w:val="Heading"/>
    <w:basedOn w:val="Normal"/>
    <w:next w:val="BodyText"/>
    <w:rsid w:val="009E4CB6"/>
    <w:pPr>
      <w:keepNext/>
      <w:pBdr>
        <w:bottom w:val="single" w:sz="12" w:space="1" w:color="999999"/>
      </w:pBdr>
      <w:tabs>
        <w:tab w:val="left" w:pos="567"/>
      </w:tabs>
      <w:spacing w:after="360"/>
    </w:pPr>
    <w:rPr>
      <w:rFonts w:ascii="Arial" w:hAnsi="Arial"/>
      <w:caps/>
      <w:noProof/>
      <w:sz w:val="32"/>
    </w:rPr>
  </w:style>
  <w:style w:type="paragraph" w:customStyle="1" w:styleId="Keypointheading">
    <w:name w:val="Key point heading"/>
    <w:basedOn w:val="Normal"/>
    <w:next w:val="Keypointtext"/>
    <w:rsid w:val="007B699A"/>
    <w:pPr>
      <w:spacing w:before="120"/>
    </w:pPr>
    <w:rPr>
      <w:rFonts w:ascii="Arial" w:hAnsi="Arial"/>
      <w:caps/>
      <w:sz w:val="20"/>
    </w:rPr>
  </w:style>
  <w:style w:type="paragraph" w:customStyle="1" w:styleId="FooterEvenPage">
    <w:name w:val="Footer Even Page"/>
    <w:basedOn w:val="FooterOddPage"/>
    <w:rsid w:val="00D04922"/>
    <w:pPr>
      <w:ind w:left="851" w:right="0"/>
      <w:jc w:val="left"/>
    </w:pPr>
  </w:style>
  <w:style w:type="paragraph" w:customStyle="1" w:styleId="FooterOddPage">
    <w:name w:val="Footer Odd Page"/>
    <w:basedOn w:val="Normal"/>
    <w:rsid w:val="00995115"/>
    <w:pPr>
      <w:spacing w:line="200" w:lineRule="atLeast"/>
      <w:ind w:right="851"/>
      <w:jc w:val="right"/>
    </w:pPr>
    <w:rPr>
      <w:rFonts w:ascii="Arial" w:hAnsi="Arial"/>
      <w:sz w:val="16"/>
      <w:szCs w:val="18"/>
    </w:rPr>
  </w:style>
  <w:style w:type="paragraph" w:customStyle="1" w:styleId="Figure-Table">
    <w:name w:val="Figure-Table #"/>
    <w:basedOn w:val="Normal"/>
    <w:rsid w:val="009A33C6"/>
    <w:pPr>
      <w:spacing w:before="240" w:after="120" w:line="260" w:lineRule="exact"/>
    </w:pPr>
    <w:rPr>
      <w:rFonts w:ascii="Arial" w:hAnsi="Arial" w:cs="Arial"/>
      <w:b/>
      <w:sz w:val="18"/>
    </w:rPr>
  </w:style>
  <w:style w:type="paragraph" w:customStyle="1" w:styleId="Tablelabel">
    <w:name w:val="Table label"/>
    <w:basedOn w:val="Caption"/>
    <w:next w:val="Normal"/>
    <w:rsid w:val="009A7099"/>
    <w:pPr>
      <w:spacing w:after="120"/>
    </w:pPr>
    <w:rPr>
      <w:b w:val="0"/>
    </w:rPr>
  </w:style>
  <w:style w:type="paragraph" w:customStyle="1" w:styleId="Bullet2a">
    <w:name w:val="Bullet 2a"/>
    <w:basedOn w:val="Bullet2nospace"/>
    <w:rsid w:val="00315AFE"/>
    <w:pPr>
      <w:tabs>
        <w:tab w:val="left" w:pos="567"/>
      </w:tabs>
      <w:ind w:left="568"/>
    </w:pPr>
  </w:style>
  <w:style w:type="table" w:customStyle="1" w:styleId="TableMOE2">
    <w:name w:val="Table MOE 2"/>
    <w:basedOn w:val="TableMOE1"/>
    <w:rsid w:val="00433E27"/>
    <w:tblPr>
      <w:tblStyleRowBandSize w:val="1"/>
      <w:tblInd w:w="57" w:type="dxa"/>
      <w:tblBorders>
        <w:top w:val="single" w:sz="4" w:space="0" w:color="7F7F7F"/>
        <w:left w:val="single" w:sz="4" w:space="0" w:color="7F7F7F"/>
        <w:bottom w:val="single" w:sz="4" w:space="0" w:color="7F7F7F"/>
        <w:right w:val="single" w:sz="4" w:space="0" w:color="7F7F7F"/>
        <w:insideV w:val="single" w:sz="4" w:space="0" w:color="7F7F7F"/>
      </w:tblBorders>
      <w:tblCellMar>
        <w:top w:w="57" w:type="dxa"/>
        <w:left w:w="57" w:type="dxa"/>
        <w:bottom w:w="57" w:type="dxa"/>
        <w:right w:w="57"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C2D8EA"/>
      </w:tcPr>
    </w:tblStylePr>
    <w:tblStylePr w:type="lastRow">
      <w:tblPr/>
      <w:tcPr>
        <w:tcBorders>
          <w:top w:val="nil"/>
          <w:left w:val="single" w:sz="4" w:space="0" w:color="7F7F7F"/>
          <w:bottom w:val="single" w:sz="4" w:space="0" w:color="7F7F7F"/>
          <w:right w:val="single" w:sz="4" w:space="0" w:color="7F7F7F"/>
          <w:insideH w:val="nil"/>
          <w:insideV w:val="single" w:sz="4" w:space="0" w:color="7F7F7F"/>
          <w:tl2br w:val="nil"/>
          <w:tr2bl w:val="nil"/>
        </w:tcBorders>
        <w:shd w:val="clear" w:color="auto" w:fill="C2D8EA"/>
      </w:tcPr>
    </w:tblStylePr>
    <w:tblStylePr w:type="firstCol">
      <w:pPr>
        <w:jc w:val="left"/>
      </w:pPr>
    </w:tblStylePr>
    <w:tblStylePr w:type="band1Horz">
      <w:tblPr/>
      <w:tcPr>
        <w:tcBorders>
          <w:top w:val="nil"/>
          <w:left w:val="single" w:sz="4" w:space="0" w:color="7F7F7F"/>
          <w:bottom w:val="nil"/>
          <w:right w:val="single" w:sz="4" w:space="0" w:color="7F7F7F"/>
          <w:insideH w:val="nil"/>
          <w:insideV w:val="single" w:sz="4" w:space="0" w:color="7F7F7F"/>
          <w:tl2br w:val="nil"/>
          <w:tr2bl w:val="nil"/>
        </w:tcBorders>
      </w:tcPr>
    </w:tblStylePr>
    <w:tblStylePr w:type="band2Horz">
      <w:tblPr/>
      <w:tcPr>
        <w:tcBorders>
          <w:top w:val="nil"/>
          <w:left w:val="single" w:sz="4" w:space="0" w:color="7F7F7F"/>
          <w:bottom w:val="nil"/>
          <w:right w:val="single" w:sz="4" w:space="0" w:color="7F7F7F"/>
          <w:insideH w:val="nil"/>
          <w:insideV w:val="single" w:sz="4" w:space="0" w:color="7F7F7F"/>
          <w:tl2br w:val="nil"/>
          <w:tr2bl w:val="nil"/>
        </w:tcBorders>
        <w:shd w:val="clear" w:color="auto" w:fill="C2D8EA"/>
      </w:tcPr>
    </w:tblStylePr>
  </w:style>
  <w:style w:type="paragraph" w:customStyle="1" w:styleId="Appendix">
    <w:name w:val="Appendix"/>
    <w:basedOn w:val="Heading1"/>
    <w:next w:val="BodyText"/>
    <w:rsid w:val="009D7E1B"/>
    <w:pPr>
      <w:numPr>
        <w:numId w:val="3"/>
      </w:numPr>
    </w:pPr>
  </w:style>
  <w:style w:type="table" w:customStyle="1" w:styleId="TableMOE3">
    <w:name w:val="Table MOE 3"/>
    <w:basedOn w:val="TableGrid"/>
    <w:rsid w:val="00433E27"/>
    <w:pPr>
      <w:jc w:val="right"/>
    </w:pPr>
    <w:rPr>
      <w:rFonts w:ascii="Arial" w:hAnsi="Arial"/>
    </w:rPr>
    <w:tblPr>
      <w:tblInd w:w="28" w:type="dxa"/>
      <w:tblBorders>
        <w:top w:val="single" w:sz="4" w:space="0" w:color="7F7F7F"/>
        <w:left w:val="single" w:sz="4" w:space="0" w:color="7F7F7F"/>
        <w:bottom w:val="single" w:sz="4" w:space="0" w:color="7F7F7F"/>
        <w:right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Titlesub">
    <w:name w:val="Title sub"/>
    <w:basedOn w:val="Title"/>
    <w:rsid w:val="004D7EC6"/>
    <w:pPr>
      <w:ind w:left="2835"/>
      <w:outlineLvl w:val="1"/>
    </w:pPr>
    <w:rPr>
      <w:i/>
      <w:sz w:val="40"/>
      <w:szCs w:val="40"/>
    </w:rPr>
  </w:style>
  <w:style w:type="paragraph" w:customStyle="1" w:styleId="Headingspaceafter">
    <w:name w:val="Heading (space after)"/>
    <w:basedOn w:val="Heading"/>
    <w:next w:val="BodyText"/>
    <w:rsid w:val="00BB72D9"/>
    <w:pPr>
      <w:spacing w:after="1200"/>
    </w:pPr>
    <w:rPr>
      <w:caps w:val="0"/>
      <w:sz w:val="36"/>
    </w:rPr>
  </w:style>
  <w:style w:type="table" w:customStyle="1" w:styleId="TableMOE4">
    <w:name w:val="Table MOE 4"/>
    <w:basedOn w:val="TableMOE3"/>
    <w:rsid w:val="005B2792"/>
    <w:tblPr>
      <w:tblInd w:w="28" w:type="dxa"/>
      <w:tblBorders>
        <w:top w:val="single" w:sz="4" w:space="0" w:color="7F7F7F"/>
        <w:left w:val="single" w:sz="4" w:space="0" w:color="7F7F7F"/>
        <w:bottom w:val="single" w:sz="4" w:space="0" w:color="7F7F7F"/>
        <w:right w:val="single" w:sz="4" w:space="0" w:color="7F7F7F"/>
        <w:insideH w:val="single" w:sz="4" w:space="0" w:color="7F7F7F"/>
      </w:tblBorders>
      <w:tblCellMar>
        <w:top w:w="28" w:type="dxa"/>
        <w:left w:w="28" w:type="dxa"/>
        <w:bottom w:w="28" w:type="dxa"/>
        <w:right w:w="28" w:type="dxa"/>
      </w:tblCellMar>
    </w:tblPr>
    <w:tblStylePr w:type="firstRow">
      <w:pPr>
        <w:jc w:val="center"/>
      </w:pPr>
      <w:tblPr/>
      <w:tcPr>
        <w:tcBorders>
          <w:top w:val="single" w:sz="4" w:space="0" w:color="7F7F7F"/>
          <w:left w:val="single" w:sz="4" w:space="0" w:color="7F7F7F"/>
          <w:bottom w:val="single" w:sz="4" w:space="0" w:color="7F7F7F"/>
          <w:right w:val="single" w:sz="4" w:space="0" w:color="7F7F7F"/>
          <w:insideH w:val="nil"/>
          <w:insideV w:val="nil"/>
          <w:tl2br w:val="nil"/>
          <w:tr2bl w:val="nil"/>
        </w:tcBorders>
      </w:tcPr>
    </w:tblStylePr>
    <w:tblStylePr w:type="firstCol">
      <w:pPr>
        <w:jc w:val="left"/>
      </w:pPr>
    </w:tblStylePr>
  </w:style>
  <w:style w:type="paragraph" w:customStyle="1" w:styleId="Heading1A">
    <w:name w:val="Heading 1A"/>
    <w:basedOn w:val="Normal"/>
    <w:next w:val="BodyText"/>
    <w:rsid w:val="00CC3EDB"/>
    <w:pPr>
      <w:spacing w:after="240" w:line="260" w:lineRule="atLeast"/>
      <w:jc w:val="both"/>
    </w:pPr>
    <w:rPr>
      <w:rFonts w:ascii="Arial" w:hAnsi="Arial" w:cs="Arial"/>
      <w:color w:val="347FB9"/>
      <w:sz w:val="24"/>
    </w:rPr>
  </w:style>
  <w:style w:type="paragraph" w:customStyle="1" w:styleId="Heading1BnotinTOC">
    <w:name w:val="Heading 1B (not in TOC)"/>
    <w:basedOn w:val="Normal"/>
    <w:next w:val="BodyText"/>
    <w:rsid w:val="00720CBD"/>
    <w:pPr>
      <w:spacing w:after="240" w:line="260" w:lineRule="atLeast"/>
      <w:jc w:val="both"/>
    </w:pPr>
    <w:rPr>
      <w:rFonts w:ascii="Arial" w:hAnsi="Arial"/>
      <w:color w:val="347FB9"/>
      <w:sz w:val="24"/>
    </w:rPr>
  </w:style>
  <w:style w:type="paragraph" w:customStyle="1" w:styleId="AppendixSub">
    <w:name w:val="Appendix Sub"/>
    <w:basedOn w:val="Appendix"/>
    <w:next w:val="BodyText"/>
    <w:rsid w:val="00D04B97"/>
    <w:pPr>
      <w:numPr>
        <w:ilvl w:val="1"/>
      </w:numPr>
      <w:pBdr>
        <w:bottom w:val="none" w:sz="0" w:space="0" w:color="auto"/>
      </w:pBdr>
      <w:spacing w:before="240" w:after="240" w:line="260" w:lineRule="atLeast"/>
    </w:pPr>
    <w:rPr>
      <w:caps w:val="0"/>
      <w:sz w:val="28"/>
    </w:rPr>
  </w:style>
  <w:style w:type="paragraph" w:customStyle="1" w:styleId="Heading2a">
    <w:name w:val="Heading 2a"/>
    <w:basedOn w:val="Normal"/>
    <w:next w:val="BodyText"/>
    <w:rsid w:val="005A41A0"/>
    <w:pPr>
      <w:keepNext/>
      <w:numPr>
        <w:ilvl w:val="2"/>
        <w:numId w:val="1"/>
      </w:numPr>
      <w:spacing w:before="240" w:after="240" w:line="260" w:lineRule="atLeast"/>
    </w:pPr>
    <w:rPr>
      <w:rFonts w:ascii="Arial" w:hAnsi="Arial"/>
      <w:sz w:val="24"/>
    </w:rPr>
  </w:style>
  <w:style w:type="paragraph" w:styleId="TOC3">
    <w:name w:val="toc 3"/>
    <w:basedOn w:val="Normal"/>
    <w:next w:val="Normal"/>
    <w:autoRedefine/>
    <w:semiHidden/>
    <w:rsid w:val="00400AC4"/>
    <w:pPr>
      <w:ind w:left="440"/>
    </w:pPr>
  </w:style>
  <w:style w:type="paragraph" w:customStyle="1" w:styleId="TGbulletindent">
    <w:name w:val="*TG bullet indent"/>
    <w:basedOn w:val="Normal"/>
    <w:rsid w:val="00DD0C40"/>
    <w:pPr>
      <w:numPr>
        <w:numId w:val="12"/>
      </w:numPr>
      <w:spacing w:after="120"/>
    </w:pPr>
    <w:rPr>
      <w:rFonts w:ascii="Arial" w:hAnsi="Arial"/>
      <w:szCs w:val="20"/>
    </w:rPr>
  </w:style>
  <w:style w:type="paragraph" w:styleId="NormalWeb">
    <w:name w:val="Normal (Web)"/>
    <w:basedOn w:val="Normal"/>
    <w:uiPriority w:val="99"/>
    <w:unhideWhenUsed/>
    <w:rsid w:val="00DD0C40"/>
    <w:pPr>
      <w:spacing w:before="240" w:after="240"/>
    </w:pPr>
    <w:rPr>
      <w:sz w:val="24"/>
      <w:lang w:eastAsia="en-NZ"/>
    </w:rPr>
  </w:style>
  <w:style w:type="character" w:customStyle="1" w:styleId="FootnoteTextChar">
    <w:name w:val="Footnote Text Char"/>
    <w:basedOn w:val="DefaultParagraphFont"/>
    <w:link w:val="FootnoteText"/>
    <w:rsid w:val="00864BFD"/>
    <w:rPr>
      <w:sz w:val="14"/>
      <w:lang w:eastAsia="en-US"/>
    </w:rPr>
  </w:style>
  <w:style w:type="paragraph" w:styleId="ListParagraph">
    <w:name w:val="List Paragraph"/>
    <w:basedOn w:val="Normal"/>
    <w:uiPriority w:val="34"/>
    <w:qFormat/>
    <w:rsid w:val="00864BFD"/>
    <w:pPr>
      <w:ind w:left="720"/>
      <w:contextualSpacing/>
    </w:pPr>
  </w:style>
  <w:style w:type="paragraph" w:customStyle="1" w:styleId="Default">
    <w:name w:val="Default"/>
    <w:rsid w:val="00864BFD"/>
    <w:pPr>
      <w:autoSpaceDE w:val="0"/>
      <w:autoSpaceDN w:val="0"/>
      <w:adjustRightInd w:val="0"/>
    </w:pPr>
    <w:rPr>
      <w:rFonts w:ascii="Arial" w:hAnsi="Arial" w:cs="Arial"/>
      <w:color w:val="000000"/>
      <w:spacing w:val="15"/>
      <w:sz w:val="24"/>
      <w:szCs w:val="24"/>
    </w:rPr>
  </w:style>
  <w:style w:type="paragraph" w:customStyle="1" w:styleId="TGHeading2">
    <w:name w:val="*TG Heading 2"/>
    <w:basedOn w:val="Normal"/>
    <w:next w:val="Normal"/>
    <w:rsid w:val="00864BFD"/>
    <w:pPr>
      <w:keepNext/>
      <w:spacing w:before="120"/>
    </w:pPr>
    <w:rPr>
      <w:b/>
      <w:bCs/>
      <w:szCs w:val="20"/>
    </w:rPr>
  </w:style>
  <w:style w:type="character" w:customStyle="1" w:styleId="Heading3Char">
    <w:name w:val="Heading 3 Char"/>
    <w:basedOn w:val="DefaultParagraphFont"/>
    <w:link w:val="Heading3"/>
    <w:rsid w:val="00864BFD"/>
    <w:rPr>
      <w:rFonts w:ascii="Arial" w:hAnsi="Arial"/>
      <w:b/>
      <w:sz w:val="22"/>
      <w:szCs w:val="24"/>
      <w:lang w:eastAsia="en-US"/>
    </w:rPr>
  </w:style>
  <w:style w:type="character" w:styleId="CommentReference">
    <w:name w:val="annotation reference"/>
    <w:basedOn w:val="DefaultParagraphFont"/>
    <w:rsid w:val="00120635"/>
    <w:rPr>
      <w:sz w:val="16"/>
      <w:szCs w:val="16"/>
    </w:rPr>
  </w:style>
  <w:style w:type="paragraph" w:styleId="CommentText">
    <w:name w:val="annotation text"/>
    <w:basedOn w:val="Normal"/>
    <w:link w:val="CommentTextChar"/>
    <w:rsid w:val="00120635"/>
    <w:rPr>
      <w:sz w:val="20"/>
      <w:szCs w:val="20"/>
    </w:rPr>
  </w:style>
  <w:style w:type="character" w:customStyle="1" w:styleId="CommentTextChar">
    <w:name w:val="Comment Text Char"/>
    <w:basedOn w:val="DefaultParagraphFont"/>
    <w:link w:val="CommentText"/>
    <w:rsid w:val="00120635"/>
    <w:rPr>
      <w:lang w:eastAsia="en-US"/>
    </w:rPr>
  </w:style>
  <w:style w:type="paragraph" w:styleId="CommentSubject">
    <w:name w:val="annotation subject"/>
    <w:basedOn w:val="CommentText"/>
    <w:next w:val="CommentText"/>
    <w:link w:val="CommentSubjectChar"/>
    <w:rsid w:val="00120635"/>
    <w:rPr>
      <w:b/>
      <w:bCs/>
    </w:rPr>
  </w:style>
  <w:style w:type="character" w:customStyle="1" w:styleId="CommentSubjectChar">
    <w:name w:val="Comment Subject Char"/>
    <w:basedOn w:val="CommentTextChar"/>
    <w:link w:val="CommentSubject"/>
    <w:rsid w:val="00120635"/>
    <w:rPr>
      <w:b/>
      <w:bCs/>
    </w:rPr>
  </w:style>
  <w:style w:type="character" w:styleId="FollowedHyperlink">
    <w:name w:val="FollowedHyperlink"/>
    <w:basedOn w:val="DefaultParagraphFont"/>
    <w:rsid w:val="002870C4"/>
    <w:rPr>
      <w:color w:val="800080" w:themeColor="followedHyperlink"/>
      <w:u w:val="single"/>
    </w:rPr>
  </w:style>
  <w:style w:type="character" w:customStyle="1" w:styleId="TitleChar">
    <w:name w:val="Title Char"/>
    <w:basedOn w:val="DefaultParagraphFont"/>
    <w:link w:val="Title"/>
    <w:rsid w:val="00AF1972"/>
    <w:rPr>
      <w:rFonts w:ascii="Arial" w:hAnsi="Arial"/>
      <w:sz w:val="48"/>
      <w:szCs w:val="24"/>
      <w:lang w:eastAsia="en-US"/>
    </w:rPr>
  </w:style>
</w:styles>
</file>

<file path=word/webSettings.xml><?xml version="1.0" encoding="utf-8"?>
<w:webSettings xmlns:r="http://schemas.openxmlformats.org/officeDocument/2006/relationships" xmlns:w="http://schemas.openxmlformats.org/wordprocessingml/2006/main">
  <w:divs>
    <w:div w:id="885797812">
      <w:bodyDiv w:val="1"/>
      <w:marLeft w:val="0"/>
      <w:marRight w:val="0"/>
      <w:marTop w:val="0"/>
      <w:marBottom w:val="0"/>
      <w:divBdr>
        <w:top w:val="none" w:sz="0" w:space="0" w:color="auto"/>
        <w:left w:val="none" w:sz="0" w:space="0" w:color="auto"/>
        <w:bottom w:val="none" w:sz="0" w:space="0" w:color="auto"/>
        <w:right w:val="none" w:sz="0" w:space="0" w:color="auto"/>
      </w:divBdr>
    </w:div>
    <w:div w:id="1867402493">
      <w:bodyDiv w:val="1"/>
      <w:marLeft w:val="0"/>
      <w:marRight w:val="0"/>
      <w:marTop w:val="0"/>
      <w:marBottom w:val="0"/>
      <w:divBdr>
        <w:top w:val="none" w:sz="0" w:space="0" w:color="auto"/>
        <w:left w:val="none" w:sz="0" w:space="0" w:color="auto"/>
        <w:bottom w:val="none" w:sz="0" w:space="0" w:color="auto"/>
        <w:right w:val="none" w:sz="0" w:space="0" w:color="auto"/>
      </w:divBdr>
      <w:divsChild>
        <w:div w:id="151533361">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
        <w:div w:id="190313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counts.govt.nz/" TargetMode="External"/><Relationship Id="rId18" Type="http://schemas.openxmlformats.org/officeDocument/2006/relationships/hyperlink" Target="http://www.stats.govt.nz/"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zaneta.park@minedu.govt.nz" TargetMode="External"/><Relationship Id="rId17" Type="http://schemas.openxmlformats.org/officeDocument/2006/relationships/hyperlink" Target="http://www.stats.govt.nz/browse_for_stats/snapshots-of-nz/integrated-data-infrastructure/privacy-impact-assessment-for-the-idi.aspx" TargetMode="External"/><Relationship Id="rId2" Type="http://schemas.openxmlformats.org/officeDocument/2006/relationships/customXml" Target="../customXml/item2.xml"/><Relationship Id="rId16" Type="http://schemas.openxmlformats.org/officeDocument/2006/relationships/hyperlink" Target="http://www.careers.govt.nz/tools/compare-study-option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reers.govt.nz/tools/compare-study-option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720D8-299C-42AF-9832-241E78D74AF1}">
  <ds:schemaRefs>
    <ds:schemaRef ds:uri="http://schemas.openxmlformats.org/officeDocument/2006/bibliography"/>
  </ds:schemaRefs>
</ds:datastoreItem>
</file>

<file path=customXml/itemProps2.xml><?xml version="1.0" encoding="utf-8"?>
<ds:datastoreItem xmlns:ds="http://schemas.openxmlformats.org/officeDocument/2006/customXml" ds:itemID="{18CC94C4-18A0-4C86-9ABA-39D363EE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Report</vt:lpstr>
    </vt:vector>
  </TitlesOfParts>
  <Company>Ministry of Education</Company>
  <LinksUpToDate>false</LinksUpToDate>
  <CharactersWithSpaces>30919</CharactersWithSpaces>
  <SharedDoc>false</SharedDoc>
  <HLinks>
    <vt:vector size="6" baseType="variant">
      <vt:variant>
        <vt:i4>6946933</vt:i4>
      </vt:variant>
      <vt:variant>
        <vt:i4>0</vt:i4>
      </vt:variant>
      <vt:variant>
        <vt:i4>0</vt:i4>
      </vt:variant>
      <vt:variant>
        <vt:i4>5</vt:i4>
      </vt:variant>
      <vt:variant>
        <vt:lpwstr>http://www.educationcounts.govt.nz/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Roger Smyth</dc:creator>
  <cp:keywords/>
  <dc:description>Developed by Airplane Studios/Edocs</dc:description>
  <cp:lastModifiedBy>poutoav</cp:lastModifiedBy>
  <cp:revision>12</cp:revision>
  <cp:lastPrinted>2013-10-07T20:59:00Z</cp:lastPrinted>
  <dcterms:created xsi:type="dcterms:W3CDTF">2013-10-14T03:53:00Z</dcterms:created>
  <dcterms:modified xsi:type="dcterms:W3CDTF">2013-10-17T21:53:00Z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