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32C" w:rsidRDefault="00C7732C"/>
    <w:tbl>
      <w:tblPr>
        <w:tblpPr w:leftFromText="180" w:rightFromText="180" w:vertAnchor="page" w:horzAnchor="margin" w:tblpY="1268"/>
        <w:tblW w:w="9497" w:type="dxa"/>
        <w:tblLayout w:type="fixed"/>
        <w:tblCellMar>
          <w:left w:w="0" w:type="dxa"/>
          <w:right w:w="0" w:type="dxa"/>
        </w:tblCellMar>
        <w:tblLook w:val="01E0" w:firstRow="1" w:lastRow="1" w:firstColumn="1" w:lastColumn="1" w:noHBand="0" w:noVBand="0"/>
      </w:tblPr>
      <w:tblGrid>
        <w:gridCol w:w="6663"/>
        <w:gridCol w:w="2834"/>
      </w:tblGrid>
      <w:tr w:rsidR="009F7B18" w:rsidRPr="002F37E6" w:rsidTr="009F7B18">
        <w:trPr>
          <w:cantSplit/>
          <w:trHeight w:val="1975"/>
        </w:trPr>
        <w:tc>
          <w:tcPr>
            <w:tcW w:w="9497" w:type="dxa"/>
            <w:gridSpan w:val="2"/>
            <w:shd w:val="clear" w:color="auto" w:fill="auto"/>
            <w:vAlign w:val="center"/>
          </w:tcPr>
          <w:p w:rsidR="009F7B18" w:rsidRDefault="009F7B18" w:rsidP="009F7B18">
            <w:pPr>
              <w:pStyle w:val="Title"/>
              <w:framePr w:hSpace="0" w:wrap="auto" w:vAnchor="margin" w:hAnchor="text" w:xAlign="left" w:yAlign="inline"/>
            </w:pPr>
            <w:bookmarkStart w:id="0" w:name="_Toc365276870"/>
          </w:p>
          <w:p w:rsidR="009F7B18" w:rsidRPr="00C6655D" w:rsidRDefault="009F7B18" w:rsidP="009F7B18">
            <w:pPr>
              <w:pStyle w:val="Title"/>
              <w:framePr w:hSpace="0" w:wrap="auto" w:vAnchor="margin" w:hAnchor="text" w:xAlign="left" w:yAlign="inline"/>
            </w:pPr>
            <w:bookmarkStart w:id="1" w:name="_GoBack"/>
            <w:r>
              <w:t xml:space="preserve">Strategic Overview </w:t>
            </w:r>
          </w:p>
          <w:p w:rsidR="009F7B18" w:rsidRPr="00C30244" w:rsidRDefault="009F7B18" w:rsidP="009F7B18">
            <w:pPr>
              <w:spacing w:line="240" w:lineRule="auto"/>
              <w:rPr>
                <w:b/>
                <w:color w:val="23532C"/>
                <w:sz w:val="28"/>
                <w:szCs w:val="28"/>
              </w:rPr>
            </w:pPr>
            <w:r>
              <w:rPr>
                <w:b/>
                <w:color w:val="23532C"/>
                <w:sz w:val="28"/>
                <w:szCs w:val="28"/>
              </w:rPr>
              <w:t>Cardiovascular Disease in New Zealand</w:t>
            </w:r>
          </w:p>
          <w:bookmarkEnd w:id="1"/>
          <w:p w:rsidR="009F7B18" w:rsidRPr="00D72C7C" w:rsidRDefault="009F7B18" w:rsidP="009F7B18">
            <w:pPr>
              <w:jc w:val="right"/>
              <w:rPr>
                <w:color w:val="000000"/>
              </w:rPr>
            </w:pPr>
          </w:p>
        </w:tc>
      </w:tr>
      <w:tr w:rsidR="009F7B18" w:rsidRPr="002F37E6" w:rsidTr="009F7B18">
        <w:trPr>
          <w:cantSplit/>
        </w:trPr>
        <w:tc>
          <w:tcPr>
            <w:tcW w:w="6663" w:type="dxa"/>
            <w:tcBorders>
              <w:bottom w:val="single" w:sz="4" w:space="0" w:color="auto"/>
            </w:tcBorders>
            <w:shd w:val="clear" w:color="auto" w:fill="auto"/>
            <w:vAlign w:val="center"/>
          </w:tcPr>
          <w:p w:rsidR="009F7B18" w:rsidRPr="00D72C7C" w:rsidRDefault="009F7B18" w:rsidP="009F7B18">
            <w:pPr>
              <w:pStyle w:val="TableText"/>
              <w:spacing w:before="240" w:after="0"/>
              <w:rPr>
                <w:color w:val="000000"/>
              </w:rPr>
            </w:pPr>
          </w:p>
        </w:tc>
        <w:tc>
          <w:tcPr>
            <w:tcW w:w="2834" w:type="dxa"/>
            <w:tcBorders>
              <w:bottom w:val="single" w:sz="4" w:space="0" w:color="auto"/>
            </w:tcBorders>
            <w:shd w:val="clear" w:color="auto" w:fill="auto"/>
          </w:tcPr>
          <w:p w:rsidR="009F7B18" w:rsidRPr="00D93602" w:rsidRDefault="000E3070" w:rsidP="009F7B18">
            <w:pPr>
              <w:pStyle w:val="TableText"/>
              <w:spacing w:before="120" w:after="120" w:line="240" w:lineRule="auto"/>
              <w:jc w:val="right"/>
              <w:rPr>
                <w:color w:val="000000"/>
                <w:sz w:val="24"/>
              </w:rPr>
            </w:pPr>
            <w:r>
              <w:rPr>
                <w:color w:val="000000"/>
                <w:sz w:val="24"/>
              </w:rPr>
              <w:t>December</w:t>
            </w:r>
            <w:r w:rsidR="009F7B18" w:rsidRPr="00D93602">
              <w:rPr>
                <w:color w:val="000000"/>
                <w:sz w:val="24"/>
              </w:rPr>
              <w:t xml:space="preserve"> 2013</w:t>
            </w:r>
          </w:p>
        </w:tc>
      </w:tr>
    </w:tbl>
    <w:p w:rsidR="00927C7E" w:rsidRDefault="00927C7E" w:rsidP="00365A3A">
      <w:pPr>
        <w:pStyle w:val="Heading1"/>
        <w:spacing w:after="120"/>
      </w:pPr>
      <w:r w:rsidRPr="00C30244">
        <w:t>Executive Summary</w:t>
      </w:r>
      <w:bookmarkEnd w:id="0"/>
    </w:p>
    <w:p w:rsidR="00FF33DC" w:rsidRPr="00FF7440" w:rsidRDefault="00FF33DC" w:rsidP="00365A3A">
      <w:pPr>
        <w:spacing w:line="360" w:lineRule="auto"/>
        <w:jc w:val="both"/>
        <w:rPr>
          <w:sz w:val="22"/>
        </w:rPr>
      </w:pPr>
      <w:r w:rsidRPr="00FF7440">
        <w:rPr>
          <w:sz w:val="22"/>
        </w:rPr>
        <w:t>Cardiovascular disease places a significant burden on</w:t>
      </w:r>
      <w:r>
        <w:rPr>
          <w:sz w:val="22"/>
        </w:rPr>
        <w:t xml:space="preserve"> the New Zealand health system.</w:t>
      </w:r>
      <w:r w:rsidRPr="00FF7440">
        <w:rPr>
          <w:sz w:val="22"/>
        </w:rPr>
        <w:t xml:space="preserve"> In 2011/12, it accounted for $501 million worth of public hospital casemix discharges. Because of this large burden, the National Health Committee (NHC) has flagged cardiovascular disease as a priority disease area for the 2013/14 financial year.</w:t>
      </w:r>
    </w:p>
    <w:p w:rsidR="00FF33DC" w:rsidRDefault="00FF33DC" w:rsidP="00365A3A">
      <w:pPr>
        <w:spacing w:line="360" w:lineRule="auto"/>
        <w:jc w:val="both"/>
        <w:rPr>
          <w:rFonts w:cs="Arial"/>
          <w:color w:val="000000"/>
          <w:sz w:val="22"/>
        </w:rPr>
      </w:pPr>
      <w:r w:rsidRPr="00FE7190">
        <w:rPr>
          <w:rFonts w:cs="Arial"/>
          <w:color w:val="000000"/>
          <w:sz w:val="22"/>
        </w:rPr>
        <w:t>This ‘Tier 1’ document presents a high-level overview of each cardiovascular condition in terms of prevalence and incidence, health outcomes a</w:t>
      </w:r>
      <w:r>
        <w:rPr>
          <w:rFonts w:cs="Arial"/>
          <w:color w:val="000000"/>
          <w:sz w:val="22"/>
        </w:rPr>
        <w:t>nd health utilisation and cost.</w:t>
      </w:r>
      <w:r w:rsidRPr="00FE7190">
        <w:rPr>
          <w:rFonts w:cs="Arial"/>
          <w:color w:val="000000"/>
          <w:sz w:val="22"/>
        </w:rPr>
        <w:t xml:space="preserve"> The findings are then assessed against the relevant</w:t>
      </w:r>
      <w:r>
        <w:rPr>
          <w:rFonts w:cs="Arial"/>
          <w:color w:val="000000"/>
          <w:sz w:val="22"/>
        </w:rPr>
        <w:t xml:space="preserve"> NHC decision-making criteria. </w:t>
      </w:r>
      <w:r w:rsidRPr="00FE7190">
        <w:rPr>
          <w:rFonts w:cs="Arial"/>
          <w:color w:val="000000"/>
          <w:sz w:val="22"/>
        </w:rPr>
        <w:t>The purpose of this document is to provide the Committee with contex</w:t>
      </w:r>
      <w:r>
        <w:rPr>
          <w:rFonts w:cs="Arial"/>
          <w:color w:val="000000"/>
          <w:sz w:val="22"/>
        </w:rPr>
        <w:t xml:space="preserve">t around a recommendation as to </w:t>
      </w:r>
      <w:r w:rsidRPr="00FE7190">
        <w:rPr>
          <w:rFonts w:cs="Arial"/>
          <w:color w:val="000000"/>
          <w:sz w:val="22"/>
        </w:rPr>
        <w:t>w</w:t>
      </w:r>
      <w:r>
        <w:rPr>
          <w:rFonts w:cs="Arial"/>
          <w:color w:val="000000"/>
          <w:sz w:val="22"/>
        </w:rPr>
        <w:t xml:space="preserve">hich disease area </w:t>
      </w:r>
      <w:r w:rsidRPr="00FE7190">
        <w:rPr>
          <w:rFonts w:cs="Arial"/>
          <w:color w:val="000000"/>
          <w:sz w:val="22"/>
        </w:rPr>
        <w:t xml:space="preserve">should </w:t>
      </w:r>
      <w:r>
        <w:rPr>
          <w:rFonts w:cs="Arial"/>
          <w:color w:val="000000"/>
          <w:sz w:val="22"/>
        </w:rPr>
        <w:t xml:space="preserve">be </w:t>
      </w:r>
      <w:r w:rsidR="001418E1">
        <w:rPr>
          <w:rFonts w:cs="Arial"/>
          <w:color w:val="000000"/>
          <w:sz w:val="22"/>
        </w:rPr>
        <w:t>assessed</w:t>
      </w:r>
      <w:r>
        <w:rPr>
          <w:rFonts w:cs="Arial"/>
          <w:color w:val="000000"/>
          <w:sz w:val="22"/>
        </w:rPr>
        <w:t xml:space="preserve"> in </w:t>
      </w:r>
      <w:r w:rsidRPr="00FE7190">
        <w:rPr>
          <w:rFonts w:cs="Arial"/>
          <w:color w:val="000000"/>
          <w:sz w:val="22"/>
        </w:rPr>
        <w:t xml:space="preserve">‘Tier 2’ </w:t>
      </w:r>
      <w:r>
        <w:rPr>
          <w:rFonts w:cs="Arial"/>
          <w:color w:val="000000"/>
          <w:sz w:val="22"/>
        </w:rPr>
        <w:t xml:space="preserve">and subsequent </w:t>
      </w:r>
      <w:r w:rsidR="001418E1">
        <w:rPr>
          <w:rFonts w:cs="Arial"/>
          <w:color w:val="000000"/>
          <w:sz w:val="22"/>
        </w:rPr>
        <w:t xml:space="preserve">tiers </w:t>
      </w:r>
      <w:r w:rsidRPr="00FF7440">
        <w:rPr>
          <w:rFonts w:cs="Arial"/>
          <w:color w:val="000000"/>
          <w:sz w:val="22"/>
        </w:rPr>
        <w:t>in order to improve health outcomes and efficiency</w:t>
      </w:r>
      <w:r>
        <w:rPr>
          <w:rFonts w:cs="Arial"/>
          <w:color w:val="000000"/>
          <w:sz w:val="22"/>
        </w:rPr>
        <w:t xml:space="preserve"> for the health sector</w:t>
      </w:r>
      <w:r w:rsidRPr="00FE7190">
        <w:rPr>
          <w:rFonts w:cs="Arial"/>
          <w:color w:val="000000"/>
          <w:sz w:val="22"/>
        </w:rPr>
        <w:t>.</w:t>
      </w:r>
    </w:p>
    <w:p w:rsidR="00FF33DC" w:rsidRPr="0060049D" w:rsidRDefault="00FF33DC" w:rsidP="00365A3A">
      <w:pPr>
        <w:autoSpaceDE w:val="0"/>
        <w:autoSpaceDN w:val="0"/>
        <w:adjustRightInd w:val="0"/>
        <w:spacing w:after="120" w:line="360" w:lineRule="auto"/>
        <w:jc w:val="both"/>
        <w:rPr>
          <w:rFonts w:ascii="Arial Mäori" w:hAnsi="Arial Mäori" w:cs="Arial Mäori"/>
          <w:color w:val="000000"/>
          <w:sz w:val="22"/>
        </w:rPr>
      </w:pPr>
      <w:r>
        <w:rPr>
          <w:rFonts w:ascii="Arial Mäori" w:hAnsi="Arial Mäori" w:cs="Arial Mäori"/>
          <w:color w:val="000000"/>
          <w:sz w:val="22"/>
        </w:rPr>
        <w:t xml:space="preserve">The </w:t>
      </w:r>
      <w:r w:rsidRPr="0060049D">
        <w:rPr>
          <w:rFonts w:ascii="Arial Mäori" w:hAnsi="Arial Mäori" w:cs="Arial Mäori"/>
          <w:color w:val="000000"/>
          <w:sz w:val="22"/>
        </w:rPr>
        <w:t xml:space="preserve">prevalence </w:t>
      </w:r>
      <w:r>
        <w:rPr>
          <w:rFonts w:ascii="Arial Mäori" w:hAnsi="Arial Mäori" w:cs="Arial Mäori"/>
          <w:color w:val="000000"/>
          <w:sz w:val="22"/>
        </w:rPr>
        <w:t>of ischaemic heart disease (IHD) was 5.5% in</w:t>
      </w:r>
      <w:r w:rsidRPr="0060049D">
        <w:rPr>
          <w:rFonts w:ascii="Arial Mäori" w:hAnsi="Arial Mäori" w:cs="Arial Mäori"/>
          <w:color w:val="000000"/>
          <w:sz w:val="22"/>
        </w:rPr>
        <w:t xml:space="preserve"> New Zealand adults aged over 15 years</w:t>
      </w:r>
      <w:r w:rsidR="001418E1">
        <w:rPr>
          <w:rFonts w:ascii="Arial Mäori" w:hAnsi="Arial Mäori" w:cs="Arial Mäori"/>
          <w:color w:val="000000"/>
          <w:sz w:val="22"/>
        </w:rPr>
        <w:t xml:space="preserve"> in 2011/12. This equated</w:t>
      </w:r>
      <w:r>
        <w:rPr>
          <w:rFonts w:ascii="Arial Mäori" w:hAnsi="Arial Mäori" w:cs="Arial Mäori"/>
          <w:color w:val="000000"/>
          <w:sz w:val="22"/>
        </w:rPr>
        <w:t xml:space="preserve"> to about 193,000 individuals, with more men than women affected.  </w:t>
      </w:r>
      <w:r w:rsidRPr="00FC7438">
        <w:rPr>
          <w:rFonts w:ascii="Arial Mäori" w:hAnsi="Arial Mäori" w:cs="Arial Mäori"/>
          <w:color w:val="000000"/>
          <w:sz w:val="22"/>
        </w:rPr>
        <w:t>Almost 30% of individuals aged over 75 years have been diagnosed with IHD</w:t>
      </w:r>
      <w:r>
        <w:rPr>
          <w:rFonts w:ascii="Arial Mäori" w:hAnsi="Arial Mäori" w:cs="Arial Mäori"/>
          <w:color w:val="000000"/>
          <w:sz w:val="22"/>
        </w:rPr>
        <w:t xml:space="preserve">. </w:t>
      </w:r>
      <w:r w:rsidRPr="0060049D">
        <w:rPr>
          <w:rFonts w:ascii="Arial Mäori" w:hAnsi="Arial Mäori" w:cs="Arial Mäori"/>
          <w:color w:val="000000"/>
          <w:sz w:val="22"/>
        </w:rPr>
        <w:t>Māori are about 1.8 times as likely to have bee</w:t>
      </w:r>
      <w:r>
        <w:rPr>
          <w:rFonts w:ascii="Arial Mäori" w:hAnsi="Arial Mäori" w:cs="Arial Mäori"/>
          <w:color w:val="000000"/>
          <w:sz w:val="22"/>
        </w:rPr>
        <w:t>n diagnosed with IHD as</w:t>
      </w:r>
      <w:r w:rsidRPr="0060049D">
        <w:rPr>
          <w:rFonts w:ascii="Arial Mäori" w:hAnsi="Arial Mäori" w:cs="Arial Mäori"/>
          <w:color w:val="000000"/>
          <w:sz w:val="22"/>
        </w:rPr>
        <w:t xml:space="preserve"> non-Māori</w:t>
      </w:r>
      <w:r>
        <w:rPr>
          <w:rFonts w:ascii="Arial Mäori" w:hAnsi="Arial Mäori" w:cs="Arial Mäori"/>
          <w:color w:val="000000"/>
          <w:sz w:val="22"/>
        </w:rPr>
        <w:t xml:space="preserve"> adults</w:t>
      </w:r>
      <w:r w:rsidRPr="00775E38">
        <w:t xml:space="preserve"> </w:t>
      </w:r>
      <w:r w:rsidRPr="00775E38">
        <w:rPr>
          <w:rFonts w:ascii="Arial Mäori" w:hAnsi="Arial Mäori" w:cs="Arial Mäori"/>
          <w:color w:val="000000"/>
          <w:sz w:val="22"/>
        </w:rPr>
        <w:t>when adjusted for age and sex</w:t>
      </w:r>
      <w:r>
        <w:rPr>
          <w:rFonts w:ascii="Arial Mäori" w:hAnsi="Arial Mäori" w:cs="Arial Mäori"/>
          <w:color w:val="000000"/>
          <w:sz w:val="22"/>
        </w:rPr>
        <w:t xml:space="preserve">. </w:t>
      </w:r>
      <w:r w:rsidRPr="0060049D">
        <w:rPr>
          <w:rFonts w:ascii="Arial Mäori" w:hAnsi="Arial Mäori" w:cs="Arial Mäori"/>
          <w:color w:val="000000"/>
          <w:sz w:val="22"/>
        </w:rPr>
        <w:t>IHD contributed to 6,027 deaths in 2006 (57% of all cardiovascular</w:t>
      </w:r>
      <w:r>
        <w:rPr>
          <w:rFonts w:ascii="Arial Mäori" w:hAnsi="Arial Mäori" w:cs="Arial Mäori"/>
          <w:color w:val="000000"/>
          <w:sz w:val="22"/>
        </w:rPr>
        <w:t xml:space="preserve"> </w:t>
      </w:r>
      <w:r w:rsidRPr="0060049D">
        <w:rPr>
          <w:rFonts w:ascii="Arial Mäori" w:hAnsi="Arial Mäori" w:cs="Arial Mäori"/>
          <w:color w:val="000000"/>
          <w:sz w:val="22"/>
        </w:rPr>
        <w:t>deaths)</w:t>
      </w:r>
      <w:r>
        <w:rPr>
          <w:rFonts w:ascii="Arial Mäori" w:hAnsi="Arial Mäori" w:cs="Arial Mäori"/>
          <w:color w:val="000000"/>
          <w:sz w:val="22"/>
        </w:rPr>
        <w:t xml:space="preserve"> and was associated with </w:t>
      </w:r>
      <w:r w:rsidRPr="0060049D">
        <w:rPr>
          <w:rFonts w:ascii="Arial Mäori" w:hAnsi="Arial Mäori" w:cs="Arial Mäori"/>
          <w:color w:val="000000"/>
          <w:sz w:val="22"/>
        </w:rPr>
        <w:t>over 89,000 DALYs (56% of total cardiovascular DALYs)</w:t>
      </w:r>
      <w:r>
        <w:rPr>
          <w:rFonts w:ascii="Arial Mäori" w:hAnsi="Arial Mäori" w:cs="Arial Mäori"/>
          <w:color w:val="000000"/>
          <w:sz w:val="22"/>
        </w:rPr>
        <w:t>.</w:t>
      </w:r>
      <w:r w:rsidRPr="00775E38">
        <w:rPr>
          <w:rFonts w:ascii="Arial Mäori" w:hAnsi="Arial Mäori" w:cs="Arial Mäori"/>
          <w:color w:val="000000"/>
          <w:sz w:val="22"/>
        </w:rPr>
        <w:t xml:space="preserve"> </w:t>
      </w:r>
      <w:r w:rsidRPr="0060049D">
        <w:rPr>
          <w:rFonts w:ascii="Arial Mäori" w:hAnsi="Arial Mäori" w:cs="Arial Mäori"/>
          <w:color w:val="000000"/>
          <w:sz w:val="22"/>
        </w:rPr>
        <w:t>In 2011/12</w:t>
      </w:r>
      <w:r>
        <w:rPr>
          <w:rFonts w:ascii="Arial Mäori" w:hAnsi="Arial Mäori" w:cs="Arial Mäori"/>
          <w:color w:val="000000"/>
          <w:sz w:val="22"/>
        </w:rPr>
        <w:t xml:space="preserve">, </w:t>
      </w:r>
      <w:r w:rsidRPr="0060049D">
        <w:rPr>
          <w:rFonts w:ascii="Arial Mäori" w:hAnsi="Arial Mäori" w:cs="Arial Mäori"/>
          <w:color w:val="000000"/>
          <w:sz w:val="22"/>
        </w:rPr>
        <w:t xml:space="preserve">$228 million was spent on 30,745 hospitalisations </w:t>
      </w:r>
      <w:r>
        <w:rPr>
          <w:rFonts w:ascii="Arial Mäori" w:hAnsi="Arial Mäori" w:cs="Arial Mäori"/>
          <w:color w:val="000000"/>
          <w:sz w:val="22"/>
        </w:rPr>
        <w:t>for 21,764 individuals with IHD.</w:t>
      </w:r>
      <w:r w:rsidRPr="0060049D">
        <w:rPr>
          <w:rFonts w:ascii="Arial Mäori" w:hAnsi="Arial Mäori" w:cs="Arial Mäori"/>
          <w:color w:val="000000"/>
          <w:sz w:val="22"/>
        </w:rPr>
        <w:t xml:space="preserve"> Each hospitalised individual cost about $10,500 on average</w:t>
      </w:r>
      <w:r>
        <w:rPr>
          <w:rFonts w:ascii="Arial Mäori" w:hAnsi="Arial Mäori" w:cs="Arial Mäori"/>
          <w:color w:val="000000"/>
          <w:sz w:val="22"/>
        </w:rPr>
        <w:t>,</w:t>
      </w:r>
      <w:r w:rsidRPr="0060049D">
        <w:rPr>
          <w:rFonts w:ascii="Arial Mäori" w:hAnsi="Arial Mäori" w:cs="Arial Mäori"/>
          <w:color w:val="000000"/>
          <w:sz w:val="22"/>
        </w:rPr>
        <w:t xml:space="preserve"> with each hospitalisation lasting an average of 4.4 days.</w:t>
      </w:r>
    </w:p>
    <w:p w:rsidR="00FF33DC" w:rsidRPr="00F4616D" w:rsidRDefault="00FF33DC" w:rsidP="00365A3A">
      <w:pPr>
        <w:spacing w:line="360" w:lineRule="auto"/>
        <w:jc w:val="both"/>
        <w:rPr>
          <w:rFonts w:cs="Arial"/>
          <w:sz w:val="22"/>
        </w:rPr>
      </w:pPr>
      <w:r>
        <w:rPr>
          <w:rFonts w:cs="Arial"/>
          <w:sz w:val="22"/>
        </w:rPr>
        <w:t>The prevalence of stroke in 2011/12 was a</w:t>
      </w:r>
      <w:r w:rsidRPr="00164F8C">
        <w:rPr>
          <w:rFonts w:cs="Arial"/>
          <w:sz w:val="22"/>
        </w:rPr>
        <w:t xml:space="preserve">bout 1.8% </w:t>
      </w:r>
      <w:r>
        <w:rPr>
          <w:rFonts w:cs="Arial"/>
          <w:sz w:val="22"/>
        </w:rPr>
        <w:t>of adults (62,000 individuals), with prevalence rising to 8% in those aged over 75 years</w:t>
      </w:r>
      <w:r w:rsidRPr="00775E38">
        <w:rPr>
          <w:rFonts w:cs="Arial"/>
          <w:sz w:val="22"/>
        </w:rPr>
        <w:t xml:space="preserve">.  </w:t>
      </w:r>
      <w:r w:rsidRPr="00164F8C">
        <w:rPr>
          <w:rFonts w:cs="Arial"/>
          <w:sz w:val="22"/>
        </w:rPr>
        <w:t>Māori individuals were 1.3 times a</w:t>
      </w:r>
      <w:r>
        <w:rPr>
          <w:rFonts w:cs="Arial"/>
          <w:sz w:val="22"/>
        </w:rPr>
        <w:t xml:space="preserve">s likely to have </w:t>
      </w:r>
      <w:r w:rsidR="001418E1">
        <w:rPr>
          <w:rFonts w:cs="Arial"/>
          <w:sz w:val="22"/>
        </w:rPr>
        <w:t xml:space="preserve">had </w:t>
      </w:r>
      <w:r>
        <w:rPr>
          <w:rFonts w:cs="Arial"/>
          <w:sz w:val="22"/>
        </w:rPr>
        <w:t>a stroke as</w:t>
      </w:r>
      <w:r w:rsidRPr="00164F8C">
        <w:rPr>
          <w:rFonts w:cs="Arial"/>
          <w:sz w:val="22"/>
        </w:rPr>
        <w:t xml:space="preserve"> non-Māori individuals when adjusted for age and sex</w:t>
      </w:r>
      <w:r>
        <w:rPr>
          <w:rFonts w:cs="Arial"/>
          <w:sz w:val="22"/>
        </w:rPr>
        <w:t xml:space="preserve">. </w:t>
      </w:r>
      <w:r w:rsidRPr="00775E38">
        <w:rPr>
          <w:rFonts w:cs="Arial"/>
          <w:sz w:val="22"/>
        </w:rPr>
        <w:t>Strokes killed about 2,700 people and were responsible for 37,688 DALYs in 2006 (26% and 24% of deaths and DALYs, respectively).</w:t>
      </w:r>
      <w:r w:rsidRPr="00775E38">
        <w:t xml:space="preserve"> </w:t>
      </w:r>
      <w:r w:rsidRPr="00775E38">
        <w:rPr>
          <w:rFonts w:cs="Arial"/>
          <w:sz w:val="22"/>
        </w:rPr>
        <w:t>Stroke was responsible for 10,370 hospitalisations for 9,</w:t>
      </w:r>
      <w:r>
        <w:rPr>
          <w:rFonts w:cs="Arial"/>
          <w:sz w:val="22"/>
        </w:rPr>
        <w:t xml:space="preserve">000 individuals in </w:t>
      </w:r>
      <w:r>
        <w:rPr>
          <w:rFonts w:cs="Arial"/>
          <w:sz w:val="22"/>
        </w:rPr>
        <w:lastRenderedPageBreak/>
        <w:t xml:space="preserve">20011/12. </w:t>
      </w:r>
      <w:r w:rsidRPr="00775E38">
        <w:rPr>
          <w:rFonts w:cs="Arial"/>
          <w:sz w:val="22"/>
        </w:rPr>
        <w:t>Average cost per hospitalised individual was $7,400 whilst average hospitalisatio</w:t>
      </w:r>
      <w:r>
        <w:rPr>
          <w:rFonts w:cs="Arial"/>
          <w:sz w:val="22"/>
        </w:rPr>
        <w:t xml:space="preserve">n length of stay was 4.9 days. </w:t>
      </w:r>
      <w:r w:rsidRPr="00775E38">
        <w:rPr>
          <w:rFonts w:cs="Arial"/>
          <w:sz w:val="22"/>
        </w:rPr>
        <w:t xml:space="preserve">Total </w:t>
      </w:r>
      <w:r w:rsidR="00F4616D">
        <w:rPr>
          <w:rFonts w:cs="Arial"/>
          <w:sz w:val="22"/>
        </w:rPr>
        <w:t xml:space="preserve">acute </w:t>
      </w:r>
      <w:r w:rsidRPr="00775E38">
        <w:rPr>
          <w:rFonts w:cs="Arial"/>
          <w:sz w:val="22"/>
        </w:rPr>
        <w:t>hospitalisation costs were $67 million.</w:t>
      </w:r>
      <w:r w:rsidR="00F4616D">
        <w:rPr>
          <w:rFonts w:cs="Arial"/>
          <w:sz w:val="22"/>
        </w:rPr>
        <w:t xml:space="preserve">  Including rehabilitation costs, this cost is closer to between $120.6 million and $127.7 million.</w:t>
      </w:r>
    </w:p>
    <w:p w:rsidR="00FF33DC" w:rsidRDefault="00FF33DC" w:rsidP="00365A3A">
      <w:pPr>
        <w:spacing w:line="360" w:lineRule="auto"/>
        <w:jc w:val="both"/>
        <w:rPr>
          <w:rFonts w:cs="Arial"/>
          <w:sz w:val="22"/>
        </w:rPr>
      </w:pPr>
      <w:r>
        <w:rPr>
          <w:rFonts w:cs="Arial"/>
          <w:sz w:val="22"/>
        </w:rPr>
        <w:t>While hypertension is very common, requiring 16% of adults to take antihypertensive medication, it makes a relatively small contribution</w:t>
      </w:r>
      <w:r w:rsidRPr="00164F8C">
        <w:rPr>
          <w:rFonts w:cs="Arial"/>
          <w:sz w:val="22"/>
        </w:rPr>
        <w:t xml:space="preserve"> </w:t>
      </w:r>
      <w:r>
        <w:rPr>
          <w:rFonts w:cs="Arial"/>
          <w:sz w:val="22"/>
        </w:rPr>
        <w:t>in terms of disease burden (</w:t>
      </w:r>
      <w:r w:rsidRPr="00164F8C">
        <w:rPr>
          <w:rFonts w:cs="Arial"/>
          <w:sz w:val="22"/>
        </w:rPr>
        <w:t>280 deaths and 3,300 DALYs in 2006</w:t>
      </w:r>
      <w:r>
        <w:rPr>
          <w:rFonts w:cs="Arial"/>
          <w:sz w:val="22"/>
        </w:rPr>
        <w:t>) and hospitalisation costs ($1 million in 2011/12) compared with IHD and stroke. Rheumatic heart disease is important in terms of inequalities, with i</w:t>
      </w:r>
      <w:r w:rsidRPr="00FE7190">
        <w:rPr>
          <w:rFonts w:ascii="Arial Mäori" w:hAnsi="Arial Mäori" w:cs="Arial Mäori"/>
          <w:color w:val="000000"/>
          <w:sz w:val="22"/>
        </w:rPr>
        <w:t xml:space="preserve">ncidence </w:t>
      </w:r>
      <w:r>
        <w:rPr>
          <w:rFonts w:ascii="Arial Mäori" w:hAnsi="Arial Mäori" w:cs="Arial Mäori"/>
          <w:color w:val="000000"/>
          <w:sz w:val="22"/>
        </w:rPr>
        <w:t>being</w:t>
      </w:r>
      <w:r w:rsidRPr="00FE7190">
        <w:rPr>
          <w:rFonts w:ascii="Arial Mäori" w:hAnsi="Arial Mäori" w:cs="Arial Mäori"/>
          <w:color w:val="000000"/>
          <w:sz w:val="22"/>
        </w:rPr>
        <w:t xml:space="preserve"> </w:t>
      </w:r>
      <w:r>
        <w:rPr>
          <w:rFonts w:ascii="Arial Mäori" w:hAnsi="Arial Mäori" w:cs="Arial Mäori"/>
          <w:color w:val="000000"/>
          <w:sz w:val="22"/>
        </w:rPr>
        <w:t xml:space="preserve">respectively 20- and 40-times higher </w:t>
      </w:r>
      <w:r w:rsidRPr="00FE7190">
        <w:rPr>
          <w:rFonts w:ascii="Arial Mäori" w:hAnsi="Arial Mäori" w:cs="Arial Mäori"/>
          <w:color w:val="000000"/>
          <w:sz w:val="22"/>
        </w:rPr>
        <w:t>for Māori</w:t>
      </w:r>
      <w:r>
        <w:rPr>
          <w:rFonts w:ascii="Arial Mäori" w:hAnsi="Arial Mäori" w:cs="Arial Mäori"/>
          <w:color w:val="000000"/>
          <w:sz w:val="22"/>
        </w:rPr>
        <w:t xml:space="preserve"> and Pacific children than for </w:t>
      </w:r>
      <w:r w:rsidRPr="00FE7190">
        <w:rPr>
          <w:rFonts w:ascii="Arial Mäori" w:hAnsi="Arial Mäori" w:cs="Arial Mäori"/>
          <w:color w:val="000000"/>
          <w:sz w:val="22"/>
        </w:rPr>
        <w:t>non-Māori/non-Pacific</w:t>
      </w:r>
      <w:r>
        <w:rPr>
          <w:rFonts w:ascii="Arial Mäori" w:hAnsi="Arial Mäori" w:cs="Arial Mäori"/>
          <w:color w:val="000000"/>
          <w:sz w:val="22"/>
        </w:rPr>
        <w:t xml:space="preserve"> children. However, </w:t>
      </w:r>
      <w:r w:rsidR="001418E1">
        <w:rPr>
          <w:rFonts w:ascii="Arial Mäori" w:hAnsi="Arial Mäori" w:cs="Arial Mäori"/>
          <w:color w:val="000000"/>
          <w:sz w:val="22"/>
        </w:rPr>
        <w:t>the disease burden was</w:t>
      </w:r>
      <w:r>
        <w:rPr>
          <w:rFonts w:ascii="Arial Mäori" w:hAnsi="Arial Mäori" w:cs="Arial Mäori"/>
          <w:color w:val="000000"/>
          <w:sz w:val="22"/>
        </w:rPr>
        <w:t xml:space="preserve"> relatively low (</w:t>
      </w:r>
      <w:r w:rsidRPr="0060049D">
        <w:rPr>
          <w:rFonts w:ascii="Arial Mäori" w:hAnsi="Arial Mäori" w:cs="Arial Mäori"/>
          <w:color w:val="000000"/>
          <w:sz w:val="22"/>
        </w:rPr>
        <w:t>100 deaths and 2,800 DALYs in 2006</w:t>
      </w:r>
      <w:r w:rsidR="001418E1">
        <w:rPr>
          <w:rFonts w:ascii="Arial Mäori" w:hAnsi="Arial Mäori" w:cs="Arial Mäori"/>
          <w:color w:val="000000"/>
          <w:sz w:val="22"/>
        </w:rPr>
        <w:t>)</w:t>
      </w:r>
      <w:r>
        <w:rPr>
          <w:rFonts w:ascii="Arial Mäori" w:hAnsi="Arial Mäori" w:cs="Arial Mäori"/>
          <w:color w:val="000000"/>
          <w:sz w:val="22"/>
        </w:rPr>
        <w:t xml:space="preserve"> and the </w:t>
      </w:r>
      <w:r w:rsidRPr="00ED44B3">
        <w:rPr>
          <w:rFonts w:ascii="Arial Mäori" w:hAnsi="Arial Mäori" w:cs="Arial Mäori"/>
          <w:color w:val="000000"/>
          <w:sz w:val="22"/>
        </w:rPr>
        <w:t>hospitalisa</w:t>
      </w:r>
      <w:r>
        <w:rPr>
          <w:rFonts w:ascii="Arial Mäori" w:hAnsi="Arial Mäori" w:cs="Arial Mäori"/>
          <w:color w:val="000000"/>
          <w:sz w:val="22"/>
        </w:rPr>
        <w:t>tion cost was</w:t>
      </w:r>
      <w:r w:rsidRPr="00ED44B3">
        <w:rPr>
          <w:rFonts w:ascii="Arial Mäori" w:hAnsi="Arial Mäori" w:cs="Arial Mäori"/>
          <w:color w:val="000000"/>
          <w:sz w:val="22"/>
        </w:rPr>
        <w:t xml:space="preserve"> $6 million in</w:t>
      </w:r>
      <w:r>
        <w:rPr>
          <w:rFonts w:ascii="Arial Mäori" w:hAnsi="Arial Mäori" w:cs="Arial Mäori"/>
          <w:color w:val="000000"/>
          <w:sz w:val="22"/>
        </w:rPr>
        <w:t xml:space="preserve"> 2011/12</w:t>
      </w:r>
      <w:r w:rsidRPr="00ED44B3">
        <w:rPr>
          <w:rFonts w:ascii="Arial Mäori" w:hAnsi="Arial Mäori" w:cs="Arial Mäori"/>
          <w:color w:val="000000"/>
          <w:sz w:val="22"/>
        </w:rPr>
        <w:t xml:space="preserve">.  </w:t>
      </w:r>
    </w:p>
    <w:p w:rsidR="00FF33DC" w:rsidRPr="00E011F4" w:rsidRDefault="00FF33DC" w:rsidP="00365A3A">
      <w:pPr>
        <w:spacing w:after="120" w:line="360" w:lineRule="auto"/>
        <w:jc w:val="both"/>
        <w:rPr>
          <w:rFonts w:cs="Arial"/>
          <w:sz w:val="22"/>
        </w:rPr>
      </w:pPr>
      <w:r>
        <w:rPr>
          <w:rFonts w:cs="Arial"/>
          <w:sz w:val="22"/>
        </w:rPr>
        <w:t>The other cardiovascular disease sub</w:t>
      </w:r>
      <w:r w:rsidR="001418E1">
        <w:rPr>
          <w:rFonts w:cs="Arial"/>
          <w:sz w:val="22"/>
        </w:rPr>
        <w:t>-</w:t>
      </w:r>
      <w:r>
        <w:rPr>
          <w:rFonts w:cs="Arial"/>
          <w:sz w:val="22"/>
        </w:rPr>
        <w:t xml:space="preserve">areas each contributed less than 5% of cardiovascular deaths and DALYS, and were associated with hospitalisation costs of $7 </w:t>
      </w:r>
      <w:r w:rsidR="001418E1">
        <w:rPr>
          <w:rFonts w:cs="Arial"/>
          <w:sz w:val="22"/>
        </w:rPr>
        <w:t xml:space="preserve">million </w:t>
      </w:r>
      <w:r>
        <w:rPr>
          <w:rFonts w:cs="Arial"/>
          <w:sz w:val="22"/>
        </w:rPr>
        <w:t>to $37 million i</w:t>
      </w:r>
      <w:r w:rsidRPr="00164F8C">
        <w:rPr>
          <w:rFonts w:cs="Arial"/>
          <w:sz w:val="22"/>
        </w:rPr>
        <w:t>n 2011/12</w:t>
      </w:r>
      <w:r>
        <w:rPr>
          <w:rFonts w:cs="Arial"/>
          <w:sz w:val="22"/>
        </w:rPr>
        <w:t>.</w:t>
      </w:r>
      <w:r w:rsidRPr="00164F8C">
        <w:rPr>
          <w:rFonts w:cs="Arial"/>
          <w:sz w:val="22"/>
        </w:rPr>
        <w:t xml:space="preserve"> </w:t>
      </w:r>
    </w:p>
    <w:p w:rsidR="00FF33DC" w:rsidRDefault="001418E1" w:rsidP="00365A3A">
      <w:pPr>
        <w:autoSpaceDE w:val="0"/>
        <w:autoSpaceDN w:val="0"/>
        <w:adjustRightInd w:val="0"/>
        <w:spacing w:after="240" w:line="360" w:lineRule="auto"/>
        <w:jc w:val="both"/>
        <w:rPr>
          <w:rFonts w:cs="Arial"/>
          <w:color w:val="000000"/>
          <w:sz w:val="22"/>
        </w:rPr>
      </w:pPr>
      <w:r>
        <w:rPr>
          <w:rFonts w:cs="Arial"/>
          <w:sz w:val="22"/>
        </w:rPr>
        <w:t>I</w:t>
      </w:r>
      <w:r w:rsidR="00FF33DC" w:rsidRPr="00164F8C">
        <w:rPr>
          <w:rFonts w:cs="Arial"/>
          <w:sz w:val="22"/>
        </w:rPr>
        <w:t>n terms of absolute prevalence, DALY and death burden, IHD places the most burden on health independence compared to all other cardiovascular diseases including stroke.</w:t>
      </w:r>
      <w:r w:rsidR="00FF33DC">
        <w:rPr>
          <w:rFonts w:cs="Arial"/>
          <w:sz w:val="22"/>
        </w:rPr>
        <w:t xml:space="preserve"> From an equity perspective, Māori have</w:t>
      </w:r>
      <w:r w:rsidR="00FF33DC" w:rsidRPr="00C4010B">
        <w:rPr>
          <w:rFonts w:cs="Arial"/>
          <w:sz w:val="22"/>
        </w:rPr>
        <w:t xml:space="preserve"> a DALY burden </w:t>
      </w:r>
      <w:r w:rsidR="00FF33DC">
        <w:rPr>
          <w:rFonts w:cs="Arial"/>
          <w:sz w:val="22"/>
        </w:rPr>
        <w:t xml:space="preserve">for IHD </w:t>
      </w:r>
      <w:r w:rsidR="00FF33DC" w:rsidRPr="00C4010B">
        <w:rPr>
          <w:rFonts w:cs="Arial"/>
          <w:sz w:val="22"/>
        </w:rPr>
        <w:t>that is 3 times that of non-Māori</w:t>
      </w:r>
      <w:r w:rsidR="00FF33DC">
        <w:rPr>
          <w:rFonts w:cs="Arial"/>
          <w:sz w:val="22"/>
        </w:rPr>
        <w:t>. In terms of materiality, a saving of $26 per patient or $163 (2.2%) per hospitalisation for IHD would produce $5 million in savings.</w:t>
      </w:r>
    </w:p>
    <w:p w:rsidR="00FF33DC" w:rsidRDefault="00FF33DC" w:rsidP="00365A3A">
      <w:pPr>
        <w:spacing w:line="360" w:lineRule="auto"/>
        <w:jc w:val="both"/>
        <w:rPr>
          <w:rFonts w:cs="Arial"/>
          <w:color w:val="000000"/>
          <w:sz w:val="22"/>
        </w:rPr>
      </w:pPr>
      <w:r w:rsidRPr="00FE7190">
        <w:rPr>
          <w:rFonts w:cs="Arial"/>
          <w:color w:val="000000"/>
          <w:sz w:val="22"/>
        </w:rPr>
        <w:t xml:space="preserve">Based on the evidence in this report, it is recommended that ischaemic heart disease (IHD) is assessed for the 2013/14 year as per the </w:t>
      </w:r>
      <w:r>
        <w:rPr>
          <w:rFonts w:cs="Arial"/>
          <w:color w:val="000000"/>
          <w:sz w:val="22"/>
        </w:rPr>
        <w:t xml:space="preserve">NHC’s </w:t>
      </w:r>
      <w:r w:rsidRPr="00FE7190">
        <w:rPr>
          <w:rFonts w:cs="Arial"/>
          <w:color w:val="000000"/>
          <w:sz w:val="22"/>
        </w:rPr>
        <w:t>tiered approach.</w:t>
      </w:r>
      <w:r w:rsidR="00331DE8">
        <w:rPr>
          <w:rFonts w:cs="Arial"/>
          <w:color w:val="000000"/>
          <w:sz w:val="22"/>
        </w:rPr>
        <w:t xml:space="preserve">  This recommendation is supported by the Cardiac Society of Australia and New Zealand (CSANZ)</w:t>
      </w:r>
      <w:r w:rsidR="00E96985">
        <w:rPr>
          <w:rFonts w:cs="Arial"/>
          <w:color w:val="000000"/>
          <w:sz w:val="22"/>
        </w:rPr>
        <w:t xml:space="preserve"> and the Heart Foundation</w:t>
      </w:r>
      <w:r w:rsidR="00331DE8">
        <w:rPr>
          <w:rFonts w:cs="Arial"/>
          <w:color w:val="000000"/>
          <w:sz w:val="22"/>
        </w:rPr>
        <w:t>.</w:t>
      </w:r>
    </w:p>
    <w:p w:rsidR="00F4616D" w:rsidRDefault="00F4616D" w:rsidP="00365A3A">
      <w:pPr>
        <w:spacing w:line="360" w:lineRule="auto"/>
        <w:jc w:val="both"/>
      </w:pPr>
      <w:r>
        <w:rPr>
          <w:rFonts w:cs="Arial"/>
          <w:color w:val="000000"/>
          <w:sz w:val="22"/>
        </w:rPr>
        <w:t>Stroke is recommended as the next disease for assessment within cardiovascular disease.</w:t>
      </w:r>
    </w:p>
    <w:p w:rsidR="00FF33DC" w:rsidRPr="00FE7190" w:rsidRDefault="00FF33DC" w:rsidP="0060049D">
      <w:pPr>
        <w:autoSpaceDE w:val="0"/>
        <w:autoSpaceDN w:val="0"/>
        <w:adjustRightInd w:val="0"/>
        <w:spacing w:after="240"/>
        <w:jc w:val="both"/>
        <w:rPr>
          <w:rFonts w:cs="Arial"/>
          <w:color w:val="000000"/>
          <w:sz w:val="22"/>
        </w:rPr>
      </w:pPr>
    </w:p>
    <w:sdt>
      <w:sdtPr>
        <w:rPr>
          <w:rFonts w:eastAsia="Times New Roman" w:cstheme="minorBidi"/>
          <w:b w:val="0"/>
          <w:bCs/>
          <w:color w:val="auto"/>
          <w:sz w:val="24"/>
          <w:szCs w:val="22"/>
          <w:lang w:val="en-NZ" w:eastAsia="en-US"/>
        </w:rPr>
        <w:id w:val="43414499"/>
        <w:docPartObj>
          <w:docPartGallery w:val="Table of Contents"/>
          <w:docPartUnique/>
        </w:docPartObj>
      </w:sdtPr>
      <w:sdtEndPr>
        <w:rPr>
          <w:rFonts w:eastAsiaTheme="minorHAnsi"/>
          <w:bCs w:val="0"/>
          <w:noProof/>
        </w:rPr>
      </w:sdtEndPr>
      <w:sdtContent>
        <w:p w:rsidR="00E8170C" w:rsidRDefault="00E8170C" w:rsidP="006D1BCA">
          <w:pPr>
            <w:pStyle w:val="TOCHeading"/>
            <w:spacing w:after="0"/>
            <w:rPr>
              <w:rFonts w:eastAsia="Times New Roman"/>
            </w:rPr>
          </w:pPr>
          <w:r>
            <w:rPr>
              <w:rFonts w:eastAsia="Times New Roman"/>
            </w:rPr>
            <w:br w:type="page"/>
          </w:r>
        </w:p>
        <w:p w:rsidR="00927C7E" w:rsidRPr="006D1BCA" w:rsidRDefault="00927C7E" w:rsidP="006D1BCA">
          <w:pPr>
            <w:pStyle w:val="TOCHeading"/>
          </w:pPr>
          <w:r w:rsidRPr="00C30244">
            <w:rPr>
              <w:rFonts w:eastAsia="Times New Roman"/>
            </w:rPr>
            <w:lastRenderedPageBreak/>
            <w:t>Table of Contents</w:t>
          </w:r>
        </w:p>
        <w:p w:rsidR="004150F2" w:rsidRDefault="00927C7E">
          <w:pPr>
            <w:pStyle w:val="TOC1"/>
            <w:tabs>
              <w:tab w:val="right" w:leader="dot" w:pos="9628"/>
            </w:tabs>
            <w:rPr>
              <w:rFonts w:asciiTheme="minorHAnsi" w:eastAsiaTheme="minorEastAsia" w:hAnsiTheme="minorHAnsi" w:cstheme="minorBidi"/>
              <w:noProof/>
              <w:szCs w:val="22"/>
              <w:lang w:eastAsia="en-NZ"/>
            </w:rPr>
          </w:pPr>
          <w:r>
            <w:fldChar w:fldCharType="begin"/>
          </w:r>
          <w:r>
            <w:instrText xml:space="preserve"> TOC \o "1-3" \h \z \u </w:instrText>
          </w:r>
          <w:r>
            <w:fldChar w:fldCharType="separate"/>
          </w:r>
          <w:hyperlink w:anchor="_Toc365276870" w:history="1">
            <w:r w:rsidR="004150F2" w:rsidRPr="003605D3">
              <w:rPr>
                <w:rStyle w:val="Hyperlink"/>
                <w:noProof/>
              </w:rPr>
              <w:t>Executive Summary</w:t>
            </w:r>
            <w:r w:rsidR="004150F2">
              <w:rPr>
                <w:noProof/>
                <w:webHidden/>
              </w:rPr>
              <w:tab/>
            </w:r>
            <w:r w:rsidR="004150F2">
              <w:rPr>
                <w:noProof/>
                <w:webHidden/>
              </w:rPr>
              <w:fldChar w:fldCharType="begin"/>
            </w:r>
            <w:r w:rsidR="004150F2">
              <w:rPr>
                <w:noProof/>
                <w:webHidden/>
              </w:rPr>
              <w:instrText xml:space="preserve"> PAGEREF _Toc365276870 \h </w:instrText>
            </w:r>
            <w:r w:rsidR="004150F2">
              <w:rPr>
                <w:noProof/>
                <w:webHidden/>
              </w:rPr>
            </w:r>
            <w:r w:rsidR="004150F2">
              <w:rPr>
                <w:noProof/>
                <w:webHidden/>
              </w:rPr>
              <w:fldChar w:fldCharType="separate"/>
            </w:r>
            <w:r w:rsidR="001418E1">
              <w:rPr>
                <w:noProof/>
                <w:webHidden/>
              </w:rPr>
              <w:t>1</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871" w:history="1">
            <w:r w:rsidR="004150F2" w:rsidRPr="003605D3">
              <w:rPr>
                <w:rStyle w:val="Hyperlink"/>
                <w:noProof/>
              </w:rPr>
              <w:t>Introduction</w:t>
            </w:r>
            <w:r w:rsidR="004150F2">
              <w:rPr>
                <w:noProof/>
                <w:webHidden/>
              </w:rPr>
              <w:tab/>
            </w:r>
            <w:r w:rsidR="004150F2">
              <w:rPr>
                <w:noProof/>
                <w:webHidden/>
              </w:rPr>
              <w:fldChar w:fldCharType="begin"/>
            </w:r>
            <w:r w:rsidR="004150F2">
              <w:rPr>
                <w:noProof/>
                <w:webHidden/>
              </w:rPr>
              <w:instrText xml:space="preserve"> PAGEREF _Toc365276871 \h </w:instrText>
            </w:r>
            <w:r w:rsidR="004150F2">
              <w:rPr>
                <w:noProof/>
                <w:webHidden/>
              </w:rPr>
            </w:r>
            <w:r w:rsidR="004150F2">
              <w:rPr>
                <w:noProof/>
                <w:webHidden/>
              </w:rPr>
              <w:fldChar w:fldCharType="separate"/>
            </w:r>
            <w:r w:rsidR="001418E1">
              <w:rPr>
                <w:noProof/>
                <w:webHidden/>
              </w:rPr>
              <w:t>4</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873" w:history="1">
            <w:r w:rsidR="004150F2" w:rsidRPr="003605D3">
              <w:rPr>
                <w:rStyle w:val="Hyperlink"/>
                <w:noProof/>
              </w:rPr>
              <w:t>Methods</w:t>
            </w:r>
            <w:r w:rsidR="004150F2">
              <w:rPr>
                <w:noProof/>
                <w:webHidden/>
              </w:rPr>
              <w:tab/>
            </w:r>
            <w:r w:rsidR="004150F2">
              <w:rPr>
                <w:noProof/>
                <w:webHidden/>
              </w:rPr>
              <w:fldChar w:fldCharType="begin"/>
            </w:r>
            <w:r w:rsidR="004150F2">
              <w:rPr>
                <w:noProof/>
                <w:webHidden/>
              </w:rPr>
              <w:instrText xml:space="preserve"> PAGEREF _Toc365276873 \h </w:instrText>
            </w:r>
            <w:r w:rsidR="004150F2">
              <w:rPr>
                <w:noProof/>
                <w:webHidden/>
              </w:rPr>
            </w:r>
            <w:r w:rsidR="004150F2">
              <w:rPr>
                <w:noProof/>
                <w:webHidden/>
              </w:rPr>
              <w:fldChar w:fldCharType="separate"/>
            </w:r>
            <w:r w:rsidR="001418E1">
              <w:rPr>
                <w:noProof/>
                <w:webHidden/>
              </w:rPr>
              <w:t>6</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877" w:history="1">
            <w:r w:rsidR="004150F2" w:rsidRPr="003605D3">
              <w:rPr>
                <w:rStyle w:val="Hyperlink"/>
                <w:noProof/>
              </w:rPr>
              <w:t>Ischaemic Heart Disease (IHD)</w:t>
            </w:r>
            <w:r w:rsidR="004150F2">
              <w:rPr>
                <w:noProof/>
                <w:webHidden/>
              </w:rPr>
              <w:tab/>
            </w:r>
            <w:r w:rsidR="004150F2">
              <w:rPr>
                <w:noProof/>
                <w:webHidden/>
              </w:rPr>
              <w:fldChar w:fldCharType="begin"/>
            </w:r>
            <w:r w:rsidR="004150F2">
              <w:rPr>
                <w:noProof/>
                <w:webHidden/>
              </w:rPr>
              <w:instrText xml:space="preserve"> PAGEREF _Toc365276877 \h </w:instrText>
            </w:r>
            <w:r w:rsidR="004150F2">
              <w:rPr>
                <w:noProof/>
                <w:webHidden/>
              </w:rPr>
            </w:r>
            <w:r w:rsidR="004150F2">
              <w:rPr>
                <w:noProof/>
                <w:webHidden/>
              </w:rPr>
              <w:fldChar w:fldCharType="separate"/>
            </w:r>
            <w:r w:rsidR="001418E1">
              <w:rPr>
                <w:noProof/>
                <w:webHidden/>
              </w:rPr>
              <w:t>9</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882" w:history="1">
            <w:r w:rsidR="004150F2" w:rsidRPr="003605D3">
              <w:rPr>
                <w:rStyle w:val="Hyperlink"/>
                <w:noProof/>
              </w:rPr>
              <w:t>Stroke</w:t>
            </w:r>
            <w:r w:rsidR="004150F2">
              <w:rPr>
                <w:noProof/>
                <w:webHidden/>
              </w:rPr>
              <w:tab/>
            </w:r>
            <w:r w:rsidR="004150F2">
              <w:rPr>
                <w:noProof/>
                <w:webHidden/>
              </w:rPr>
              <w:fldChar w:fldCharType="begin"/>
            </w:r>
            <w:r w:rsidR="004150F2">
              <w:rPr>
                <w:noProof/>
                <w:webHidden/>
              </w:rPr>
              <w:instrText xml:space="preserve"> PAGEREF _Toc365276882 \h </w:instrText>
            </w:r>
            <w:r w:rsidR="004150F2">
              <w:rPr>
                <w:noProof/>
                <w:webHidden/>
              </w:rPr>
            </w:r>
            <w:r w:rsidR="004150F2">
              <w:rPr>
                <w:noProof/>
                <w:webHidden/>
              </w:rPr>
              <w:fldChar w:fldCharType="separate"/>
            </w:r>
            <w:r w:rsidR="001418E1">
              <w:rPr>
                <w:noProof/>
                <w:webHidden/>
              </w:rPr>
              <w:t>11</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887" w:history="1">
            <w:r w:rsidR="004150F2" w:rsidRPr="003605D3">
              <w:rPr>
                <w:rStyle w:val="Hyperlink"/>
                <w:noProof/>
              </w:rPr>
              <w:t>Hypertension (HTN)</w:t>
            </w:r>
            <w:r w:rsidR="004150F2">
              <w:rPr>
                <w:noProof/>
                <w:webHidden/>
              </w:rPr>
              <w:tab/>
            </w:r>
            <w:r w:rsidR="004150F2">
              <w:rPr>
                <w:noProof/>
                <w:webHidden/>
              </w:rPr>
              <w:fldChar w:fldCharType="begin"/>
            </w:r>
            <w:r w:rsidR="004150F2">
              <w:rPr>
                <w:noProof/>
                <w:webHidden/>
              </w:rPr>
              <w:instrText xml:space="preserve"> PAGEREF _Toc365276887 \h </w:instrText>
            </w:r>
            <w:r w:rsidR="004150F2">
              <w:rPr>
                <w:noProof/>
                <w:webHidden/>
              </w:rPr>
            </w:r>
            <w:r w:rsidR="004150F2">
              <w:rPr>
                <w:noProof/>
                <w:webHidden/>
              </w:rPr>
              <w:fldChar w:fldCharType="separate"/>
            </w:r>
            <w:r w:rsidR="001418E1">
              <w:rPr>
                <w:noProof/>
                <w:webHidden/>
              </w:rPr>
              <w:t>15</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892" w:history="1">
            <w:r w:rsidR="004150F2" w:rsidRPr="003605D3">
              <w:rPr>
                <w:rStyle w:val="Hyperlink"/>
                <w:noProof/>
              </w:rPr>
              <w:t>Rheumatic Heart Disease (RHD)</w:t>
            </w:r>
            <w:r w:rsidR="004150F2">
              <w:rPr>
                <w:noProof/>
                <w:webHidden/>
              </w:rPr>
              <w:tab/>
            </w:r>
            <w:r w:rsidR="004150F2">
              <w:rPr>
                <w:noProof/>
                <w:webHidden/>
              </w:rPr>
              <w:fldChar w:fldCharType="begin"/>
            </w:r>
            <w:r w:rsidR="004150F2">
              <w:rPr>
                <w:noProof/>
                <w:webHidden/>
              </w:rPr>
              <w:instrText xml:space="preserve"> PAGEREF _Toc365276892 \h </w:instrText>
            </w:r>
            <w:r w:rsidR="004150F2">
              <w:rPr>
                <w:noProof/>
                <w:webHidden/>
              </w:rPr>
            </w:r>
            <w:r w:rsidR="004150F2">
              <w:rPr>
                <w:noProof/>
                <w:webHidden/>
              </w:rPr>
              <w:fldChar w:fldCharType="separate"/>
            </w:r>
            <w:r w:rsidR="001418E1">
              <w:rPr>
                <w:noProof/>
                <w:webHidden/>
              </w:rPr>
              <w:t>18</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897" w:history="1">
            <w:r w:rsidR="004150F2" w:rsidRPr="003605D3">
              <w:rPr>
                <w:rStyle w:val="Hyperlink"/>
                <w:noProof/>
              </w:rPr>
              <w:t>Non-Rheumatic Valvular Heart Disease (NRVHD)</w:t>
            </w:r>
            <w:r w:rsidR="004150F2">
              <w:rPr>
                <w:noProof/>
                <w:webHidden/>
              </w:rPr>
              <w:tab/>
            </w:r>
            <w:r w:rsidR="004150F2">
              <w:rPr>
                <w:noProof/>
                <w:webHidden/>
              </w:rPr>
              <w:fldChar w:fldCharType="begin"/>
            </w:r>
            <w:r w:rsidR="004150F2">
              <w:rPr>
                <w:noProof/>
                <w:webHidden/>
              </w:rPr>
              <w:instrText xml:space="preserve"> PAGEREF _Toc365276897 \h </w:instrText>
            </w:r>
            <w:r w:rsidR="004150F2">
              <w:rPr>
                <w:noProof/>
                <w:webHidden/>
              </w:rPr>
            </w:r>
            <w:r w:rsidR="004150F2">
              <w:rPr>
                <w:noProof/>
                <w:webHidden/>
              </w:rPr>
              <w:fldChar w:fldCharType="separate"/>
            </w:r>
            <w:r w:rsidR="001418E1">
              <w:rPr>
                <w:noProof/>
                <w:webHidden/>
              </w:rPr>
              <w:t>19</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02" w:history="1">
            <w:r w:rsidR="004150F2" w:rsidRPr="003605D3">
              <w:rPr>
                <w:rStyle w:val="Hyperlink"/>
                <w:noProof/>
              </w:rPr>
              <w:t>Aortic Aneurysms</w:t>
            </w:r>
            <w:r w:rsidR="004150F2">
              <w:rPr>
                <w:noProof/>
                <w:webHidden/>
              </w:rPr>
              <w:tab/>
            </w:r>
            <w:r w:rsidR="004150F2">
              <w:rPr>
                <w:noProof/>
                <w:webHidden/>
              </w:rPr>
              <w:fldChar w:fldCharType="begin"/>
            </w:r>
            <w:r w:rsidR="004150F2">
              <w:rPr>
                <w:noProof/>
                <w:webHidden/>
              </w:rPr>
              <w:instrText xml:space="preserve"> PAGEREF _Toc365276902 \h </w:instrText>
            </w:r>
            <w:r w:rsidR="004150F2">
              <w:rPr>
                <w:noProof/>
                <w:webHidden/>
              </w:rPr>
            </w:r>
            <w:r w:rsidR="004150F2">
              <w:rPr>
                <w:noProof/>
                <w:webHidden/>
              </w:rPr>
              <w:fldChar w:fldCharType="separate"/>
            </w:r>
            <w:r w:rsidR="001418E1">
              <w:rPr>
                <w:noProof/>
                <w:webHidden/>
              </w:rPr>
              <w:t>20</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07" w:history="1">
            <w:r w:rsidR="004150F2" w:rsidRPr="003605D3">
              <w:rPr>
                <w:rStyle w:val="Hyperlink"/>
                <w:noProof/>
              </w:rPr>
              <w:t>Atrial Fibrillation (AF)</w:t>
            </w:r>
            <w:r w:rsidR="004150F2">
              <w:rPr>
                <w:noProof/>
                <w:webHidden/>
              </w:rPr>
              <w:tab/>
            </w:r>
            <w:r w:rsidR="004150F2">
              <w:rPr>
                <w:noProof/>
                <w:webHidden/>
              </w:rPr>
              <w:fldChar w:fldCharType="begin"/>
            </w:r>
            <w:r w:rsidR="004150F2">
              <w:rPr>
                <w:noProof/>
                <w:webHidden/>
              </w:rPr>
              <w:instrText xml:space="preserve"> PAGEREF _Toc365276907 \h </w:instrText>
            </w:r>
            <w:r w:rsidR="004150F2">
              <w:rPr>
                <w:noProof/>
                <w:webHidden/>
              </w:rPr>
            </w:r>
            <w:r w:rsidR="004150F2">
              <w:rPr>
                <w:noProof/>
                <w:webHidden/>
              </w:rPr>
              <w:fldChar w:fldCharType="separate"/>
            </w:r>
            <w:r w:rsidR="001418E1">
              <w:rPr>
                <w:noProof/>
                <w:webHidden/>
              </w:rPr>
              <w:t>22</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12" w:history="1">
            <w:r w:rsidR="004150F2" w:rsidRPr="003605D3">
              <w:rPr>
                <w:rStyle w:val="Hyperlink"/>
                <w:noProof/>
              </w:rPr>
              <w:t>Cardiomyopathies</w:t>
            </w:r>
            <w:r w:rsidR="004150F2">
              <w:rPr>
                <w:noProof/>
                <w:webHidden/>
              </w:rPr>
              <w:tab/>
            </w:r>
            <w:r w:rsidR="004150F2">
              <w:rPr>
                <w:noProof/>
                <w:webHidden/>
              </w:rPr>
              <w:fldChar w:fldCharType="begin"/>
            </w:r>
            <w:r w:rsidR="004150F2">
              <w:rPr>
                <w:noProof/>
                <w:webHidden/>
              </w:rPr>
              <w:instrText xml:space="preserve"> PAGEREF _Toc365276912 \h </w:instrText>
            </w:r>
            <w:r w:rsidR="004150F2">
              <w:rPr>
                <w:noProof/>
                <w:webHidden/>
              </w:rPr>
            </w:r>
            <w:r w:rsidR="004150F2">
              <w:rPr>
                <w:noProof/>
                <w:webHidden/>
              </w:rPr>
              <w:fldChar w:fldCharType="separate"/>
            </w:r>
            <w:r w:rsidR="001418E1">
              <w:rPr>
                <w:noProof/>
                <w:webHidden/>
              </w:rPr>
              <w:t>24</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17" w:history="1">
            <w:r w:rsidR="004150F2" w:rsidRPr="003605D3">
              <w:rPr>
                <w:rStyle w:val="Hyperlink"/>
                <w:noProof/>
              </w:rPr>
              <w:t>Inflammatory Heart Disease</w:t>
            </w:r>
            <w:r w:rsidR="004150F2">
              <w:rPr>
                <w:noProof/>
                <w:webHidden/>
              </w:rPr>
              <w:tab/>
            </w:r>
            <w:r w:rsidR="004150F2">
              <w:rPr>
                <w:noProof/>
                <w:webHidden/>
              </w:rPr>
              <w:fldChar w:fldCharType="begin"/>
            </w:r>
            <w:r w:rsidR="004150F2">
              <w:rPr>
                <w:noProof/>
                <w:webHidden/>
              </w:rPr>
              <w:instrText xml:space="preserve"> PAGEREF _Toc365276917 \h </w:instrText>
            </w:r>
            <w:r w:rsidR="004150F2">
              <w:rPr>
                <w:noProof/>
                <w:webHidden/>
              </w:rPr>
            </w:r>
            <w:r w:rsidR="004150F2">
              <w:rPr>
                <w:noProof/>
                <w:webHidden/>
              </w:rPr>
              <w:fldChar w:fldCharType="separate"/>
            </w:r>
            <w:r w:rsidR="001418E1">
              <w:rPr>
                <w:noProof/>
                <w:webHidden/>
              </w:rPr>
              <w:t>25</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22" w:history="1">
            <w:r w:rsidR="004150F2" w:rsidRPr="003605D3">
              <w:rPr>
                <w:rStyle w:val="Hyperlink"/>
                <w:noProof/>
              </w:rPr>
              <w:t>Peripheral Vascular Disease (PVD)</w:t>
            </w:r>
            <w:r w:rsidR="004150F2">
              <w:rPr>
                <w:noProof/>
                <w:webHidden/>
              </w:rPr>
              <w:tab/>
            </w:r>
            <w:r w:rsidR="004150F2">
              <w:rPr>
                <w:noProof/>
                <w:webHidden/>
              </w:rPr>
              <w:fldChar w:fldCharType="begin"/>
            </w:r>
            <w:r w:rsidR="004150F2">
              <w:rPr>
                <w:noProof/>
                <w:webHidden/>
              </w:rPr>
              <w:instrText xml:space="preserve"> PAGEREF _Toc365276922 \h </w:instrText>
            </w:r>
            <w:r w:rsidR="004150F2">
              <w:rPr>
                <w:noProof/>
                <w:webHidden/>
              </w:rPr>
            </w:r>
            <w:r w:rsidR="004150F2">
              <w:rPr>
                <w:noProof/>
                <w:webHidden/>
              </w:rPr>
              <w:fldChar w:fldCharType="separate"/>
            </w:r>
            <w:r w:rsidR="001418E1">
              <w:rPr>
                <w:noProof/>
                <w:webHidden/>
              </w:rPr>
              <w:t>26</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27" w:history="1">
            <w:r w:rsidR="004150F2" w:rsidRPr="003605D3">
              <w:rPr>
                <w:rStyle w:val="Hyperlink"/>
                <w:noProof/>
              </w:rPr>
              <w:t>Pulmonary Embolism and Venous Thrombo-Embolism (VTE)</w:t>
            </w:r>
            <w:r w:rsidR="004150F2">
              <w:rPr>
                <w:noProof/>
                <w:webHidden/>
              </w:rPr>
              <w:tab/>
            </w:r>
            <w:r w:rsidR="004150F2">
              <w:rPr>
                <w:noProof/>
                <w:webHidden/>
              </w:rPr>
              <w:fldChar w:fldCharType="begin"/>
            </w:r>
            <w:r w:rsidR="004150F2">
              <w:rPr>
                <w:noProof/>
                <w:webHidden/>
              </w:rPr>
              <w:instrText xml:space="preserve"> PAGEREF _Toc365276927 \h </w:instrText>
            </w:r>
            <w:r w:rsidR="004150F2">
              <w:rPr>
                <w:noProof/>
                <w:webHidden/>
              </w:rPr>
            </w:r>
            <w:r w:rsidR="004150F2">
              <w:rPr>
                <w:noProof/>
                <w:webHidden/>
              </w:rPr>
              <w:fldChar w:fldCharType="separate"/>
            </w:r>
            <w:r w:rsidR="001418E1">
              <w:rPr>
                <w:noProof/>
                <w:webHidden/>
              </w:rPr>
              <w:t>27</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32" w:history="1">
            <w:r w:rsidR="004150F2" w:rsidRPr="003605D3">
              <w:rPr>
                <w:rStyle w:val="Hyperlink"/>
                <w:noProof/>
              </w:rPr>
              <w:t>Other Cardiovascular Diseases</w:t>
            </w:r>
            <w:r w:rsidR="004150F2">
              <w:rPr>
                <w:noProof/>
                <w:webHidden/>
              </w:rPr>
              <w:tab/>
            </w:r>
            <w:r w:rsidR="004150F2">
              <w:rPr>
                <w:noProof/>
                <w:webHidden/>
              </w:rPr>
              <w:fldChar w:fldCharType="begin"/>
            </w:r>
            <w:r w:rsidR="004150F2">
              <w:rPr>
                <w:noProof/>
                <w:webHidden/>
              </w:rPr>
              <w:instrText xml:space="preserve"> PAGEREF _Toc365276932 \h </w:instrText>
            </w:r>
            <w:r w:rsidR="004150F2">
              <w:rPr>
                <w:noProof/>
                <w:webHidden/>
              </w:rPr>
            </w:r>
            <w:r w:rsidR="004150F2">
              <w:rPr>
                <w:noProof/>
                <w:webHidden/>
              </w:rPr>
              <w:fldChar w:fldCharType="separate"/>
            </w:r>
            <w:r w:rsidR="001418E1">
              <w:rPr>
                <w:noProof/>
                <w:webHidden/>
              </w:rPr>
              <w:t>28</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37" w:history="1">
            <w:r w:rsidR="004150F2" w:rsidRPr="003605D3">
              <w:rPr>
                <w:rStyle w:val="Hyperlink"/>
                <w:noProof/>
              </w:rPr>
              <w:t>Public Health</w:t>
            </w:r>
            <w:r w:rsidR="004150F2">
              <w:rPr>
                <w:noProof/>
                <w:webHidden/>
              </w:rPr>
              <w:tab/>
            </w:r>
            <w:r w:rsidR="004150F2">
              <w:rPr>
                <w:noProof/>
                <w:webHidden/>
              </w:rPr>
              <w:fldChar w:fldCharType="begin"/>
            </w:r>
            <w:r w:rsidR="004150F2">
              <w:rPr>
                <w:noProof/>
                <w:webHidden/>
              </w:rPr>
              <w:instrText xml:space="preserve"> PAGEREF _Toc365276937 \h </w:instrText>
            </w:r>
            <w:r w:rsidR="004150F2">
              <w:rPr>
                <w:noProof/>
                <w:webHidden/>
              </w:rPr>
            </w:r>
            <w:r w:rsidR="004150F2">
              <w:rPr>
                <w:noProof/>
                <w:webHidden/>
              </w:rPr>
              <w:fldChar w:fldCharType="separate"/>
            </w:r>
            <w:r w:rsidR="001418E1">
              <w:rPr>
                <w:noProof/>
                <w:webHidden/>
              </w:rPr>
              <w:t>28</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38" w:history="1">
            <w:r w:rsidR="004150F2" w:rsidRPr="003605D3">
              <w:rPr>
                <w:rStyle w:val="Hyperlink"/>
                <w:noProof/>
              </w:rPr>
              <w:t>New and Growing</w:t>
            </w:r>
            <w:r w:rsidR="004150F2">
              <w:rPr>
                <w:noProof/>
                <w:webHidden/>
              </w:rPr>
              <w:tab/>
            </w:r>
            <w:r w:rsidR="004150F2">
              <w:rPr>
                <w:noProof/>
                <w:webHidden/>
              </w:rPr>
              <w:fldChar w:fldCharType="begin"/>
            </w:r>
            <w:r w:rsidR="004150F2">
              <w:rPr>
                <w:noProof/>
                <w:webHidden/>
              </w:rPr>
              <w:instrText xml:space="preserve"> PAGEREF _Toc365276938 \h </w:instrText>
            </w:r>
            <w:r w:rsidR="004150F2">
              <w:rPr>
                <w:noProof/>
                <w:webHidden/>
              </w:rPr>
            </w:r>
            <w:r w:rsidR="004150F2">
              <w:rPr>
                <w:noProof/>
                <w:webHidden/>
              </w:rPr>
              <w:fldChar w:fldCharType="separate"/>
            </w:r>
            <w:r w:rsidR="001418E1">
              <w:rPr>
                <w:noProof/>
                <w:webHidden/>
              </w:rPr>
              <w:t>29</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39" w:history="1">
            <w:r w:rsidR="004150F2" w:rsidRPr="003605D3">
              <w:rPr>
                <w:rStyle w:val="Hyperlink"/>
                <w:noProof/>
              </w:rPr>
              <w:t>Discussion and Limitations</w:t>
            </w:r>
            <w:r w:rsidR="004150F2">
              <w:rPr>
                <w:noProof/>
                <w:webHidden/>
              </w:rPr>
              <w:tab/>
            </w:r>
            <w:r w:rsidR="004150F2">
              <w:rPr>
                <w:noProof/>
                <w:webHidden/>
              </w:rPr>
              <w:fldChar w:fldCharType="begin"/>
            </w:r>
            <w:r w:rsidR="004150F2">
              <w:rPr>
                <w:noProof/>
                <w:webHidden/>
              </w:rPr>
              <w:instrText xml:space="preserve"> PAGEREF _Toc365276939 \h </w:instrText>
            </w:r>
            <w:r w:rsidR="004150F2">
              <w:rPr>
                <w:noProof/>
                <w:webHidden/>
              </w:rPr>
            </w:r>
            <w:r w:rsidR="004150F2">
              <w:rPr>
                <w:noProof/>
                <w:webHidden/>
              </w:rPr>
              <w:fldChar w:fldCharType="separate"/>
            </w:r>
            <w:r w:rsidR="001418E1">
              <w:rPr>
                <w:noProof/>
                <w:webHidden/>
              </w:rPr>
              <w:t>31</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46" w:history="1">
            <w:r w:rsidR="004150F2" w:rsidRPr="003605D3">
              <w:rPr>
                <w:rStyle w:val="Hyperlink"/>
                <w:noProof/>
              </w:rPr>
              <w:t>Recommendation</w:t>
            </w:r>
            <w:r w:rsidR="004150F2">
              <w:rPr>
                <w:noProof/>
                <w:webHidden/>
              </w:rPr>
              <w:tab/>
            </w:r>
            <w:r w:rsidR="004150F2">
              <w:rPr>
                <w:noProof/>
                <w:webHidden/>
              </w:rPr>
              <w:fldChar w:fldCharType="begin"/>
            </w:r>
            <w:r w:rsidR="004150F2">
              <w:rPr>
                <w:noProof/>
                <w:webHidden/>
              </w:rPr>
              <w:instrText xml:space="preserve"> PAGEREF _Toc365276946 \h </w:instrText>
            </w:r>
            <w:r w:rsidR="004150F2">
              <w:rPr>
                <w:noProof/>
                <w:webHidden/>
              </w:rPr>
            </w:r>
            <w:r w:rsidR="004150F2">
              <w:rPr>
                <w:noProof/>
                <w:webHidden/>
              </w:rPr>
              <w:fldChar w:fldCharType="separate"/>
            </w:r>
            <w:r w:rsidR="001418E1">
              <w:rPr>
                <w:noProof/>
                <w:webHidden/>
              </w:rPr>
              <w:t>40</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47" w:history="1">
            <w:r w:rsidR="004150F2" w:rsidRPr="003605D3">
              <w:rPr>
                <w:rStyle w:val="Hyperlink"/>
                <w:noProof/>
              </w:rPr>
              <w:t>Appendix 1: NMDS Summary Data for Publically Funded Hospital Casemix Events (inpatient or day patient) for 2011/12</w:t>
            </w:r>
            <w:r w:rsidR="004150F2">
              <w:rPr>
                <w:noProof/>
                <w:webHidden/>
              </w:rPr>
              <w:tab/>
            </w:r>
            <w:r w:rsidR="004150F2">
              <w:rPr>
                <w:noProof/>
                <w:webHidden/>
              </w:rPr>
              <w:fldChar w:fldCharType="begin"/>
            </w:r>
            <w:r w:rsidR="004150F2">
              <w:rPr>
                <w:noProof/>
                <w:webHidden/>
              </w:rPr>
              <w:instrText xml:space="preserve"> PAGEREF _Toc365276947 \h </w:instrText>
            </w:r>
            <w:r w:rsidR="004150F2">
              <w:rPr>
                <w:noProof/>
                <w:webHidden/>
              </w:rPr>
            </w:r>
            <w:r w:rsidR="004150F2">
              <w:rPr>
                <w:noProof/>
                <w:webHidden/>
              </w:rPr>
              <w:fldChar w:fldCharType="separate"/>
            </w:r>
            <w:r w:rsidR="001418E1">
              <w:rPr>
                <w:noProof/>
                <w:webHidden/>
              </w:rPr>
              <w:t>41</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48" w:history="1">
            <w:r w:rsidR="004150F2" w:rsidRPr="003605D3">
              <w:rPr>
                <w:rStyle w:val="Hyperlink"/>
                <w:noProof/>
                <w:lang w:eastAsia="en-NZ"/>
              </w:rPr>
              <w:t>Appendix 2: Cardiovascular Disease Growth in terms of Mean Price for Publically Funded Hospital Casemix Events (inpatient or day patient) from 2009/10 to 2011/12</w:t>
            </w:r>
            <w:r w:rsidR="004150F2">
              <w:rPr>
                <w:noProof/>
                <w:webHidden/>
              </w:rPr>
              <w:tab/>
            </w:r>
            <w:r w:rsidR="004150F2">
              <w:rPr>
                <w:noProof/>
                <w:webHidden/>
              </w:rPr>
              <w:fldChar w:fldCharType="begin"/>
            </w:r>
            <w:r w:rsidR="004150F2">
              <w:rPr>
                <w:noProof/>
                <w:webHidden/>
              </w:rPr>
              <w:instrText xml:space="preserve"> PAGEREF _Toc365276948 \h </w:instrText>
            </w:r>
            <w:r w:rsidR="004150F2">
              <w:rPr>
                <w:noProof/>
                <w:webHidden/>
              </w:rPr>
            </w:r>
            <w:r w:rsidR="004150F2">
              <w:rPr>
                <w:noProof/>
                <w:webHidden/>
              </w:rPr>
              <w:fldChar w:fldCharType="separate"/>
            </w:r>
            <w:r w:rsidR="001418E1">
              <w:rPr>
                <w:noProof/>
                <w:webHidden/>
              </w:rPr>
              <w:t>42</w:t>
            </w:r>
            <w:r w:rsidR="004150F2">
              <w:rPr>
                <w:noProof/>
                <w:webHidden/>
              </w:rPr>
              <w:fldChar w:fldCharType="end"/>
            </w:r>
          </w:hyperlink>
        </w:p>
        <w:p w:rsidR="004150F2" w:rsidRDefault="00BD3E2A">
          <w:pPr>
            <w:pStyle w:val="TOC1"/>
            <w:tabs>
              <w:tab w:val="right" w:leader="dot" w:pos="9628"/>
            </w:tabs>
            <w:rPr>
              <w:rFonts w:asciiTheme="minorHAnsi" w:eastAsiaTheme="minorEastAsia" w:hAnsiTheme="minorHAnsi" w:cstheme="minorBidi"/>
              <w:noProof/>
              <w:szCs w:val="22"/>
              <w:lang w:eastAsia="en-NZ"/>
            </w:rPr>
          </w:pPr>
          <w:hyperlink w:anchor="_Toc365276950" w:history="1">
            <w:r w:rsidR="004150F2" w:rsidRPr="003605D3">
              <w:rPr>
                <w:rStyle w:val="Hyperlink"/>
                <w:noProof/>
              </w:rPr>
              <w:t>References</w:t>
            </w:r>
            <w:r w:rsidR="004150F2">
              <w:rPr>
                <w:noProof/>
                <w:webHidden/>
              </w:rPr>
              <w:tab/>
            </w:r>
            <w:r w:rsidR="004150F2">
              <w:rPr>
                <w:noProof/>
                <w:webHidden/>
              </w:rPr>
              <w:fldChar w:fldCharType="begin"/>
            </w:r>
            <w:r w:rsidR="004150F2">
              <w:rPr>
                <w:noProof/>
                <w:webHidden/>
              </w:rPr>
              <w:instrText xml:space="preserve"> PAGEREF _Toc365276950 \h </w:instrText>
            </w:r>
            <w:r w:rsidR="004150F2">
              <w:rPr>
                <w:noProof/>
                <w:webHidden/>
              </w:rPr>
            </w:r>
            <w:r w:rsidR="004150F2">
              <w:rPr>
                <w:noProof/>
                <w:webHidden/>
              </w:rPr>
              <w:fldChar w:fldCharType="separate"/>
            </w:r>
            <w:r w:rsidR="001418E1">
              <w:rPr>
                <w:noProof/>
                <w:webHidden/>
              </w:rPr>
              <w:t>43</w:t>
            </w:r>
            <w:r w:rsidR="004150F2">
              <w:rPr>
                <w:noProof/>
                <w:webHidden/>
              </w:rPr>
              <w:fldChar w:fldCharType="end"/>
            </w:r>
          </w:hyperlink>
        </w:p>
        <w:p w:rsidR="004150F2" w:rsidRDefault="00BD3E2A" w:rsidP="004150F2">
          <w:pPr>
            <w:pStyle w:val="TOC2"/>
            <w:tabs>
              <w:tab w:val="right" w:leader="dot" w:pos="9628"/>
            </w:tabs>
            <w:ind w:left="0"/>
            <w:rPr>
              <w:rFonts w:asciiTheme="minorHAnsi" w:eastAsiaTheme="minorEastAsia" w:hAnsiTheme="minorHAnsi" w:cstheme="minorBidi"/>
              <w:noProof/>
              <w:szCs w:val="22"/>
              <w:lang w:eastAsia="en-NZ"/>
            </w:rPr>
          </w:pPr>
          <w:hyperlink w:anchor="_Toc365276951" w:history="1">
            <w:r w:rsidR="004150F2" w:rsidRPr="003605D3">
              <w:rPr>
                <w:rStyle w:val="Hyperlink"/>
                <w:noProof/>
              </w:rPr>
              <w:t>National Health Committee (NHC) and Executive</w:t>
            </w:r>
            <w:r w:rsidR="004150F2">
              <w:rPr>
                <w:noProof/>
                <w:webHidden/>
              </w:rPr>
              <w:tab/>
            </w:r>
            <w:r w:rsidR="004150F2">
              <w:rPr>
                <w:noProof/>
                <w:webHidden/>
              </w:rPr>
              <w:fldChar w:fldCharType="begin"/>
            </w:r>
            <w:r w:rsidR="004150F2">
              <w:rPr>
                <w:noProof/>
                <w:webHidden/>
              </w:rPr>
              <w:instrText xml:space="preserve"> PAGEREF _Toc365276951 \h </w:instrText>
            </w:r>
            <w:r w:rsidR="004150F2">
              <w:rPr>
                <w:noProof/>
                <w:webHidden/>
              </w:rPr>
            </w:r>
            <w:r w:rsidR="004150F2">
              <w:rPr>
                <w:noProof/>
                <w:webHidden/>
              </w:rPr>
              <w:fldChar w:fldCharType="separate"/>
            </w:r>
            <w:r w:rsidR="001418E1">
              <w:rPr>
                <w:noProof/>
                <w:webHidden/>
              </w:rPr>
              <w:t>45</w:t>
            </w:r>
            <w:r w:rsidR="004150F2">
              <w:rPr>
                <w:noProof/>
                <w:webHidden/>
              </w:rPr>
              <w:fldChar w:fldCharType="end"/>
            </w:r>
          </w:hyperlink>
        </w:p>
        <w:p w:rsidR="00E8170C" w:rsidRDefault="00927C7E" w:rsidP="006D1BCA">
          <w:r>
            <w:rPr>
              <w:b/>
              <w:bCs/>
              <w:noProof/>
            </w:rPr>
            <w:fldChar w:fldCharType="end"/>
          </w:r>
        </w:p>
      </w:sdtContent>
    </w:sdt>
    <w:p w:rsidR="00365A3A" w:rsidRDefault="00365A3A" w:rsidP="00365A3A">
      <w:pPr>
        <w:pStyle w:val="Heading1"/>
        <w:spacing w:before="360" w:after="120"/>
      </w:pPr>
      <w:bookmarkStart w:id="2" w:name="_Toc365276871"/>
      <w:r>
        <w:br w:type="page"/>
      </w:r>
    </w:p>
    <w:p w:rsidR="00927C7E" w:rsidRDefault="00927C7E" w:rsidP="00365A3A">
      <w:pPr>
        <w:pStyle w:val="Heading1"/>
        <w:spacing w:before="360" w:after="120"/>
      </w:pPr>
      <w:r>
        <w:lastRenderedPageBreak/>
        <w:t>Introduction</w:t>
      </w:r>
      <w:bookmarkEnd w:id="2"/>
    </w:p>
    <w:p w:rsidR="00FF33DC" w:rsidRPr="00FE7190" w:rsidRDefault="00FF33DC" w:rsidP="00FF33DC">
      <w:pPr>
        <w:autoSpaceDE w:val="0"/>
        <w:autoSpaceDN w:val="0"/>
        <w:adjustRightInd w:val="0"/>
        <w:spacing w:after="240" w:line="360" w:lineRule="auto"/>
        <w:jc w:val="both"/>
        <w:rPr>
          <w:rFonts w:cs="Arial"/>
          <w:color w:val="000000"/>
          <w:sz w:val="22"/>
        </w:rPr>
      </w:pPr>
      <w:r w:rsidRPr="00FE7190">
        <w:rPr>
          <w:rFonts w:cs="Arial"/>
          <w:color w:val="000000"/>
          <w:sz w:val="22"/>
        </w:rPr>
        <w:t>The National Health Committee (NHC) is the body tasked with improving health outcomes whilst maintaining or reducing costs through the prioritisation of the most cost effective new and e</w:t>
      </w:r>
      <w:r>
        <w:rPr>
          <w:rFonts w:cs="Arial"/>
          <w:color w:val="000000"/>
          <w:sz w:val="22"/>
        </w:rPr>
        <w:t>mergin</w:t>
      </w:r>
      <w:r w:rsidRPr="00FE7190">
        <w:rPr>
          <w:rFonts w:cs="Arial"/>
          <w:color w:val="000000"/>
          <w:sz w:val="22"/>
        </w:rPr>
        <w:t xml:space="preserve">g health technologies.  It does this by assessing ‘value for money’ in terms of health outcomes and cost to the health sector.  By recommending the appropriate mix of investment in technologies (including models of care) that provide the greatest value for money, the NHC’s goal is to improve both health outcomes and health sector sustainability.  The process by which the NHC chooses the technologies it assesses, consequently, becomes vitally important. </w:t>
      </w:r>
    </w:p>
    <w:p w:rsidR="00FF33DC" w:rsidRPr="00FE7190" w:rsidRDefault="00FF33DC" w:rsidP="00FF33DC">
      <w:pPr>
        <w:autoSpaceDE w:val="0"/>
        <w:autoSpaceDN w:val="0"/>
        <w:adjustRightInd w:val="0"/>
        <w:spacing w:after="240" w:line="360" w:lineRule="auto"/>
        <w:jc w:val="both"/>
        <w:rPr>
          <w:rFonts w:cs="Arial"/>
          <w:color w:val="000000"/>
          <w:sz w:val="22"/>
        </w:rPr>
      </w:pPr>
      <w:r w:rsidRPr="00FE7190">
        <w:rPr>
          <w:rFonts w:cs="Arial"/>
          <w:color w:val="000000"/>
          <w:sz w:val="22"/>
        </w:rPr>
        <w:t xml:space="preserve">The burden cardiovascular disease places on health outcomes and the health budget provides </w:t>
      </w:r>
      <w:r>
        <w:rPr>
          <w:rFonts w:cs="Arial"/>
          <w:color w:val="000000"/>
          <w:sz w:val="22"/>
        </w:rPr>
        <w:t>a potential source for</w:t>
      </w:r>
      <w:r w:rsidRPr="00FE7190">
        <w:rPr>
          <w:rFonts w:cs="Arial"/>
          <w:color w:val="000000"/>
          <w:sz w:val="22"/>
        </w:rPr>
        <w:t xml:space="preserve"> significant health gains through the improvement of health services across the continuum of care.  The NHC has a ‘tiered’ approach to prioritise what work should be undertaken within the broad area of cardiovascular disease.  </w:t>
      </w:r>
    </w:p>
    <w:p w:rsidR="00FF33DC" w:rsidRPr="00FE7190" w:rsidRDefault="00FF33DC" w:rsidP="00FF33DC">
      <w:pPr>
        <w:autoSpaceDE w:val="0"/>
        <w:autoSpaceDN w:val="0"/>
        <w:adjustRightInd w:val="0"/>
        <w:spacing w:after="240" w:line="360" w:lineRule="auto"/>
        <w:jc w:val="both"/>
        <w:rPr>
          <w:rFonts w:cs="Arial"/>
          <w:color w:val="000000"/>
          <w:sz w:val="22"/>
        </w:rPr>
      </w:pPr>
      <w:r w:rsidRPr="00FE7190">
        <w:rPr>
          <w:rFonts w:cs="Arial"/>
          <w:color w:val="000000"/>
          <w:sz w:val="22"/>
        </w:rPr>
        <w:t>This ‘Tier 1’ document presents a high-level overview of each cardiovascular condition in terms of prevalence and incidence, health outcomes and health</w:t>
      </w:r>
      <w:r w:rsidR="00DA7FC6">
        <w:rPr>
          <w:rFonts w:cs="Arial"/>
          <w:color w:val="000000"/>
          <w:sz w:val="22"/>
        </w:rPr>
        <w:t xml:space="preserve"> </w:t>
      </w:r>
      <w:r w:rsidRPr="00FE7190">
        <w:rPr>
          <w:rFonts w:cs="Arial"/>
          <w:color w:val="000000"/>
          <w:sz w:val="22"/>
        </w:rPr>
        <w:t xml:space="preserve">utilisation and cost.  The findings are then assessed against the relevant NHC decision-making criteria.  The purpose of this document is to provide the Committee with context around a recommendation as to which disease area the Committee should conduct ‘Tier 2’ work.  </w:t>
      </w:r>
    </w:p>
    <w:p w:rsidR="00FF33DC" w:rsidRPr="00FE7190" w:rsidRDefault="00FF33DC" w:rsidP="00FF33DC">
      <w:pPr>
        <w:autoSpaceDE w:val="0"/>
        <w:autoSpaceDN w:val="0"/>
        <w:adjustRightInd w:val="0"/>
        <w:spacing w:after="240" w:line="360" w:lineRule="auto"/>
        <w:jc w:val="both"/>
        <w:rPr>
          <w:rFonts w:cs="Arial"/>
          <w:color w:val="000000"/>
          <w:sz w:val="22"/>
        </w:rPr>
      </w:pPr>
      <w:r w:rsidRPr="00FE7190">
        <w:rPr>
          <w:rFonts w:cs="Arial"/>
          <w:color w:val="000000"/>
          <w:sz w:val="22"/>
        </w:rPr>
        <w:t xml:space="preserve">At Tier 2, the evidence for the interventions that comprise the pathway of care for a particular disease from prevention to secondary/tertiary care is presented and assessed against the relevant decision-making criteria for prioritisation into ‘Tier 3’ health technology assessments (HTAs).    </w:t>
      </w:r>
    </w:p>
    <w:p w:rsidR="00FF33DC" w:rsidRPr="00FE7190" w:rsidRDefault="00FF33DC" w:rsidP="00FF33DC">
      <w:pPr>
        <w:autoSpaceDE w:val="0"/>
        <w:autoSpaceDN w:val="0"/>
        <w:adjustRightInd w:val="0"/>
        <w:spacing w:after="240" w:line="360" w:lineRule="auto"/>
        <w:jc w:val="both"/>
        <w:rPr>
          <w:rFonts w:cs="Arial"/>
          <w:color w:val="000000"/>
          <w:sz w:val="22"/>
        </w:rPr>
      </w:pPr>
      <w:r w:rsidRPr="00FE7190">
        <w:rPr>
          <w:rFonts w:cs="Arial"/>
          <w:color w:val="000000"/>
          <w:sz w:val="22"/>
        </w:rPr>
        <w:t xml:space="preserve">An HTA is a type of assessment methodology that presents the evidence for a particular intervention across a multi-disciplinary set of assessment domains. </w:t>
      </w:r>
      <w:r w:rsidR="001418E1">
        <w:rPr>
          <w:rFonts w:cs="Arial"/>
          <w:color w:val="000000"/>
          <w:sz w:val="22"/>
        </w:rPr>
        <w:t xml:space="preserve"> For the NHC, those domains are</w:t>
      </w:r>
      <w:r w:rsidRPr="00FE7190">
        <w:rPr>
          <w:rFonts w:cs="Arial"/>
          <w:color w:val="000000"/>
          <w:sz w:val="22"/>
        </w:rPr>
        <w:t xml:space="preserve"> clinical safety and effectiveness; economic; societal and ethical; and feasibility of adoption.  </w:t>
      </w:r>
    </w:p>
    <w:p w:rsidR="00FF33DC" w:rsidRDefault="00FF33DC" w:rsidP="00FF33DC">
      <w:pPr>
        <w:spacing w:line="360" w:lineRule="auto"/>
        <w:jc w:val="both"/>
        <w:rPr>
          <w:rFonts w:cs="Arial"/>
          <w:color w:val="000000"/>
          <w:sz w:val="22"/>
        </w:rPr>
      </w:pPr>
      <w:r w:rsidRPr="00FE7190">
        <w:rPr>
          <w:rFonts w:cs="Arial"/>
          <w:color w:val="000000"/>
          <w:sz w:val="22"/>
        </w:rPr>
        <w:t>The final tiers in the process are to develop an implementation and monitoring/evaluation plan for the recommendations.</w:t>
      </w:r>
    </w:p>
    <w:p w:rsidR="00B91C6F" w:rsidRPr="00FE7190" w:rsidRDefault="009F6B0D" w:rsidP="00FF33DC">
      <w:pPr>
        <w:spacing w:line="360" w:lineRule="auto"/>
        <w:jc w:val="both"/>
        <w:rPr>
          <w:sz w:val="22"/>
        </w:rPr>
      </w:pPr>
      <w:r w:rsidRPr="00FE7190">
        <w:rPr>
          <w:sz w:val="22"/>
        </w:rPr>
        <w:t>Cardiovascular</w:t>
      </w:r>
      <w:r w:rsidR="00305D17" w:rsidRPr="00FE7190">
        <w:rPr>
          <w:sz w:val="22"/>
        </w:rPr>
        <w:t xml:space="preserve"> disease is a general term for a complex set of conditions that affect the </w:t>
      </w:r>
      <w:r w:rsidR="0096163D" w:rsidRPr="00FE7190">
        <w:rPr>
          <w:sz w:val="22"/>
        </w:rPr>
        <w:t>heart and blood vessels</w:t>
      </w:r>
      <w:r w:rsidR="00305D17" w:rsidRPr="00FE7190">
        <w:rPr>
          <w:sz w:val="22"/>
        </w:rPr>
        <w:t xml:space="preserve">.  Globally it is responsible for a large proportion of both negative health outcomes and economic burden.  In New Zealand the case is no different.  </w:t>
      </w:r>
    </w:p>
    <w:p w:rsidR="00305D17" w:rsidRPr="00FE7190" w:rsidRDefault="0057053A" w:rsidP="0060049D">
      <w:pPr>
        <w:spacing w:line="360" w:lineRule="auto"/>
        <w:jc w:val="both"/>
        <w:rPr>
          <w:sz w:val="22"/>
        </w:rPr>
      </w:pPr>
      <w:r>
        <w:rPr>
          <w:sz w:val="22"/>
        </w:rPr>
        <w:t>Analysis of New Zealand’s 2010/11 public hospital</w:t>
      </w:r>
      <w:r w:rsidR="00B34D3D">
        <w:rPr>
          <w:sz w:val="22"/>
        </w:rPr>
        <w:t>isations</w:t>
      </w:r>
      <w:r w:rsidR="006D2D9F">
        <w:rPr>
          <w:rStyle w:val="FootnoteReference"/>
          <w:sz w:val="22"/>
        </w:rPr>
        <w:footnoteReference w:id="1"/>
      </w:r>
      <w:r>
        <w:rPr>
          <w:sz w:val="22"/>
        </w:rPr>
        <w:t xml:space="preserve">, categorised using International Classification of Disease groupings, shows circulatory diseases (including cardiovascular) as a significant burden in terms of the number of people hospitalised, the price of those hospitalisations, </w:t>
      </w:r>
      <w:r>
        <w:rPr>
          <w:sz w:val="22"/>
        </w:rPr>
        <w:lastRenderedPageBreak/>
        <w:t xml:space="preserve">and the average price per person hospitalised (Figure 1). </w:t>
      </w:r>
      <w:r w:rsidR="00B34D3D">
        <w:rPr>
          <w:sz w:val="22"/>
        </w:rPr>
        <w:t xml:space="preserve">Analysis of the 2011/12 </w:t>
      </w:r>
      <w:r w:rsidR="006D2D9F">
        <w:rPr>
          <w:sz w:val="22"/>
        </w:rPr>
        <w:t xml:space="preserve">New Zealand </w:t>
      </w:r>
      <w:r w:rsidR="00B34D3D">
        <w:rPr>
          <w:sz w:val="22"/>
        </w:rPr>
        <w:t>public hospitalisations</w:t>
      </w:r>
      <w:r w:rsidR="006D2D9F">
        <w:rPr>
          <w:sz w:val="22"/>
        </w:rPr>
        <w:t>,</w:t>
      </w:r>
      <w:r w:rsidR="00B34D3D">
        <w:rPr>
          <w:sz w:val="22"/>
        </w:rPr>
        <w:t xml:space="preserve"> </w:t>
      </w:r>
      <w:r w:rsidR="006D2D9F">
        <w:rPr>
          <w:sz w:val="22"/>
        </w:rPr>
        <w:t xml:space="preserve">using a modified disease grouping system based on </w:t>
      </w:r>
      <w:r w:rsidR="00331DE8">
        <w:rPr>
          <w:sz w:val="22"/>
        </w:rPr>
        <w:t xml:space="preserve">the </w:t>
      </w:r>
      <w:r w:rsidR="006D2D9F">
        <w:rPr>
          <w:sz w:val="22"/>
        </w:rPr>
        <w:t>New Zealand</w:t>
      </w:r>
      <w:r w:rsidR="00331DE8">
        <w:rPr>
          <w:sz w:val="22"/>
        </w:rPr>
        <w:t xml:space="preserve"> Burden of Diseases, Injuries and Risk Factors Study (NZBDS)</w:t>
      </w:r>
      <w:r w:rsidR="009874DB">
        <w:rPr>
          <w:sz w:val="22"/>
        </w:rPr>
        <w:t xml:space="preserve"> </w:t>
      </w:r>
      <w:r w:rsidR="00692C4B">
        <w:rPr>
          <w:sz w:val="22"/>
        </w:rPr>
        <w:fldChar w:fldCharType="begin"/>
      </w:r>
      <w:r w:rsidR="00E96985">
        <w:rPr>
          <w:sz w:val="22"/>
        </w:rPr>
        <w:instrText xml:space="preserve"> ADDIN EN.CITE &lt;EndNote&gt;&lt;Cite&gt;&lt;Author&gt;Ministry of Health&lt;/Author&gt;&lt;Year&gt;2013&lt;/Year&gt;&lt;RecNum&gt;754&lt;/RecNum&gt;&lt;DisplayText&gt;&lt;style face="superscript"&gt;(1)&lt;/style&gt;&lt;/DisplayText&gt;&lt;record&gt;&lt;rec-number&gt;754&lt;/rec-number&gt;&lt;foreign-keys&gt;&lt;key app="EN" db-id="paxef0v91tx5e7eaev8xxf2xd92zvrfrv592"&gt;754&lt;/key&gt;&lt;/foreign-keys&gt;&lt;ref-type name="Government Document"&gt;46&lt;/ref-type&gt;&lt;contributors&gt;&lt;authors&gt;&lt;author&gt;Ministry of Health,&lt;/author&gt;&lt;/authors&gt;&lt;/contributors&gt;&lt;titles&gt;&lt;title&gt;New Zealand Burden of Diseases, Injuries and Risk Factors Study&lt;/title&gt;&lt;/titles&gt;&lt;dates&gt;&lt;year&gt;2013&lt;/year&gt;&lt;/dates&gt;&lt;pub-location&gt;Wellington&lt;/pub-location&gt;&lt;urls&gt;&lt;/urls&gt;&lt;/record&gt;&lt;/Cite&gt;&lt;/EndNote&gt;</w:instrText>
      </w:r>
      <w:r w:rsidR="00692C4B">
        <w:rPr>
          <w:sz w:val="22"/>
        </w:rPr>
        <w:fldChar w:fldCharType="separate"/>
      </w:r>
      <w:r w:rsidR="00E96985" w:rsidRPr="00E96985">
        <w:rPr>
          <w:noProof/>
          <w:sz w:val="22"/>
          <w:vertAlign w:val="superscript"/>
        </w:rPr>
        <w:t>(</w:t>
      </w:r>
      <w:hyperlink w:anchor="_ENREF_1" w:tooltip="Ministry of Health, 2013 #754" w:history="1">
        <w:r w:rsidR="001418E1" w:rsidRPr="00E96985">
          <w:rPr>
            <w:noProof/>
            <w:sz w:val="22"/>
            <w:vertAlign w:val="superscript"/>
          </w:rPr>
          <w:t>1</w:t>
        </w:r>
      </w:hyperlink>
      <w:r w:rsidR="00E96985" w:rsidRPr="00E96985">
        <w:rPr>
          <w:noProof/>
          <w:sz w:val="22"/>
          <w:vertAlign w:val="superscript"/>
        </w:rPr>
        <w:t>)</w:t>
      </w:r>
      <w:r w:rsidR="00692C4B">
        <w:rPr>
          <w:sz w:val="22"/>
        </w:rPr>
        <w:fldChar w:fldCharType="end"/>
      </w:r>
      <w:r w:rsidR="00365A3A">
        <w:rPr>
          <w:sz w:val="22"/>
        </w:rPr>
        <w:t xml:space="preserve"> </w:t>
      </w:r>
      <w:r w:rsidR="006D2D9F">
        <w:rPr>
          <w:sz w:val="22"/>
        </w:rPr>
        <w:t>shows cardiovascular disease accounting for 18% of the costs, or $501 million (Appendix 1). A breakdown of how these costs are spread across the various types of cardiovascular disease is presented in Appendix 2.</w:t>
      </w:r>
      <w:r w:rsidR="00305D17" w:rsidRPr="00FE7190">
        <w:rPr>
          <w:sz w:val="22"/>
        </w:rPr>
        <w:t xml:space="preserve"> </w:t>
      </w:r>
    </w:p>
    <w:p w:rsidR="00305D17" w:rsidRDefault="00305D17" w:rsidP="00305D17">
      <w:pPr>
        <w:pStyle w:val="Figure"/>
      </w:pPr>
      <w:r w:rsidRPr="004B4041">
        <w:t xml:space="preserve">Figure 1: </w:t>
      </w:r>
      <w:r w:rsidR="006D2D9F">
        <w:t>Price of public hospitalisations, by International Classification of Disease groupings, 2010/11</w:t>
      </w:r>
    </w:p>
    <w:p w:rsidR="00305D17" w:rsidRDefault="00CF3AC9" w:rsidP="00305D17">
      <w:r w:rsidRPr="009D4B8A">
        <w:rPr>
          <w:noProof/>
          <w:lang w:eastAsia="en-NZ"/>
        </w:rPr>
        <w:drawing>
          <wp:inline distT="0" distB="0" distL="0" distR="0" wp14:anchorId="6C867434" wp14:editId="7D24D9E3">
            <wp:extent cx="6211019" cy="34160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5682" cy="3424126"/>
                    </a:xfrm>
                    <a:prstGeom prst="rect">
                      <a:avLst/>
                    </a:prstGeom>
                    <a:noFill/>
                    <a:ln>
                      <a:noFill/>
                    </a:ln>
                  </pic:spPr>
                </pic:pic>
              </a:graphicData>
            </a:graphic>
          </wp:inline>
        </w:drawing>
      </w:r>
    </w:p>
    <w:p w:rsidR="00FD0607" w:rsidRDefault="00FD0607" w:rsidP="00365A3A">
      <w:pPr>
        <w:pStyle w:val="Caption"/>
      </w:pPr>
      <w:r>
        <w:t>Note: Size of the bubble represents total price whilst the colour represents mean price growth</w:t>
      </w:r>
    </w:p>
    <w:p w:rsidR="00305D17" w:rsidRPr="00A075FC" w:rsidRDefault="00305D17" w:rsidP="00365A3A">
      <w:pPr>
        <w:pStyle w:val="Caption"/>
        <w:rPr>
          <w:b/>
        </w:rPr>
      </w:pPr>
      <w:r w:rsidRPr="004B4041">
        <w:rPr>
          <w:b/>
        </w:rPr>
        <w:t>Source:</w:t>
      </w:r>
      <w:r>
        <w:t xml:space="preserve"> </w:t>
      </w:r>
      <w:r w:rsidR="00F4171A">
        <w:t>2012 NHC Executive Analysis of 2010–2011 NMDS</w:t>
      </w:r>
    </w:p>
    <w:p w:rsidR="00305D17" w:rsidRPr="00FE7190" w:rsidRDefault="0060049D" w:rsidP="000153CB">
      <w:pPr>
        <w:spacing w:line="360" w:lineRule="auto"/>
        <w:jc w:val="both"/>
        <w:rPr>
          <w:sz w:val="22"/>
        </w:rPr>
      </w:pPr>
      <w:r>
        <w:rPr>
          <w:sz w:val="22"/>
        </w:rPr>
        <w:br w:type="page"/>
      </w:r>
      <w:r w:rsidR="00305D17" w:rsidRPr="00FE7190">
        <w:rPr>
          <w:sz w:val="22"/>
        </w:rPr>
        <w:lastRenderedPageBreak/>
        <w:t xml:space="preserve">Because of the large burden that </w:t>
      </w:r>
      <w:r w:rsidR="009F6B0D" w:rsidRPr="00FE7190">
        <w:rPr>
          <w:sz w:val="22"/>
        </w:rPr>
        <w:t>cardiovascular</w:t>
      </w:r>
      <w:r w:rsidR="00305D17" w:rsidRPr="00FE7190">
        <w:rPr>
          <w:sz w:val="22"/>
        </w:rPr>
        <w:t xml:space="preserve"> disease places on the health system, the </w:t>
      </w:r>
      <w:r w:rsidR="00583797">
        <w:rPr>
          <w:sz w:val="22"/>
        </w:rPr>
        <w:t xml:space="preserve">NHC </w:t>
      </w:r>
      <w:r w:rsidR="00305D17" w:rsidRPr="00FE7190">
        <w:rPr>
          <w:sz w:val="22"/>
        </w:rPr>
        <w:t>has flagged it as a priority disease area for the 2013/14 financial year</w:t>
      </w:r>
      <w:r w:rsidR="00583797">
        <w:rPr>
          <w:sz w:val="22"/>
        </w:rPr>
        <w:t xml:space="preserve"> to follow from its earlier work on cardiac conditions in 2012/13</w:t>
      </w:r>
      <w:r w:rsidR="00305D17" w:rsidRPr="00FE7190">
        <w:rPr>
          <w:sz w:val="22"/>
        </w:rPr>
        <w:t xml:space="preserve">.  Using the tiered approach, the NHC will further explore </w:t>
      </w:r>
      <w:r w:rsidR="009F6B0D" w:rsidRPr="00FE7190">
        <w:rPr>
          <w:sz w:val="22"/>
        </w:rPr>
        <w:t>cardiovascular</w:t>
      </w:r>
      <w:r w:rsidR="00305D17" w:rsidRPr="00FE7190">
        <w:rPr>
          <w:sz w:val="22"/>
        </w:rPr>
        <w:t xml:space="preserve"> disease </w:t>
      </w:r>
      <w:r w:rsidR="0096163D" w:rsidRPr="00FE7190">
        <w:rPr>
          <w:sz w:val="22"/>
        </w:rPr>
        <w:t>following</w:t>
      </w:r>
      <w:r w:rsidR="00305D17" w:rsidRPr="00FE7190">
        <w:rPr>
          <w:sz w:val="22"/>
        </w:rPr>
        <w:t xml:space="preserve"> the process outlined</w:t>
      </w:r>
      <w:r w:rsidR="00FC7FB5">
        <w:rPr>
          <w:sz w:val="22"/>
        </w:rPr>
        <w:t xml:space="preserve"> above in subsequent documents</w:t>
      </w:r>
      <w:r w:rsidR="00305D17" w:rsidRPr="00FE7190">
        <w:rPr>
          <w:sz w:val="22"/>
        </w:rPr>
        <w:t xml:space="preserve">.  This report provides a broad overview of </w:t>
      </w:r>
      <w:r w:rsidR="009F6B0D" w:rsidRPr="00FE7190">
        <w:rPr>
          <w:sz w:val="22"/>
        </w:rPr>
        <w:t>cardiovascular</w:t>
      </w:r>
      <w:r w:rsidR="00305D17" w:rsidRPr="00FE7190">
        <w:rPr>
          <w:sz w:val="22"/>
        </w:rPr>
        <w:t xml:space="preserve"> disease with the intention of highlighting priority areas within </w:t>
      </w:r>
      <w:r w:rsidR="009F6B0D" w:rsidRPr="00FE7190">
        <w:rPr>
          <w:sz w:val="22"/>
        </w:rPr>
        <w:t>cardiovascular</w:t>
      </w:r>
      <w:r w:rsidR="00305D17" w:rsidRPr="00FE7190">
        <w:rPr>
          <w:sz w:val="22"/>
        </w:rPr>
        <w:t xml:space="preserve"> disease through the perspectives of prevalence and incidence, health outcomes and health utilisation/costs.  The document is divided into individual disease sections:</w:t>
      </w:r>
    </w:p>
    <w:p w:rsidR="00305D17" w:rsidRDefault="009F6B0D" w:rsidP="0060049D">
      <w:pPr>
        <w:pStyle w:val="ListParagraph"/>
        <w:numPr>
          <w:ilvl w:val="0"/>
          <w:numId w:val="6"/>
        </w:numPr>
        <w:spacing w:line="360" w:lineRule="auto"/>
        <w:rPr>
          <w:sz w:val="22"/>
        </w:rPr>
      </w:pPr>
      <w:r w:rsidRPr="00FE7190">
        <w:rPr>
          <w:sz w:val="22"/>
        </w:rPr>
        <w:t>Ischaemic Heart Disease (IHD)</w:t>
      </w:r>
    </w:p>
    <w:p w:rsidR="00A63BA1" w:rsidRPr="00FE7190" w:rsidRDefault="00A63BA1" w:rsidP="00A63BA1">
      <w:pPr>
        <w:pStyle w:val="ListParagraph"/>
        <w:numPr>
          <w:ilvl w:val="0"/>
          <w:numId w:val="6"/>
        </w:numPr>
        <w:spacing w:line="360" w:lineRule="auto"/>
        <w:rPr>
          <w:sz w:val="22"/>
        </w:rPr>
      </w:pPr>
      <w:r w:rsidRPr="00FE7190">
        <w:rPr>
          <w:sz w:val="22"/>
        </w:rPr>
        <w:t>Stroke</w:t>
      </w:r>
    </w:p>
    <w:p w:rsidR="00A63BA1" w:rsidRPr="00FE7190" w:rsidRDefault="00A63BA1" w:rsidP="00A63BA1">
      <w:pPr>
        <w:pStyle w:val="ListParagraph"/>
        <w:numPr>
          <w:ilvl w:val="0"/>
          <w:numId w:val="6"/>
        </w:numPr>
        <w:spacing w:line="360" w:lineRule="auto"/>
        <w:rPr>
          <w:sz w:val="22"/>
        </w:rPr>
      </w:pPr>
      <w:r w:rsidRPr="00FE7190">
        <w:rPr>
          <w:sz w:val="22"/>
        </w:rPr>
        <w:t>Hypertension</w:t>
      </w:r>
      <w:r>
        <w:rPr>
          <w:sz w:val="22"/>
        </w:rPr>
        <w:t xml:space="preserve"> (HTN)</w:t>
      </w:r>
    </w:p>
    <w:p w:rsidR="00305D17" w:rsidRPr="00FE7190" w:rsidRDefault="009F6B0D" w:rsidP="0060049D">
      <w:pPr>
        <w:pStyle w:val="ListParagraph"/>
        <w:numPr>
          <w:ilvl w:val="0"/>
          <w:numId w:val="6"/>
        </w:numPr>
        <w:spacing w:line="360" w:lineRule="auto"/>
        <w:rPr>
          <w:sz w:val="22"/>
        </w:rPr>
      </w:pPr>
      <w:r w:rsidRPr="00FE7190">
        <w:rPr>
          <w:sz w:val="22"/>
        </w:rPr>
        <w:t xml:space="preserve">Rheumatic </w:t>
      </w:r>
      <w:r w:rsidR="00613127" w:rsidRPr="00FE7190">
        <w:rPr>
          <w:sz w:val="22"/>
        </w:rPr>
        <w:t xml:space="preserve">Heart </w:t>
      </w:r>
      <w:r w:rsidRPr="00FE7190">
        <w:rPr>
          <w:sz w:val="22"/>
        </w:rPr>
        <w:t>Disease</w:t>
      </w:r>
      <w:r w:rsidR="00613127" w:rsidRPr="00FE7190">
        <w:rPr>
          <w:sz w:val="22"/>
        </w:rPr>
        <w:t xml:space="preserve"> (RHD)</w:t>
      </w:r>
    </w:p>
    <w:p w:rsidR="00305D17" w:rsidRPr="00FE7190" w:rsidRDefault="00FD0607" w:rsidP="0060049D">
      <w:pPr>
        <w:pStyle w:val="ListParagraph"/>
        <w:numPr>
          <w:ilvl w:val="0"/>
          <w:numId w:val="6"/>
        </w:numPr>
        <w:spacing w:line="360" w:lineRule="auto"/>
        <w:rPr>
          <w:sz w:val="22"/>
        </w:rPr>
      </w:pPr>
      <w:r w:rsidRPr="00FE7190">
        <w:rPr>
          <w:sz w:val="22"/>
        </w:rPr>
        <w:t xml:space="preserve">Non-Rheumatic </w:t>
      </w:r>
      <w:r w:rsidR="009F6B0D" w:rsidRPr="00FE7190">
        <w:rPr>
          <w:sz w:val="22"/>
        </w:rPr>
        <w:t>Valvular Heart Disease</w:t>
      </w:r>
      <w:r w:rsidRPr="00FE7190">
        <w:rPr>
          <w:sz w:val="22"/>
        </w:rPr>
        <w:t xml:space="preserve"> (NRVHD)</w:t>
      </w:r>
    </w:p>
    <w:p w:rsidR="00A63BA1" w:rsidRPr="00FE7190" w:rsidRDefault="00A63BA1" w:rsidP="00A63BA1">
      <w:pPr>
        <w:pStyle w:val="ListParagraph"/>
        <w:numPr>
          <w:ilvl w:val="0"/>
          <w:numId w:val="6"/>
        </w:numPr>
        <w:spacing w:line="360" w:lineRule="auto"/>
        <w:rPr>
          <w:sz w:val="22"/>
        </w:rPr>
      </w:pPr>
      <w:r w:rsidRPr="00FE7190">
        <w:rPr>
          <w:sz w:val="22"/>
        </w:rPr>
        <w:t>Aortic Aneurysms</w:t>
      </w:r>
    </w:p>
    <w:p w:rsidR="00305D17" w:rsidRPr="00FE7190" w:rsidRDefault="009F6B0D" w:rsidP="0060049D">
      <w:pPr>
        <w:pStyle w:val="ListParagraph"/>
        <w:numPr>
          <w:ilvl w:val="0"/>
          <w:numId w:val="6"/>
        </w:numPr>
        <w:spacing w:line="360" w:lineRule="auto"/>
        <w:rPr>
          <w:sz w:val="22"/>
        </w:rPr>
      </w:pPr>
      <w:r w:rsidRPr="00FE7190">
        <w:rPr>
          <w:sz w:val="22"/>
        </w:rPr>
        <w:t>Atrial Fibrillation (AF</w:t>
      </w:r>
      <w:r w:rsidR="00FD0607" w:rsidRPr="00FE7190">
        <w:rPr>
          <w:sz w:val="22"/>
        </w:rPr>
        <w:t>)</w:t>
      </w:r>
    </w:p>
    <w:p w:rsidR="00A63BA1" w:rsidRPr="00FE7190" w:rsidRDefault="00A63BA1" w:rsidP="00A63BA1">
      <w:pPr>
        <w:pStyle w:val="ListParagraph"/>
        <w:numPr>
          <w:ilvl w:val="0"/>
          <w:numId w:val="6"/>
        </w:numPr>
        <w:spacing w:line="360" w:lineRule="auto"/>
        <w:rPr>
          <w:sz w:val="22"/>
        </w:rPr>
      </w:pPr>
      <w:r w:rsidRPr="00FE7190">
        <w:rPr>
          <w:sz w:val="22"/>
        </w:rPr>
        <w:t>Cardiomyopathies</w:t>
      </w:r>
    </w:p>
    <w:p w:rsidR="00305D17" w:rsidRPr="00FE7190" w:rsidRDefault="009F6B0D" w:rsidP="0060049D">
      <w:pPr>
        <w:pStyle w:val="ListParagraph"/>
        <w:numPr>
          <w:ilvl w:val="0"/>
          <w:numId w:val="6"/>
        </w:numPr>
        <w:spacing w:line="360" w:lineRule="auto"/>
        <w:rPr>
          <w:sz w:val="22"/>
        </w:rPr>
      </w:pPr>
      <w:r w:rsidRPr="00FE7190">
        <w:rPr>
          <w:sz w:val="22"/>
        </w:rPr>
        <w:t>Inflammatory Heart Disease</w:t>
      </w:r>
    </w:p>
    <w:p w:rsidR="00305D17" w:rsidRPr="00FE7190" w:rsidRDefault="009F6B0D" w:rsidP="0060049D">
      <w:pPr>
        <w:pStyle w:val="ListParagraph"/>
        <w:numPr>
          <w:ilvl w:val="0"/>
          <w:numId w:val="6"/>
        </w:numPr>
        <w:spacing w:line="360" w:lineRule="auto"/>
        <w:rPr>
          <w:sz w:val="22"/>
        </w:rPr>
      </w:pPr>
      <w:r w:rsidRPr="00FE7190">
        <w:rPr>
          <w:sz w:val="22"/>
        </w:rPr>
        <w:t>Peripheral Vascular Disease (PVD)</w:t>
      </w:r>
    </w:p>
    <w:p w:rsidR="009F6B0D" w:rsidRPr="00FE7190" w:rsidRDefault="009F6B0D" w:rsidP="0060049D">
      <w:pPr>
        <w:pStyle w:val="ListParagraph"/>
        <w:numPr>
          <w:ilvl w:val="0"/>
          <w:numId w:val="6"/>
        </w:numPr>
        <w:spacing w:line="360" w:lineRule="auto"/>
        <w:rPr>
          <w:sz w:val="22"/>
        </w:rPr>
      </w:pPr>
      <w:r w:rsidRPr="00FE7190">
        <w:rPr>
          <w:sz w:val="22"/>
        </w:rPr>
        <w:t>Pulmonary Embolism and Venous-Thrombo Embolism (VTE)</w:t>
      </w:r>
    </w:p>
    <w:p w:rsidR="00305D17" w:rsidRPr="00FE7190" w:rsidRDefault="00305D17" w:rsidP="0060049D">
      <w:pPr>
        <w:pStyle w:val="ListParagraph"/>
        <w:numPr>
          <w:ilvl w:val="0"/>
          <w:numId w:val="6"/>
        </w:numPr>
        <w:spacing w:line="360" w:lineRule="auto"/>
        <w:rPr>
          <w:sz w:val="22"/>
        </w:rPr>
      </w:pPr>
      <w:r w:rsidRPr="00FE7190">
        <w:rPr>
          <w:sz w:val="22"/>
        </w:rPr>
        <w:t xml:space="preserve">Other </w:t>
      </w:r>
      <w:r w:rsidR="009F6B0D" w:rsidRPr="00FE7190">
        <w:rPr>
          <w:sz w:val="22"/>
        </w:rPr>
        <w:t>Cardiovascular</w:t>
      </w:r>
      <w:r w:rsidRPr="00FE7190">
        <w:rPr>
          <w:sz w:val="22"/>
        </w:rPr>
        <w:t xml:space="preserve"> Diseases</w:t>
      </w:r>
    </w:p>
    <w:p w:rsidR="00305D17" w:rsidRPr="00FE7190" w:rsidRDefault="00305D17" w:rsidP="0060049D">
      <w:pPr>
        <w:spacing w:line="360" w:lineRule="auto"/>
        <w:jc w:val="both"/>
        <w:rPr>
          <w:sz w:val="22"/>
        </w:rPr>
      </w:pPr>
      <w:r w:rsidRPr="00FE7190">
        <w:rPr>
          <w:sz w:val="22"/>
        </w:rPr>
        <w:t>A discussion section follows that compares the diseases and outlines the limitations.  Finally, a recommendation is made as to which disease</w:t>
      </w:r>
      <w:r w:rsidR="0004432E">
        <w:rPr>
          <w:sz w:val="22"/>
        </w:rPr>
        <w:t xml:space="preserve"> area(s)</w:t>
      </w:r>
      <w:r w:rsidRPr="00FE7190">
        <w:rPr>
          <w:sz w:val="22"/>
        </w:rPr>
        <w:t xml:space="preserve"> the NHC should investigate further</w:t>
      </w:r>
      <w:r w:rsidR="0004432E">
        <w:rPr>
          <w:sz w:val="22"/>
        </w:rPr>
        <w:t xml:space="preserve"> for the 2013/14 financial year and subsequent years</w:t>
      </w:r>
      <w:r w:rsidRPr="00FE7190">
        <w:rPr>
          <w:sz w:val="22"/>
        </w:rPr>
        <w:t xml:space="preserve"> based on the relevant decision-making criteria.</w:t>
      </w:r>
    </w:p>
    <w:p w:rsidR="00927C7E" w:rsidRDefault="00927C7E" w:rsidP="00365A3A">
      <w:pPr>
        <w:pStyle w:val="Heading1"/>
        <w:spacing w:before="360" w:after="120"/>
      </w:pPr>
      <w:bookmarkStart w:id="3" w:name="_Toc365276872"/>
      <w:r>
        <w:t>Purpose</w:t>
      </w:r>
      <w:bookmarkEnd w:id="3"/>
    </w:p>
    <w:p w:rsidR="00305D17" w:rsidRPr="00FE7190" w:rsidRDefault="00305D17" w:rsidP="0060049D">
      <w:pPr>
        <w:spacing w:line="360" w:lineRule="auto"/>
        <w:jc w:val="both"/>
        <w:rPr>
          <w:sz w:val="22"/>
        </w:rPr>
      </w:pPr>
      <w:r w:rsidRPr="00FE7190">
        <w:rPr>
          <w:sz w:val="22"/>
        </w:rPr>
        <w:t xml:space="preserve">This document is intended to provide the Committee with a broad overview of </w:t>
      </w:r>
      <w:r w:rsidR="0096163D" w:rsidRPr="00FE7190">
        <w:rPr>
          <w:sz w:val="22"/>
        </w:rPr>
        <w:t xml:space="preserve">cardiovascular </w:t>
      </w:r>
      <w:r w:rsidRPr="00FE7190">
        <w:rPr>
          <w:sz w:val="22"/>
        </w:rPr>
        <w:t xml:space="preserve">disease to prioritise further work in this area in order to improve health outcomes and efficiency.  </w:t>
      </w:r>
    </w:p>
    <w:p w:rsidR="00927C7E" w:rsidRDefault="00927C7E" w:rsidP="00365A3A">
      <w:pPr>
        <w:pStyle w:val="Heading1"/>
        <w:spacing w:before="360" w:after="120"/>
      </w:pPr>
      <w:bookmarkStart w:id="4" w:name="_Toc365276873"/>
      <w:r>
        <w:t>Methods</w:t>
      </w:r>
      <w:bookmarkEnd w:id="4"/>
    </w:p>
    <w:p w:rsidR="00305D17" w:rsidRPr="00FE7190" w:rsidRDefault="00305D17" w:rsidP="0060049D">
      <w:pPr>
        <w:spacing w:line="360" w:lineRule="auto"/>
        <w:jc w:val="both"/>
        <w:rPr>
          <w:sz w:val="22"/>
        </w:rPr>
      </w:pPr>
      <w:r w:rsidRPr="00FE7190">
        <w:rPr>
          <w:sz w:val="22"/>
        </w:rPr>
        <w:t xml:space="preserve">This section details the methodology used to group the diseases, synthesise information and prioritise the diseases for further work.  </w:t>
      </w:r>
      <w:r w:rsidR="00A66056" w:rsidRPr="00A66056">
        <w:rPr>
          <w:sz w:val="22"/>
        </w:rPr>
        <w:t>The main s</w:t>
      </w:r>
      <w:r w:rsidR="00A66056">
        <w:rPr>
          <w:sz w:val="22"/>
        </w:rPr>
        <w:t>ources of information used were the</w:t>
      </w:r>
      <w:r w:rsidR="001418E1">
        <w:rPr>
          <w:sz w:val="22"/>
        </w:rPr>
        <w:t xml:space="preserve"> National Minimum Dataset</w:t>
      </w:r>
      <w:r w:rsidR="00A66056">
        <w:rPr>
          <w:sz w:val="22"/>
        </w:rPr>
        <w:t xml:space="preserve"> </w:t>
      </w:r>
      <w:r w:rsidR="001418E1">
        <w:rPr>
          <w:sz w:val="22"/>
        </w:rPr>
        <w:t>(</w:t>
      </w:r>
      <w:r w:rsidR="00A66056">
        <w:rPr>
          <w:sz w:val="22"/>
        </w:rPr>
        <w:t>NMDS</w:t>
      </w:r>
      <w:r w:rsidR="001418E1">
        <w:rPr>
          <w:sz w:val="22"/>
        </w:rPr>
        <w:t>)</w:t>
      </w:r>
      <w:r w:rsidR="00A66056" w:rsidRPr="00A66056">
        <w:rPr>
          <w:sz w:val="22"/>
        </w:rPr>
        <w:t xml:space="preserve"> (used to</w:t>
      </w:r>
      <w:r w:rsidR="00A66056">
        <w:rPr>
          <w:sz w:val="22"/>
        </w:rPr>
        <w:t xml:space="preserve"> estimate the financial burden),</w:t>
      </w:r>
      <w:r w:rsidR="00A66056" w:rsidRPr="00A66056">
        <w:rPr>
          <w:sz w:val="22"/>
        </w:rPr>
        <w:t xml:space="preserve"> the New Zealand Burden of Disease Study </w:t>
      </w:r>
      <w:r w:rsidR="00A66056">
        <w:rPr>
          <w:sz w:val="22"/>
        </w:rPr>
        <w:t xml:space="preserve">(used to estimate </w:t>
      </w:r>
      <w:r w:rsidR="00A66056" w:rsidRPr="00A66056">
        <w:rPr>
          <w:sz w:val="22"/>
        </w:rPr>
        <w:t>mor</w:t>
      </w:r>
      <w:r w:rsidR="00A66056">
        <w:rPr>
          <w:sz w:val="22"/>
        </w:rPr>
        <w:t>tality and disease burden</w:t>
      </w:r>
      <w:r w:rsidR="00A66056" w:rsidRPr="00A66056">
        <w:rPr>
          <w:sz w:val="22"/>
        </w:rPr>
        <w:t>); and New Z</w:t>
      </w:r>
      <w:r w:rsidR="00A66056">
        <w:rPr>
          <w:sz w:val="22"/>
        </w:rPr>
        <w:t>ealand population-based surveys</w:t>
      </w:r>
      <w:r w:rsidR="00A66056" w:rsidRPr="00A66056">
        <w:rPr>
          <w:sz w:val="22"/>
        </w:rPr>
        <w:t xml:space="preserve"> </w:t>
      </w:r>
      <w:r w:rsidR="00A66056">
        <w:rPr>
          <w:sz w:val="22"/>
        </w:rPr>
        <w:t xml:space="preserve">and </w:t>
      </w:r>
      <w:r w:rsidR="00A66056" w:rsidRPr="00A66056">
        <w:rPr>
          <w:sz w:val="22"/>
        </w:rPr>
        <w:t>the New Zealand H</w:t>
      </w:r>
      <w:r w:rsidR="00A66056">
        <w:rPr>
          <w:sz w:val="22"/>
        </w:rPr>
        <w:t xml:space="preserve">ealth Tracker database </w:t>
      </w:r>
      <w:r w:rsidR="00A66056" w:rsidRPr="00A66056">
        <w:rPr>
          <w:sz w:val="22"/>
        </w:rPr>
        <w:t>for information on prevalence and</w:t>
      </w:r>
      <w:r w:rsidR="00A66056">
        <w:rPr>
          <w:sz w:val="22"/>
        </w:rPr>
        <w:t>/or</w:t>
      </w:r>
      <w:r w:rsidR="00A66056" w:rsidRPr="00A66056">
        <w:rPr>
          <w:sz w:val="22"/>
        </w:rPr>
        <w:t xml:space="preserve"> incidence</w:t>
      </w:r>
      <w:r w:rsidRPr="00FE7190">
        <w:rPr>
          <w:sz w:val="22"/>
        </w:rPr>
        <w:t>.</w:t>
      </w:r>
    </w:p>
    <w:p w:rsidR="00305D17" w:rsidRDefault="00A90488" w:rsidP="0060049D">
      <w:pPr>
        <w:spacing w:line="360" w:lineRule="auto"/>
        <w:jc w:val="both"/>
        <w:rPr>
          <w:sz w:val="22"/>
        </w:rPr>
      </w:pPr>
      <w:r w:rsidRPr="00FE7190">
        <w:rPr>
          <w:sz w:val="22"/>
        </w:rPr>
        <w:lastRenderedPageBreak/>
        <w:t xml:space="preserve">The diseases in this document are based on the New Zealand Burden of Disease standard classification, used in the New Zealand Burden of Diseases, Injuries and Risk factors Study, 2006 – 2016 (NZBDS) to represent </w:t>
      </w:r>
      <w:r w:rsidR="00FD0607" w:rsidRPr="00FE7190">
        <w:rPr>
          <w:sz w:val="22"/>
        </w:rPr>
        <w:t>cardio</w:t>
      </w:r>
      <w:r w:rsidR="0096163D" w:rsidRPr="00FE7190">
        <w:rPr>
          <w:sz w:val="22"/>
        </w:rPr>
        <w:t xml:space="preserve">vascular </w:t>
      </w:r>
      <w:r w:rsidRPr="00FE7190">
        <w:rPr>
          <w:sz w:val="22"/>
        </w:rPr>
        <w:t xml:space="preserve">disease.  All mortality and disability-adjusted life year (DALY) figures used in this report are 2006 based, the most recent available </w:t>
      </w:r>
      <w:r w:rsidR="0096163D" w:rsidRPr="00FE7190">
        <w:rPr>
          <w:sz w:val="22"/>
        </w:rPr>
        <w:t xml:space="preserve">from </w:t>
      </w:r>
      <w:r w:rsidRPr="00FE7190">
        <w:rPr>
          <w:sz w:val="22"/>
        </w:rPr>
        <w:t>the NZBDS.</w:t>
      </w:r>
      <w:r w:rsidR="00305D17" w:rsidRPr="00FE7190">
        <w:rPr>
          <w:sz w:val="22"/>
        </w:rPr>
        <w:t xml:space="preserve">  DALYs combine </w:t>
      </w:r>
      <w:r w:rsidR="00B91C6F" w:rsidRPr="00FE7190">
        <w:rPr>
          <w:sz w:val="22"/>
        </w:rPr>
        <w:t xml:space="preserve">years of life lost (YLLs) and years lived with disability (YLDs) </w:t>
      </w:r>
      <w:r w:rsidR="00305D17" w:rsidRPr="00FE7190">
        <w:rPr>
          <w:sz w:val="22"/>
        </w:rPr>
        <w:t xml:space="preserve">such that one DALY is equivalent to loss of one year of healthy life.  As such, they are more than just a metric for death; they include both fatal and non-fatal outcomes.  </w:t>
      </w:r>
      <w:r w:rsidR="00D51958" w:rsidRPr="00FE7190">
        <w:rPr>
          <w:sz w:val="22"/>
        </w:rPr>
        <w:t>For the purposes of this report</w:t>
      </w:r>
      <w:r w:rsidR="00FD0607" w:rsidRPr="00FE7190">
        <w:rPr>
          <w:sz w:val="22"/>
        </w:rPr>
        <w:t>,</w:t>
      </w:r>
      <w:r w:rsidR="00D51958" w:rsidRPr="00FE7190">
        <w:rPr>
          <w:sz w:val="22"/>
        </w:rPr>
        <w:t xml:space="preserve"> blood</w:t>
      </w:r>
      <w:r w:rsidR="001418E1">
        <w:rPr>
          <w:sz w:val="22"/>
        </w:rPr>
        <w:t xml:space="preserve"> conditions and pulmonary arterial</w:t>
      </w:r>
      <w:r w:rsidR="00D51958" w:rsidRPr="00FE7190">
        <w:rPr>
          <w:sz w:val="22"/>
        </w:rPr>
        <w:t xml:space="preserve"> disease have been excluded to limit the ‘Vascular and Blood Disorders’ </w:t>
      </w:r>
      <w:r w:rsidR="00163629" w:rsidRPr="00FE7190">
        <w:rPr>
          <w:sz w:val="22"/>
        </w:rPr>
        <w:t>NZ</w:t>
      </w:r>
      <w:r w:rsidR="00FD0607" w:rsidRPr="00FE7190">
        <w:rPr>
          <w:sz w:val="22"/>
        </w:rPr>
        <w:t>BDS standard classification to c</w:t>
      </w:r>
      <w:r w:rsidR="00D51958" w:rsidRPr="00FE7190">
        <w:rPr>
          <w:sz w:val="22"/>
        </w:rPr>
        <w:t>ardiovascular disease.</w:t>
      </w:r>
    </w:p>
    <w:p w:rsidR="00485514" w:rsidRPr="0060049D" w:rsidRDefault="00485514" w:rsidP="0060049D">
      <w:pPr>
        <w:spacing w:line="360" w:lineRule="auto"/>
        <w:jc w:val="both"/>
        <w:rPr>
          <w:sz w:val="22"/>
        </w:rPr>
      </w:pPr>
      <w:r>
        <w:rPr>
          <w:sz w:val="22"/>
        </w:rPr>
        <w:t xml:space="preserve">The NHC’s methods and analyses are constantly being updated. To ensure the work programme can progress in a timely manner each NHC document presents the best methods and analysis available at the time. Recommendations are then based upon this information, taking into account the limitations involved </w:t>
      </w:r>
      <w:r w:rsidR="00365A3A">
        <w:rPr>
          <w:sz w:val="22"/>
        </w:rPr>
        <w:t>e.g.</w:t>
      </w:r>
      <w:r>
        <w:rPr>
          <w:sz w:val="22"/>
        </w:rPr>
        <w:t>, only using public hospital prices as a proxy for economic burden. This process is preferable to suspending the improvement of the health system until comprehensive analysis can be achieved.</w:t>
      </w:r>
    </w:p>
    <w:p w:rsidR="00305D17" w:rsidRDefault="00305D17" w:rsidP="00365A3A">
      <w:pPr>
        <w:pStyle w:val="Heading2"/>
      </w:pPr>
      <w:bookmarkStart w:id="5" w:name="_Toc360641390"/>
      <w:bookmarkStart w:id="6" w:name="_Toc360714581"/>
      <w:bookmarkStart w:id="7" w:name="_Toc363122517"/>
      <w:bookmarkStart w:id="8" w:name="_Toc365276874"/>
      <w:r>
        <w:t>Literature Searches</w:t>
      </w:r>
      <w:bookmarkEnd w:id="5"/>
      <w:bookmarkEnd w:id="6"/>
      <w:bookmarkEnd w:id="7"/>
      <w:bookmarkEnd w:id="8"/>
    </w:p>
    <w:p w:rsidR="00305D17" w:rsidRPr="00FE7190" w:rsidRDefault="007F10F7" w:rsidP="0060049D">
      <w:pPr>
        <w:spacing w:line="360" w:lineRule="auto"/>
        <w:jc w:val="both"/>
        <w:rPr>
          <w:sz w:val="22"/>
        </w:rPr>
      </w:pPr>
      <w:r w:rsidRPr="00FE7190">
        <w:rPr>
          <w:sz w:val="22"/>
        </w:rPr>
        <w:t>Between June 2013 and July</w:t>
      </w:r>
      <w:r w:rsidR="00305D17" w:rsidRPr="00FE7190">
        <w:rPr>
          <w:sz w:val="22"/>
        </w:rPr>
        <w:t xml:space="preserve"> 2013, various non-systematic searches were conducted using Google Scholar and the New Zeala</w:t>
      </w:r>
      <w:r w:rsidR="0004432E">
        <w:rPr>
          <w:sz w:val="22"/>
        </w:rPr>
        <w:t>nd Ministry of Health website.</w:t>
      </w:r>
      <w:r w:rsidR="00305D17" w:rsidRPr="00FE7190">
        <w:rPr>
          <w:sz w:val="22"/>
        </w:rPr>
        <w:t xml:space="preserve">  Where possible, New Zealand population-based surveys were used for </w:t>
      </w:r>
      <w:r w:rsidR="0096163D" w:rsidRPr="00FE7190">
        <w:rPr>
          <w:sz w:val="22"/>
        </w:rPr>
        <w:t>prevalence and incidence estimates</w:t>
      </w:r>
      <w:r w:rsidR="00305D17" w:rsidRPr="00FE7190">
        <w:rPr>
          <w:sz w:val="22"/>
        </w:rPr>
        <w:t>.  Where New Zealand population-based surveys were unavailable,</w:t>
      </w:r>
      <w:r w:rsidR="001E0145" w:rsidRPr="00FE7190">
        <w:rPr>
          <w:sz w:val="22"/>
        </w:rPr>
        <w:t xml:space="preserve"> estimates based on the New Zealand Health Tracker were used. If neither of these sources had appropriate data</w:t>
      </w:r>
      <w:r w:rsidR="00FD0607" w:rsidRPr="00FE7190">
        <w:rPr>
          <w:sz w:val="22"/>
        </w:rPr>
        <w:t>,</w:t>
      </w:r>
      <w:r w:rsidR="00305D17" w:rsidRPr="00FE7190">
        <w:rPr>
          <w:sz w:val="22"/>
        </w:rPr>
        <w:t xml:space="preserve"> </w:t>
      </w:r>
      <w:r w:rsidR="00FD0607" w:rsidRPr="00FE7190">
        <w:rPr>
          <w:sz w:val="22"/>
        </w:rPr>
        <w:t>international</w:t>
      </w:r>
      <w:r w:rsidR="00305D17" w:rsidRPr="00FE7190">
        <w:rPr>
          <w:sz w:val="22"/>
        </w:rPr>
        <w:t xml:space="preserve"> epidemiological studies were </w:t>
      </w:r>
      <w:proofErr w:type="gramStart"/>
      <w:r w:rsidR="00305D17" w:rsidRPr="00FE7190">
        <w:rPr>
          <w:sz w:val="22"/>
        </w:rPr>
        <w:t>used.</w:t>
      </w:r>
      <w:proofErr w:type="gramEnd"/>
      <w:r w:rsidR="00305D17" w:rsidRPr="00FE7190">
        <w:rPr>
          <w:sz w:val="22"/>
        </w:rPr>
        <w:t xml:space="preserve">  Because of this search strategy</w:t>
      </w:r>
      <w:r w:rsidR="00FD0607" w:rsidRPr="00FE7190">
        <w:rPr>
          <w:sz w:val="22"/>
        </w:rPr>
        <w:t>,</w:t>
      </w:r>
      <w:r w:rsidR="00305D17" w:rsidRPr="00FE7190">
        <w:rPr>
          <w:sz w:val="22"/>
        </w:rPr>
        <w:t xml:space="preserve"> some disease sections contain more information than others, a reflection of the </w:t>
      </w:r>
      <w:r w:rsidR="0096163D" w:rsidRPr="00FE7190">
        <w:rPr>
          <w:sz w:val="22"/>
        </w:rPr>
        <w:t xml:space="preserve">accessibility </w:t>
      </w:r>
      <w:r w:rsidR="00305D17" w:rsidRPr="00FE7190">
        <w:rPr>
          <w:sz w:val="22"/>
        </w:rPr>
        <w:t>of evidence for various diseases.</w:t>
      </w:r>
    </w:p>
    <w:p w:rsidR="00305D17" w:rsidRDefault="00305D17" w:rsidP="00305D17">
      <w:pPr>
        <w:pStyle w:val="Heading2"/>
      </w:pPr>
      <w:bookmarkStart w:id="9" w:name="_Toc360641391"/>
      <w:bookmarkStart w:id="10" w:name="_Toc360714582"/>
      <w:bookmarkStart w:id="11" w:name="_Toc363122518"/>
      <w:bookmarkStart w:id="12" w:name="_Toc365276875"/>
      <w:r>
        <w:t>Hospital Events</w:t>
      </w:r>
      <w:bookmarkEnd w:id="9"/>
      <w:bookmarkEnd w:id="10"/>
      <w:bookmarkEnd w:id="11"/>
      <w:bookmarkEnd w:id="12"/>
    </w:p>
    <w:p w:rsidR="00305D17" w:rsidRPr="00FE7190" w:rsidRDefault="00B91C6F" w:rsidP="0060049D">
      <w:pPr>
        <w:spacing w:line="360" w:lineRule="auto"/>
        <w:jc w:val="both"/>
        <w:rPr>
          <w:sz w:val="22"/>
        </w:rPr>
      </w:pPr>
      <w:r w:rsidRPr="00FE7190">
        <w:rPr>
          <w:sz w:val="22"/>
        </w:rPr>
        <w:t xml:space="preserve">NMDS </w:t>
      </w:r>
      <w:r w:rsidR="00163629" w:rsidRPr="00FE7190">
        <w:rPr>
          <w:sz w:val="22"/>
        </w:rPr>
        <w:t xml:space="preserve">data for the 2011/12 financial year </w:t>
      </w:r>
      <w:r w:rsidRPr="00FE7190">
        <w:rPr>
          <w:sz w:val="22"/>
        </w:rPr>
        <w:t>was used for the hospitalisation event (inpatient and day patient) data, with f</w:t>
      </w:r>
      <w:r w:rsidR="001418E1">
        <w:rPr>
          <w:sz w:val="22"/>
        </w:rPr>
        <w:t>iltering to exclude non-public</w:t>
      </w:r>
      <w:r w:rsidRPr="00FE7190">
        <w:rPr>
          <w:sz w:val="22"/>
        </w:rPr>
        <w:t>ly funded and/or non-casemix purchased events</w:t>
      </w:r>
      <w:r w:rsidR="00305D17" w:rsidRPr="00FE7190">
        <w:rPr>
          <w:sz w:val="22"/>
        </w:rPr>
        <w:t>.</w:t>
      </w:r>
      <w:r w:rsidR="00163629" w:rsidRPr="00FE7190">
        <w:rPr>
          <w:sz w:val="22"/>
        </w:rPr>
        <w:t xml:space="preserve"> </w:t>
      </w:r>
      <w:r w:rsidR="00305D17" w:rsidRPr="00FE7190">
        <w:rPr>
          <w:sz w:val="22"/>
        </w:rPr>
        <w:t xml:space="preserve"> Each hospital discharge has one or more diagnosis codes associated with it. </w:t>
      </w:r>
      <w:r w:rsidR="00163629" w:rsidRPr="00FE7190">
        <w:rPr>
          <w:sz w:val="22"/>
        </w:rPr>
        <w:t xml:space="preserve"> </w:t>
      </w:r>
      <w:r w:rsidR="00305D17" w:rsidRPr="00FE7190">
        <w:rPr>
          <w:sz w:val="22"/>
        </w:rPr>
        <w:t>These codes are based on the Australian Modification of the World Health Organi</w:t>
      </w:r>
      <w:r w:rsidRPr="00FE7190">
        <w:rPr>
          <w:sz w:val="22"/>
        </w:rPr>
        <w:t>z</w:t>
      </w:r>
      <w:r w:rsidR="00305D17" w:rsidRPr="00FE7190">
        <w:rPr>
          <w:sz w:val="22"/>
        </w:rPr>
        <w:t xml:space="preserve">ation’s International Classification of Diseases (ICD-10-AM). </w:t>
      </w:r>
      <w:r w:rsidR="00163629" w:rsidRPr="00FE7190">
        <w:rPr>
          <w:sz w:val="22"/>
        </w:rPr>
        <w:t xml:space="preserve"> </w:t>
      </w:r>
      <w:r w:rsidR="00305D17" w:rsidRPr="00FE7190">
        <w:rPr>
          <w:sz w:val="22"/>
        </w:rPr>
        <w:t>The diagnosis code used was either the primary diagnosis, the secondary diagnosis if the primary diagnosis was a ‘Z’ code (Factors influencing health status and contact with health services), or the primary e</w:t>
      </w:r>
      <w:r w:rsidR="0004432E">
        <w:rPr>
          <w:sz w:val="22"/>
        </w:rPr>
        <w:t>xternal cause code if the event</w:t>
      </w:r>
      <w:r w:rsidR="00305D17" w:rsidRPr="00FE7190">
        <w:rPr>
          <w:sz w:val="22"/>
        </w:rPr>
        <w:t xml:space="preserve"> was recorded as being an accident. </w:t>
      </w:r>
      <w:r w:rsidR="00163629" w:rsidRPr="00FE7190">
        <w:rPr>
          <w:sz w:val="22"/>
        </w:rPr>
        <w:t xml:space="preserve"> </w:t>
      </w:r>
      <w:r w:rsidR="00305D17" w:rsidRPr="00FE7190">
        <w:rPr>
          <w:sz w:val="22"/>
        </w:rPr>
        <w:t xml:space="preserve">These codes were mapped to the condition codes used in the NZBDS. </w:t>
      </w:r>
      <w:r w:rsidR="00163629" w:rsidRPr="00FE7190">
        <w:rPr>
          <w:sz w:val="22"/>
        </w:rPr>
        <w:t xml:space="preserve"> </w:t>
      </w:r>
      <w:r w:rsidR="00305D17" w:rsidRPr="00FE7190">
        <w:rPr>
          <w:sz w:val="22"/>
        </w:rPr>
        <w:t xml:space="preserve">For the purposes of the hospital event data the redistribution process used in the NZBDS was not used, as this is specific to calculating years of life lost. </w:t>
      </w:r>
      <w:r w:rsidR="00A66056">
        <w:rPr>
          <w:sz w:val="22"/>
        </w:rPr>
        <w:t xml:space="preserve">However, </w:t>
      </w:r>
      <w:r w:rsidR="00A66056" w:rsidRPr="00A66056">
        <w:rPr>
          <w:sz w:val="22"/>
        </w:rPr>
        <w:t xml:space="preserve">because many conditions are not </w:t>
      </w:r>
      <w:r w:rsidR="00A66056">
        <w:rPr>
          <w:sz w:val="22"/>
        </w:rPr>
        <w:t>considered 'causes of death',</w:t>
      </w:r>
      <w:r w:rsidR="00A66056" w:rsidRPr="00A66056">
        <w:rPr>
          <w:sz w:val="22"/>
        </w:rPr>
        <w:t xml:space="preserve"> fewer DALYs and deaths may be evident from certain condition </w:t>
      </w:r>
      <w:r w:rsidR="00A66056" w:rsidRPr="00A66056">
        <w:rPr>
          <w:sz w:val="22"/>
        </w:rPr>
        <w:lastRenderedPageBreak/>
        <w:t>groups than what may be expected when considering the number of hospitalisations associa</w:t>
      </w:r>
      <w:r w:rsidR="001418E1">
        <w:rPr>
          <w:sz w:val="22"/>
        </w:rPr>
        <w:t>ted with these condition groups.  F</w:t>
      </w:r>
      <w:r w:rsidR="00A66056">
        <w:rPr>
          <w:sz w:val="22"/>
        </w:rPr>
        <w:t xml:space="preserve">or instance, the </w:t>
      </w:r>
      <w:r w:rsidR="00A66056" w:rsidRPr="00A66056">
        <w:rPr>
          <w:sz w:val="22"/>
        </w:rPr>
        <w:t xml:space="preserve">'other cardiovascular' </w:t>
      </w:r>
      <w:r w:rsidR="00A66056">
        <w:rPr>
          <w:sz w:val="22"/>
        </w:rPr>
        <w:t xml:space="preserve">category below is assigned </w:t>
      </w:r>
      <w:r w:rsidR="00A66056" w:rsidRPr="00A66056">
        <w:rPr>
          <w:sz w:val="22"/>
        </w:rPr>
        <w:t xml:space="preserve">only </w:t>
      </w:r>
      <w:r w:rsidR="00A66056">
        <w:rPr>
          <w:sz w:val="22"/>
        </w:rPr>
        <w:t xml:space="preserve">34 deaths and </w:t>
      </w:r>
      <w:r w:rsidR="00A66056" w:rsidRPr="00A66056">
        <w:rPr>
          <w:sz w:val="22"/>
        </w:rPr>
        <w:t>670 DALYs</w:t>
      </w:r>
      <w:r w:rsidR="00A66056">
        <w:rPr>
          <w:sz w:val="22"/>
        </w:rPr>
        <w:t xml:space="preserve"> in the NZBDS</w:t>
      </w:r>
      <w:r w:rsidR="00A66056" w:rsidRPr="00A66056">
        <w:rPr>
          <w:sz w:val="22"/>
        </w:rPr>
        <w:t xml:space="preserve">, but </w:t>
      </w:r>
      <w:r w:rsidR="00A66056">
        <w:rPr>
          <w:sz w:val="22"/>
        </w:rPr>
        <w:t xml:space="preserve">is associated with </w:t>
      </w:r>
      <w:r w:rsidR="00A66056" w:rsidRPr="00A66056">
        <w:rPr>
          <w:sz w:val="22"/>
        </w:rPr>
        <w:t>10,880</w:t>
      </w:r>
      <w:r w:rsidR="00A66056">
        <w:rPr>
          <w:sz w:val="22"/>
        </w:rPr>
        <w:t xml:space="preserve"> hospitalisations in the NMDS</w:t>
      </w:r>
      <w:r w:rsidR="00A66056" w:rsidRPr="00A66056">
        <w:rPr>
          <w:sz w:val="22"/>
        </w:rPr>
        <w:t>.</w:t>
      </w:r>
    </w:p>
    <w:p w:rsidR="00305D17" w:rsidRPr="00FE7190" w:rsidRDefault="00305D17" w:rsidP="0060049D">
      <w:pPr>
        <w:spacing w:line="360" w:lineRule="auto"/>
        <w:jc w:val="both"/>
        <w:rPr>
          <w:sz w:val="22"/>
        </w:rPr>
      </w:pPr>
      <w:r w:rsidRPr="00FE7190">
        <w:rPr>
          <w:sz w:val="22"/>
        </w:rPr>
        <w:t xml:space="preserve">Price has been used as a proxy for cost as it is more readily available and is correlated with the cost of the services being summarised.  Each (filtered) hospitalisation event has a resource-based volume measure of the relative resources used in the delivery of inpatient heath care based on the diagnosis code (derived using Weighted Inline Equivalent Separation methodology). For this analysis the WIESNZ10 caseweight has been multiplied by the </w:t>
      </w:r>
      <w:r w:rsidR="00163629" w:rsidRPr="00FE7190">
        <w:rPr>
          <w:sz w:val="22"/>
        </w:rPr>
        <w:t>national</w:t>
      </w:r>
      <w:r w:rsidRPr="00FE7190">
        <w:rPr>
          <w:sz w:val="22"/>
        </w:rPr>
        <w:t xml:space="preserve"> unit price for 2011/12 ($4,567.49).</w:t>
      </w:r>
    </w:p>
    <w:p w:rsidR="00927C7E" w:rsidRPr="00FE7190" w:rsidRDefault="00305D17" w:rsidP="0060049D">
      <w:pPr>
        <w:spacing w:line="360" w:lineRule="auto"/>
        <w:jc w:val="both"/>
        <w:rPr>
          <w:sz w:val="22"/>
        </w:rPr>
      </w:pPr>
      <w:r w:rsidRPr="00FE7190">
        <w:rPr>
          <w:sz w:val="22"/>
        </w:rPr>
        <w:t xml:space="preserve">The </w:t>
      </w:r>
      <w:r w:rsidR="00B91C6F" w:rsidRPr="00FE7190">
        <w:rPr>
          <w:sz w:val="22"/>
        </w:rPr>
        <w:t>N</w:t>
      </w:r>
      <w:r w:rsidRPr="00FE7190">
        <w:rPr>
          <w:sz w:val="22"/>
        </w:rPr>
        <w:t xml:space="preserve">ational </w:t>
      </w:r>
      <w:r w:rsidR="00B91C6F" w:rsidRPr="00FE7190">
        <w:rPr>
          <w:sz w:val="22"/>
        </w:rPr>
        <w:t>H</w:t>
      </w:r>
      <w:r w:rsidRPr="00FE7190">
        <w:rPr>
          <w:sz w:val="22"/>
        </w:rPr>
        <w:t>ealth</w:t>
      </w:r>
      <w:r w:rsidR="00B91C6F" w:rsidRPr="00FE7190">
        <w:rPr>
          <w:sz w:val="22"/>
        </w:rPr>
        <w:t xml:space="preserve"> I</w:t>
      </w:r>
      <w:r w:rsidRPr="00FE7190">
        <w:rPr>
          <w:sz w:val="22"/>
        </w:rPr>
        <w:t xml:space="preserve">ndex </w:t>
      </w:r>
      <w:r w:rsidR="00B91C6F" w:rsidRPr="00FE7190">
        <w:rPr>
          <w:sz w:val="22"/>
        </w:rPr>
        <w:t xml:space="preserve">(NHI) </w:t>
      </w:r>
      <w:r w:rsidRPr="00FE7190">
        <w:rPr>
          <w:sz w:val="22"/>
        </w:rPr>
        <w:t xml:space="preserve">is a unique alpha-numeric identifier assigned to each person accessing New Zealand’s health services. </w:t>
      </w:r>
      <w:r w:rsidR="00163629" w:rsidRPr="00FE7190">
        <w:rPr>
          <w:sz w:val="22"/>
        </w:rPr>
        <w:t xml:space="preserve"> </w:t>
      </w:r>
      <w:r w:rsidRPr="00FE7190">
        <w:rPr>
          <w:sz w:val="22"/>
        </w:rPr>
        <w:t xml:space="preserve">The </w:t>
      </w:r>
      <w:r w:rsidR="00B91C6F" w:rsidRPr="00FE7190">
        <w:rPr>
          <w:sz w:val="22"/>
        </w:rPr>
        <w:t>NHI</w:t>
      </w:r>
      <w:r w:rsidR="0004432E">
        <w:rPr>
          <w:sz w:val="22"/>
        </w:rPr>
        <w:t xml:space="preserve"> dataset (Q</w:t>
      </w:r>
      <w:r w:rsidRPr="00FE7190">
        <w:rPr>
          <w:sz w:val="22"/>
        </w:rPr>
        <w:t xml:space="preserve">uarter 4, 2012) was used to differentiate how many individuals were hospitalised. </w:t>
      </w:r>
      <w:r w:rsidR="00163629" w:rsidRPr="00FE7190">
        <w:rPr>
          <w:sz w:val="22"/>
        </w:rPr>
        <w:t xml:space="preserve"> </w:t>
      </w:r>
      <w:r w:rsidRPr="00FE7190">
        <w:rPr>
          <w:sz w:val="22"/>
        </w:rPr>
        <w:t xml:space="preserve">The mean patient price was calculated as the total price per condition group divided by the number of individuals hospitalised for that condition in the 2011/12 year. </w:t>
      </w:r>
      <w:r w:rsidR="00163629" w:rsidRPr="00FE7190">
        <w:rPr>
          <w:sz w:val="22"/>
        </w:rPr>
        <w:t xml:space="preserve"> </w:t>
      </w:r>
      <w:r w:rsidRPr="00FE7190">
        <w:rPr>
          <w:sz w:val="22"/>
        </w:rPr>
        <w:t xml:space="preserve">Time in care, a proxy for lost time or disability, is the sum of the length of stay for each discharge. </w:t>
      </w:r>
      <w:r w:rsidR="00163629" w:rsidRPr="00FE7190">
        <w:rPr>
          <w:sz w:val="22"/>
        </w:rPr>
        <w:t xml:space="preserve"> </w:t>
      </w:r>
      <w:r w:rsidRPr="00FE7190">
        <w:rPr>
          <w:sz w:val="22"/>
        </w:rPr>
        <w:t xml:space="preserve">Mean percentage budget growth is based on three years of NMDS </w:t>
      </w:r>
      <w:r w:rsidR="00163629" w:rsidRPr="00FE7190">
        <w:rPr>
          <w:sz w:val="22"/>
        </w:rPr>
        <w:t xml:space="preserve">casemix </w:t>
      </w:r>
      <w:r w:rsidRPr="00FE7190">
        <w:rPr>
          <w:sz w:val="22"/>
        </w:rPr>
        <w:t xml:space="preserve">price data, 2009/10, 2010/11, and 2011/12; </w:t>
      </w:r>
      <w:r w:rsidR="00B91C6F" w:rsidRPr="00FE7190">
        <w:rPr>
          <w:sz w:val="22"/>
        </w:rPr>
        <w:t>price consistency</w:t>
      </w:r>
      <w:r w:rsidRPr="00FE7190">
        <w:rPr>
          <w:sz w:val="22"/>
        </w:rPr>
        <w:t xml:space="preserve"> has been controlled using the one purchase unit price for all years.</w:t>
      </w:r>
    </w:p>
    <w:p w:rsidR="001E0145" w:rsidRDefault="001E0145" w:rsidP="001E0145">
      <w:pPr>
        <w:pStyle w:val="Heading2"/>
      </w:pPr>
      <w:bookmarkStart w:id="13" w:name="_Toc360641392"/>
      <w:bookmarkStart w:id="14" w:name="_Toc360714583"/>
      <w:bookmarkStart w:id="15" w:name="_Toc363122519"/>
      <w:bookmarkStart w:id="16" w:name="_Toc365276876"/>
      <w:r>
        <w:t>New Zealand Health Tracker</w:t>
      </w:r>
      <w:bookmarkEnd w:id="13"/>
      <w:bookmarkEnd w:id="14"/>
      <w:bookmarkEnd w:id="15"/>
      <w:bookmarkEnd w:id="16"/>
    </w:p>
    <w:p w:rsidR="00692C4B" w:rsidRDefault="001E0145" w:rsidP="0060049D">
      <w:pPr>
        <w:spacing w:line="360" w:lineRule="auto"/>
        <w:jc w:val="both"/>
        <w:rPr>
          <w:sz w:val="22"/>
        </w:rPr>
      </w:pPr>
      <w:r w:rsidRPr="00FE7190">
        <w:rPr>
          <w:sz w:val="22"/>
        </w:rPr>
        <w:t>The New Zealand Health Tracker (NZHT) is a health census of resident New Zealanders created through the linkage of data in the Ministry of Health’s national collections and other data sources. It was established and is maintained by the Ministry of Health’s Health and Disability Intelligence</w:t>
      </w:r>
      <w:r w:rsidR="00FD0607" w:rsidRPr="00FE7190">
        <w:rPr>
          <w:sz w:val="22"/>
        </w:rPr>
        <w:t xml:space="preserve"> (HDI)</w:t>
      </w:r>
      <w:r w:rsidRPr="00FE7190">
        <w:rPr>
          <w:sz w:val="22"/>
        </w:rPr>
        <w:t xml:space="preserve"> unit. Many of the prevalence estimates in this report have been sourced from the NZHT using the methods used for the NZBDS. To be included as a prevalent case</w:t>
      </w:r>
      <w:r w:rsidR="00FD0607" w:rsidRPr="00FE7190">
        <w:rPr>
          <w:sz w:val="22"/>
        </w:rPr>
        <w:t>,</w:t>
      </w:r>
      <w:r w:rsidRPr="00FE7190">
        <w:rPr>
          <w:sz w:val="22"/>
        </w:rPr>
        <w:t xml:space="preserve"> a person had to be alive on 30 June of the year stated for the data (in most cases</w:t>
      </w:r>
      <w:r w:rsidR="001418E1">
        <w:rPr>
          <w:sz w:val="22"/>
        </w:rPr>
        <w:t xml:space="preserve"> this is 2008) and must have</w:t>
      </w:r>
      <w:r w:rsidRPr="00FE7190">
        <w:rPr>
          <w:sz w:val="22"/>
        </w:rPr>
        <w:t xml:space="preserve"> been enrolled in a primary health organisation (PHO) at that time or had a contact event in a PHO in that year or a recorded event in the NMDS. This method excludes most people who have emigrated.  A case had to meet the relevant diagnostic criteria outlined in Table </w:t>
      </w:r>
      <w:r w:rsidR="00FD0607" w:rsidRPr="00FE7190">
        <w:rPr>
          <w:sz w:val="22"/>
        </w:rPr>
        <w:t>1</w:t>
      </w:r>
      <w:r w:rsidRPr="00FE7190">
        <w:rPr>
          <w:sz w:val="22"/>
        </w:rPr>
        <w:t>. Both the primary and secondary diagnoses were searched for the relevant ICD-10-AM code in public and private (where available) hospitalisation datasets.</w:t>
      </w:r>
    </w:p>
    <w:p w:rsidR="00A2470D" w:rsidRDefault="00A2470D" w:rsidP="0060049D">
      <w:pPr>
        <w:spacing w:line="360" w:lineRule="auto"/>
        <w:jc w:val="both"/>
        <w:rPr>
          <w:sz w:val="22"/>
        </w:rPr>
      </w:pPr>
    </w:p>
    <w:p w:rsidR="00A2470D" w:rsidRDefault="00A2470D" w:rsidP="0060049D">
      <w:pPr>
        <w:spacing w:line="360" w:lineRule="auto"/>
        <w:jc w:val="both"/>
        <w:rPr>
          <w:sz w:val="22"/>
        </w:rPr>
      </w:pPr>
    </w:p>
    <w:p w:rsidR="00A2470D" w:rsidRDefault="00A2470D" w:rsidP="0060049D">
      <w:pPr>
        <w:spacing w:line="360" w:lineRule="auto"/>
        <w:jc w:val="both"/>
        <w:rPr>
          <w:sz w:val="22"/>
        </w:rPr>
      </w:pPr>
    </w:p>
    <w:p w:rsidR="00A2470D" w:rsidRPr="0060049D" w:rsidRDefault="00A2470D" w:rsidP="0060049D">
      <w:pPr>
        <w:spacing w:line="360" w:lineRule="auto"/>
        <w:jc w:val="both"/>
        <w:rPr>
          <w:sz w:val="22"/>
        </w:rPr>
      </w:pPr>
    </w:p>
    <w:p w:rsidR="001E0145" w:rsidRDefault="001E0145" w:rsidP="00692C4B">
      <w:pPr>
        <w:pStyle w:val="Figure"/>
        <w:spacing w:line="240" w:lineRule="auto"/>
      </w:pPr>
      <w:r>
        <w:t xml:space="preserve">Table </w:t>
      </w:r>
      <w:r w:rsidR="00FD0607">
        <w:t>1</w:t>
      </w:r>
      <w:r>
        <w:t xml:space="preserve">: Diagnostic criteria applied to New Zealand Health Tracker </w:t>
      </w:r>
      <w:r w:rsidR="00692C4B">
        <w:t>-</w:t>
      </w:r>
      <w:r w:rsidR="00365A3A">
        <w:t xml:space="preserve"> </w:t>
      </w:r>
      <w:r w:rsidR="00692C4B">
        <w:t xml:space="preserve">sourced </w:t>
      </w:r>
      <w:r>
        <w:t>prevalence estimates in this report</w:t>
      </w:r>
    </w:p>
    <w:tbl>
      <w:tblPr>
        <w:tblStyle w:val="LightList-Accent3"/>
        <w:tblW w:w="0" w:type="auto"/>
        <w:jc w:val="center"/>
        <w:tblLook w:val="00A0" w:firstRow="1" w:lastRow="0" w:firstColumn="1" w:lastColumn="0" w:noHBand="0" w:noVBand="0"/>
      </w:tblPr>
      <w:tblGrid>
        <w:gridCol w:w="3227"/>
        <w:gridCol w:w="6343"/>
      </w:tblGrid>
      <w:tr w:rsidR="001E0145" w:rsidRPr="00692C4B" w:rsidTr="00692C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vAlign w:val="center"/>
          </w:tcPr>
          <w:p w:rsidR="001E0145" w:rsidRPr="00692C4B" w:rsidRDefault="001E0145" w:rsidP="00692C4B">
            <w:pPr>
              <w:spacing w:before="60" w:after="60"/>
              <w:rPr>
                <w:b w:val="0"/>
                <w:sz w:val="20"/>
                <w:szCs w:val="20"/>
              </w:rPr>
            </w:pPr>
            <w:r w:rsidRPr="00692C4B">
              <w:rPr>
                <w:sz w:val="20"/>
                <w:szCs w:val="20"/>
              </w:rPr>
              <w:t>Condition</w:t>
            </w:r>
          </w:p>
        </w:tc>
        <w:tc>
          <w:tcPr>
            <w:cnfStyle w:val="000010000000" w:firstRow="0" w:lastRow="0" w:firstColumn="0" w:lastColumn="0" w:oddVBand="1" w:evenVBand="0" w:oddHBand="0" w:evenHBand="0" w:firstRowFirstColumn="0" w:firstRowLastColumn="0" w:lastRowFirstColumn="0" w:lastRowLastColumn="0"/>
            <w:tcW w:w="6343" w:type="dxa"/>
            <w:vAlign w:val="center"/>
          </w:tcPr>
          <w:p w:rsidR="001E0145" w:rsidRPr="00692C4B" w:rsidRDefault="001E0145" w:rsidP="00692C4B">
            <w:pPr>
              <w:spacing w:before="60" w:after="60"/>
              <w:rPr>
                <w:b w:val="0"/>
                <w:sz w:val="20"/>
                <w:szCs w:val="20"/>
              </w:rPr>
            </w:pPr>
            <w:r w:rsidRPr="00692C4B">
              <w:rPr>
                <w:sz w:val="20"/>
                <w:szCs w:val="20"/>
              </w:rPr>
              <w:t>ICD-10-AM codes</w:t>
            </w:r>
          </w:p>
        </w:tc>
      </w:tr>
      <w:tr w:rsidR="001E0145" w:rsidRPr="00692C4B" w:rsidTr="00692C4B">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3227" w:type="dxa"/>
          </w:tcPr>
          <w:p w:rsidR="001E0145" w:rsidRPr="00692C4B" w:rsidRDefault="001E0145" w:rsidP="00692C4B">
            <w:pPr>
              <w:spacing w:before="60" w:after="60"/>
              <w:rPr>
                <w:b w:val="0"/>
                <w:sz w:val="20"/>
                <w:szCs w:val="20"/>
              </w:rPr>
            </w:pPr>
            <w:r w:rsidRPr="00692C4B">
              <w:rPr>
                <w:b w:val="0"/>
                <w:sz w:val="20"/>
                <w:szCs w:val="20"/>
              </w:rPr>
              <w:t xml:space="preserve">Rheumatic </w:t>
            </w:r>
            <w:r w:rsidR="0060049D" w:rsidRPr="00692C4B">
              <w:rPr>
                <w:b w:val="0"/>
                <w:sz w:val="20"/>
                <w:szCs w:val="20"/>
              </w:rPr>
              <w:t>H</w:t>
            </w:r>
            <w:r w:rsidRPr="00692C4B">
              <w:rPr>
                <w:b w:val="0"/>
                <w:sz w:val="20"/>
                <w:szCs w:val="20"/>
              </w:rPr>
              <w:t xml:space="preserve">eart </w:t>
            </w:r>
            <w:r w:rsidR="0060049D" w:rsidRPr="00692C4B">
              <w:rPr>
                <w:b w:val="0"/>
                <w:sz w:val="20"/>
                <w:szCs w:val="20"/>
              </w:rPr>
              <w:t>D</w:t>
            </w:r>
            <w:r w:rsidRPr="00692C4B">
              <w:rPr>
                <w:b w:val="0"/>
                <w:sz w:val="20"/>
                <w:szCs w:val="20"/>
              </w:rPr>
              <w:t>isease</w:t>
            </w:r>
          </w:p>
        </w:tc>
        <w:tc>
          <w:tcPr>
            <w:cnfStyle w:val="000010000000" w:firstRow="0" w:lastRow="0" w:firstColumn="0" w:lastColumn="0" w:oddVBand="1" w:evenVBand="0" w:oddHBand="0" w:evenHBand="0" w:firstRowFirstColumn="0" w:firstRowLastColumn="0" w:lastRowFirstColumn="0" w:lastRowLastColumn="0"/>
            <w:tcW w:w="6343" w:type="dxa"/>
          </w:tcPr>
          <w:p w:rsidR="001E0145" w:rsidRPr="00692C4B" w:rsidRDefault="001E0145" w:rsidP="00692C4B">
            <w:pPr>
              <w:spacing w:before="60" w:after="60"/>
              <w:rPr>
                <w:sz w:val="20"/>
                <w:szCs w:val="20"/>
              </w:rPr>
            </w:pPr>
            <w:r w:rsidRPr="00692C4B">
              <w:rPr>
                <w:sz w:val="20"/>
                <w:szCs w:val="20"/>
              </w:rPr>
              <w:t>I00-I02, I05-I07,</w:t>
            </w:r>
            <w:r w:rsidR="00692C4B" w:rsidRPr="00692C4B">
              <w:rPr>
                <w:sz w:val="20"/>
                <w:szCs w:val="20"/>
              </w:rPr>
              <w:t xml:space="preserve"> I08^, </w:t>
            </w:r>
            <w:r w:rsidRPr="00692C4B">
              <w:rPr>
                <w:sz w:val="20"/>
                <w:szCs w:val="20"/>
              </w:rPr>
              <w:t>I09</w:t>
            </w:r>
          </w:p>
        </w:tc>
      </w:tr>
      <w:tr w:rsidR="001E0145" w:rsidRPr="00692C4B" w:rsidTr="00692C4B">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1E0145" w:rsidRPr="00692C4B" w:rsidRDefault="001E0145" w:rsidP="00692C4B">
            <w:pPr>
              <w:spacing w:before="60" w:after="60"/>
              <w:rPr>
                <w:b w:val="0"/>
                <w:sz w:val="20"/>
                <w:szCs w:val="20"/>
              </w:rPr>
            </w:pPr>
            <w:r w:rsidRPr="00692C4B">
              <w:rPr>
                <w:b w:val="0"/>
                <w:sz w:val="20"/>
                <w:szCs w:val="20"/>
              </w:rPr>
              <w:t xml:space="preserve">Non-rheumatic </w:t>
            </w:r>
            <w:r w:rsidR="0060049D" w:rsidRPr="00692C4B">
              <w:rPr>
                <w:b w:val="0"/>
                <w:sz w:val="20"/>
                <w:szCs w:val="20"/>
              </w:rPr>
              <w:t>V</w:t>
            </w:r>
            <w:r w:rsidRPr="00692C4B">
              <w:rPr>
                <w:b w:val="0"/>
                <w:sz w:val="20"/>
                <w:szCs w:val="20"/>
              </w:rPr>
              <w:t xml:space="preserve">alvular </w:t>
            </w:r>
            <w:r w:rsidR="0060049D" w:rsidRPr="00692C4B">
              <w:rPr>
                <w:b w:val="0"/>
                <w:sz w:val="20"/>
                <w:szCs w:val="20"/>
              </w:rPr>
              <w:t>D</w:t>
            </w:r>
            <w:r w:rsidRPr="00692C4B">
              <w:rPr>
                <w:b w:val="0"/>
                <w:sz w:val="20"/>
                <w:szCs w:val="20"/>
              </w:rPr>
              <w:t>isease</w:t>
            </w:r>
          </w:p>
        </w:tc>
        <w:tc>
          <w:tcPr>
            <w:cnfStyle w:val="000010000000" w:firstRow="0" w:lastRow="0" w:firstColumn="0" w:lastColumn="0" w:oddVBand="1" w:evenVBand="0" w:oddHBand="0" w:evenHBand="0" w:firstRowFirstColumn="0" w:firstRowLastColumn="0" w:lastRowFirstColumn="0" w:lastRowLastColumn="0"/>
            <w:tcW w:w="6343" w:type="dxa"/>
          </w:tcPr>
          <w:p w:rsidR="001E0145" w:rsidRPr="00692C4B" w:rsidRDefault="001E0145" w:rsidP="00692C4B">
            <w:pPr>
              <w:spacing w:before="60" w:after="60"/>
              <w:rPr>
                <w:sz w:val="20"/>
                <w:szCs w:val="20"/>
              </w:rPr>
            </w:pPr>
            <w:r w:rsidRPr="00692C4B">
              <w:rPr>
                <w:sz w:val="20"/>
                <w:szCs w:val="20"/>
              </w:rPr>
              <w:t>I34-37</w:t>
            </w:r>
            <w:r w:rsidR="00692C4B" w:rsidRPr="00692C4B">
              <w:rPr>
                <w:sz w:val="20"/>
                <w:szCs w:val="20"/>
              </w:rPr>
              <w:t>, I08^</w:t>
            </w:r>
          </w:p>
        </w:tc>
      </w:tr>
      <w:tr w:rsidR="001E0145" w:rsidRPr="00692C4B" w:rsidTr="00692C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rsidR="001E0145" w:rsidRPr="00692C4B" w:rsidRDefault="001E0145" w:rsidP="00692C4B">
            <w:pPr>
              <w:spacing w:before="60" w:after="60"/>
              <w:rPr>
                <w:b w:val="0"/>
                <w:sz w:val="20"/>
                <w:szCs w:val="20"/>
              </w:rPr>
            </w:pPr>
            <w:r w:rsidRPr="00692C4B">
              <w:rPr>
                <w:b w:val="0"/>
                <w:sz w:val="20"/>
                <w:szCs w:val="20"/>
              </w:rPr>
              <w:t xml:space="preserve">Atrial </w:t>
            </w:r>
            <w:r w:rsidR="0060049D" w:rsidRPr="00692C4B">
              <w:rPr>
                <w:b w:val="0"/>
                <w:sz w:val="20"/>
                <w:szCs w:val="20"/>
              </w:rPr>
              <w:t>F</w:t>
            </w:r>
            <w:r w:rsidRPr="00692C4B">
              <w:rPr>
                <w:b w:val="0"/>
                <w:sz w:val="20"/>
                <w:szCs w:val="20"/>
              </w:rPr>
              <w:t>ibrillation/</w:t>
            </w:r>
            <w:r w:rsidR="0060049D" w:rsidRPr="00692C4B">
              <w:rPr>
                <w:b w:val="0"/>
                <w:sz w:val="20"/>
                <w:szCs w:val="20"/>
              </w:rPr>
              <w:t>F</w:t>
            </w:r>
            <w:r w:rsidRPr="00692C4B">
              <w:rPr>
                <w:b w:val="0"/>
                <w:sz w:val="20"/>
                <w:szCs w:val="20"/>
              </w:rPr>
              <w:t>lutter</w:t>
            </w:r>
          </w:p>
        </w:tc>
        <w:tc>
          <w:tcPr>
            <w:cnfStyle w:val="000010000000" w:firstRow="0" w:lastRow="0" w:firstColumn="0" w:lastColumn="0" w:oddVBand="1" w:evenVBand="0" w:oddHBand="0" w:evenHBand="0" w:firstRowFirstColumn="0" w:firstRowLastColumn="0" w:lastRowFirstColumn="0" w:lastRowLastColumn="0"/>
            <w:tcW w:w="6343" w:type="dxa"/>
          </w:tcPr>
          <w:p w:rsidR="001E0145" w:rsidRPr="00692C4B" w:rsidRDefault="001E0145" w:rsidP="00692C4B">
            <w:pPr>
              <w:spacing w:before="60" w:after="60"/>
              <w:rPr>
                <w:sz w:val="20"/>
                <w:szCs w:val="20"/>
              </w:rPr>
            </w:pPr>
            <w:r w:rsidRPr="00692C4B">
              <w:rPr>
                <w:sz w:val="20"/>
                <w:szCs w:val="20"/>
              </w:rPr>
              <w:t>I48</w:t>
            </w:r>
          </w:p>
        </w:tc>
      </w:tr>
      <w:tr w:rsidR="001E0145" w:rsidRPr="00692C4B" w:rsidTr="00692C4B">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1E0145" w:rsidRPr="00692C4B" w:rsidRDefault="001E0145" w:rsidP="00692C4B">
            <w:pPr>
              <w:spacing w:before="60" w:after="60"/>
              <w:rPr>
                <w:b w:val="0"/>
                <w:sz w:val="20"/>
                <w:szCs w:val="20"/>
              </w:rPr>
            </w:pPr>
            <w:r w:rsidRPr="00692C4B">
              <w:rPr>
                <w:b w:val="0"/>
                <w:sz w:val="20"/>
                <w:szCs w:val="20"/>
              </w:rPr>
              <w:t xml:space="preserve">Inflammatory </w:t>
            </w:r>
            <w:r w:rsidR="0060049D" w:rsidRPr="00692C4B">
              <w:rPr>
                <w:b w:val="0"/>
                <w:sz w:val="20"/>
                <w:szCs w:val="20"/>
              </w:rPr>
              <w:t>H</w:t>
            </w:r>
            <w:r w:rsidRPr="00692C4B">
              <w:rPr>
                <w:b w:val="0"/>
                <w:sz w:val="20"/>
                <w:szCs w:val="20"/>
              </w:rPr>
              <w:t xml:space="preserve">eart </w:t>
            </w:r>
            <w:r w:rsidR="0060049D" w:rsidRPr="00692C4B">
              <w:rPr>
                <w:b w:val="0"/>
                <w:sz w:val="20"/>
                <w:szCs w:val="20"/>
              </w:rPr>
              <w:t>D</w:t>
            </w:r>
            <w:r w:rsidRPr="00692C4B">
              <w:rPr>
                <w:b w:val="0"/>
                <w:sz w:val="20"/>
                <w:szCs w:val="20"/>
              </w:rPr>
              <w:t>isease</w:t>
            </w:r>
          </w:p>
        </w:tc>
        <w:tc>
          <w:tcPr>
            <w:cnfStyle w:val="000010000000" w:firstRow="0" w:lastRow="0" w:firstColumn="0" w:lastColumn="0" w:oddVBand="1" w:evenVBand="0" w:oddHBand="0" w:evenHBand="0" w:firstRowFirstColumn="0" w:firstRowLastColumn="0" w:lastRowFirstColumn="0" w:lastRowLastColumn="0"/>
            <w:tcW w:w="6343" w:type="dxa"/>
          </w:tcPr>
          <w:p w:rsidR="001E0145" w:rsidRPr="00692C4B" w:rsidRDefault="001E0145" w:rsidP="00692C4B">
            <w:pPr>
              <w:spacing w:before="60" w:after="60"/>
              <w:rPr>
                <w:sz w:val="20"/>
                <w:szCs w:val="20"/>
              </w:rPr>
            </w:pPr>
            <w:r w:rsidRPr="00692C4B">
              <w:rPr>
                <w:sz w:val="20"/>
                <w:szCs w:val="20"/>
                <w:lang w:val="da-DK"/>
              </w:rPr>
              <w:t>I33, I38-I39 (endocarditis), I30, I31.0-I31.1, I31.4-I319, I32, I40-I41* (myocarditis and pericarditis)</w:t>
            </w:r>
            <w:r w:rsidR="00692C4B" w:rsidRPr="00692C4B">
              <w:rPr>
                <w:sz w:val="20"/>
                <w:szCs w:val="20"/>
                <w:lang w:val="da-DK"/>
              </w:rPr>
              <w:t xml:space="preserve">. </w:t>
            </w:r>
            <w:r w:rsidRPr="00692C4B">
              <w:rPr>
                <w:sz w:val="20"/>
                <w:szCs w:val="20"/>
              </w:rPr>
              <w:t>(note inclusion of asterisk codes)</w:t>
            </w:r>
          </w:p>
        </w:tc>
      </w:tr>
      <w:tr w:rsidR="001E0145" w:rsidRPr="00692C4B" w:rsidTr="00692C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rsidR="001E0145" w:rsidRPr="00692C4B" w:rsidRDefault="001E0145" w:rsidP="00692C4B">
            <w:pPr>
              <w:spacing w:before="60" w:after="60"/>
              <w:rPr>
                <w:b w:val="0"/>
                <w:sz w:val="20"/>
                <w:szCs w:val="20"/>
              </w:rPr>
            </w:pPr>
            <w:r w:rsidRPr="00692C4B">
              <w:rPr>
                <w:b w:val="0"/>
                <w:sz w:val="20"/>
                <w:szCs w:val="20"/>
              </w:rPr>
              <w:t>Cardiomyopathy</w:t>
            </w:r>
          </w:p>
        </w:tc>
        <w:tc>
          <w:tcPr>
            <w:cnfStyle w:val="000010000000" w:firstRow="0" w:lastRow="0" w:firstColumn="0" w:lastColumn="0" w:oddVBand="1" w:evenVBand="0" w:oddHBand="0" w:evenHBand="0" w:firstRowFirstColumn="0" w:firstRowLastColumn="0" w:lastRowFirstColumn="0" w:lastRowLastColumn="0"/>
            <w:tcW w:w="6343" w:type="dxa"/>
          </w:tcPr>
          <w:p w:rsidR="001E0145" w:rsidRPr="00692C4B" w:rsidRDefault="001E0145" w:rsidP="00692C4B">
            <w:pPr>
              <w:spacing w:before="60" w:after="60"/>
              <w:rPr>
                <w:sz w:val="20"/>
                <w:szCs w:val="20"/>
              </w:rPr>
            </w:pPr>
            <w:r w:rsidRPr="00692C4B">
              <w:rPr>
                <w:sz w:val="20"/>
                <w:szCs w:val="20"/>
              </w:rPr>
              <w:t xml:space="preserve">I42-I43  </w:t>
            </w:r>
          </w:p>
        </w:tc>
      </w:tr>
      <w:tr w:rsidR="001E0145" w:rsidRPr="00692C4B" w:rsidTr="00692C4B">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1E0145" w:rsidRPr="00692C4B" w:rsidRDefault="001E0145" w:rsidP="00692C4B">
            <w:pPr>
              <w:spacing w:before="60" w:after="60"/>
              <w:rPr>
                <w:b w:val="0"/>
                <w:sz w:val="20"/>
                <w:szCs w:val="20"/>
              </w:rPr>
            </w:pPr>
            <w:r w:rsidRPr="00692C4B">
              <w:rPr>
                <w:b w:val="0"/>
                <w:sz w:val="20"/>
                <w:szCs w:val="20"/>
              </w:rPr>
              <w:t>P</w:t>
            </w:r>
            <w:r w:rsidR="00BA2D26" w:rsidRPr="00692C4B">
              <w:rPr>
                <w:b w:val="0"/>
                <w:sz w:val="20"/>
                <w:szCs w:val="20"/>
              </w:rPr>
              <w:t xml:space="preserve">eripheral </w:t>
            </w:r>
            <w:r w:rsidRPr="00692C4B">
              <w:rPr>
                <w:b w:val="0"/>
                <w:sz w:val="20"/>
                <w:szCs w:val="20"/>
              </w:rPr>
              <w:t>V</w:t>
            </w:r>
            <w:r w:rsidR="00BA2D26" w:rsidRPr="00692C4B">
              <w:rPr>
                <w:b w:val="0"/>
                <w:sz w:val="20"/>
                <w:szCs w:val="20"/>
              </w:rPr>
              <w:t xml:space="preserve">ascular </w:t>
            </w:r>
            <w:r w:rsidRPr="00692C4B">
              <w:rPr>
                <w:b w:val="0"/>
                <w:sz w:val="20"/>
                <w:szCs w:val="20"/>
              </w:rPr>
              <w:t>D</w:t>
            </w:r>
            <w:r w:rsidR="00BA2D26" w:rsidRPr="00692C4B">
              <w:rPr>
                <w:b w:val="0"/>
                <w:sz w:val="20"/>
                <w:szCs w:val="20"/>
              </w:rPr>
              <w:t>isease</w:t>
            </w:r>
          </w:p>
        </w:tc>
        <w:tc>
          <w:tcPr>
            <w:cnfStyle w:val="000010000000" w:firstRow="0" w:lastRow="0" w:firstColumn="0" w:lastColumn="0" w:oddVBand="1" w:evenVBand="0" w:oddHBand="0" w:evenHBand="0" w:firstRowFirstColumn="0" w:firstRowLastColumn="0" w:lastRowFirstColumn="0" w:lastRowLastColumn="0"/>
            <w:tcW w:w="6343" w:type="dxa"/>
          </w:tcPr>
          <w:p w:rsidR="001E0145" w:rsidRPr="00692C4B" w:rsidRDefault="001E0145" w:rsidP="00692C4B">
            <w:pPr>
              <w:spacing w:before="60" w:after="60"/>
              <w:rPr>
                <w:sz w:val="20"/>
                <w:szCs w:val="20"/>
              </w:rPr>
            </w:pPr>
            <w:r w:rsidRPr="00692C4B">
              <w:rPr>
                <w:sz w:val="20"/>
                <w:szCs w:val="20"/>
              </w:rPr>
              <w:t xml:space="preserve">I70.2, I72, I73.9, I74 </w:t>
            </w:r>
          </w:p>
        </w:tc>
      </w:tr>
    </w:tbl>
    <w:p w:rsidR="001E0145" w:rsidRPr="00692C4B" w:rsidRDefault="00FD0607" w:rsidP="00365A3A">
      <w:pPr>
        <w:pStyle w:val="Caption"/>
      </w:pPr>
      <w:r w:rsidRPr="00692C4B">
        <w:t>Note:</w:t>
      </w:r>
      <w:r w:rsidR="001E0145" w:rsidRPr="00692C4B">
        <w:t xml:space="preserve"> </w:t>
      </w:r>
      <w:r w:rsidR="006D2D9F" w:rsidRPr="00692C4B">
        <w:t xml:space="preserve">^ </w:t>
      </w:r>
      <w:r w:rsidR="001E0145" w:rsidRPr="00692C4B">
        <w:rPr>
          <w:lang w:val="da-DK"/>
        </w:rPr>
        <w:t>Individuals only identified via the mixed valvular disease code are red</w:t>
      </w:r>
      <w:r w:rsidR="00B66433" w:rsidRPr="00692C4B">
        <w:rPr>
          <w:lang w:val="da-DK"/>
        </w:rPr>
        <w:t>ist</w:t>
      </w:r>
      <w:r w:rsidR="001E0145" w:rsidRPr="00692C4B">
        <w:rPr>
          <w:lang w:val="da-DK"/>
        </w:rPr>
        <w:t>ributed to rheumatic and non-rheumatic categories proportionately.</w:t>
      </w:r>
    </w:p>
    <w:p w:rsidR="00927C7E" w:rsidRDefault="00927C7E" w:rsidP="009F3F4E">
      <w:pPr>
        <w:pStyle w:val="Heading1"/>
      </w:pPr>
      <w:bookmarkStart w:id="17" w:name="_Toc365276877"/>
      <w:r>
        <w:t>Ischaemic Heart Disease (IHD)</w:t>
      </w:r>
      <w:bookmarkEnd w:id="17"/>
    </w:p>
    <w:p w:rsidR="00927C7E" w:rsidRPr="00EA69C7" w:rsidRDefault="00927C7E" w:rsidP="00927C7E">
      <w:pPr>
        <w:pStyle w:val="Heading2"/>
      </w:pPr>
      <w:bookmarkStart w:id="18" w:name="_Toc358124594"/>
      <w:bookmarkStart w:id="19" w:name="_Toc360641394"/>
      <w:bookmarkStart w:id="20" w:name="_Toc360714585"/>
      <w:bookmarkStart w:id="21" w:name="_Toc363122521"/>
      <w:bookmarkStart w:id="22" w:name="_Toc365276878"/>
      <w:r>
        <w:t>Disease Description</w:t>
      </w:r>
      <w:bookmarkEnd w:id="18"/>
      <w:bookmarkEnd w:id="19"/>
      <w:bookmarkEnd w:id="20"/>
      <w:bookmarkEnd w:id="21"/>
      <w:bookmarkEnd w:id="22"/>
    </w:p>
    <w:p w:rsidR="00927C7E" w:rsidRPr="00FE7190" w:rsidRDefault="00927C7E" w:rsidP="0060049D">
      <w:pPr>
        <w:autoSpaceDE w:val="0"/>
        <w:autoSpaceDN w:val="0"/>
        <w:adjustRightInd w:val="0"/>
        <w:spacing w:after="120" w:line="360" w:lineRule="auto"/>
        <w:jc w:val="both"/>
        <w:rPr>
          <w:rFonts w:ascii="Arial Mäori" w:hAnsi="Arial Mäori" w:cs="Arial Mäori"/>
          <w:color w:val="000000"/>
          <w:sz w:val="22"/>
        </w:rPr>
      </w:pPr>
      <w:r w:rsidRPr="00FE7190">
        <w:rPr>
          <w:rFonts w:ascii="Arial Mäori" w:hAnsi="Arial Mäori" w:cs="Arial Mäori"/>
          <w:color w:val="000000"/>
          <w:sz w:val="22"/>
        </w:rPr>
        <w:t xml:space="preserve">Ischaemic heart disease (IHD) is a condition in which there is insufficient blood and oxygen flow to heart muscle (myocardium), as a result of a mismatch between supply and demand.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This is most commonly as a result of coronary artery disease (CAD) due to atherosclerosis (the process of progressive inflammation, lipid deposition and narrowing of medium to large blood vessels) reducing the blood supply to the myocardium.</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 It is more common in males and in </w:t>
      </w:r>
      <w:r w:rsidR="00B91C6F" w:rsidRPr="00FE7190">
        <w:rPr>
          <w:rFonts w:ascii="Arial Mäori" w:hAnsi="Arial Mäori" w:cs="Arial Mäori"/>
          <w:color w:val="000000"/>
          <w:sz w:val="22"/>
        </w:rPr>
        <w:t>Māori</w:t>
      </w:r>
      <w:r w:rsidR="00154557" w:rsidRPr="00FE7190">
        <w:rPr>
          <w:rFonts w:ascii="Arial Mäori" w:hAnsi="Arial Mäori" w:cs="Arial Mäori"/>
          <w:color w:val="000000"/>
          <w:sz w:val="22"/>
        </w:rPr>
        <w:t>.</w:t>
      </w:r>
      <w:r w:rsidRPr="00FE7190">
        <w:rPr>
          <w:rFonts w:ascii="Arial Mäori" w:hAnsi="Arial Mäori" w:cs="Arial Mäori"/>
          <w:color w:val="000000"/>
          <w:sz w:val="22"/>
        </w:rPr>
        <w:t xml:space="preserve"> </w:t>
      </w:r>
      <w:r w:rsidR="00154557" w:rsidRPr="00FE7190">
        <w:rPr>
          <w:rFonts w:ascii="Arial Mäori" w:hAnsi="Arial Mäori" w:cs="Arial Mäori"/>
          <w:color w:val="000000"/>
          <w:sz w:val="22"/>
        </w:rPr>
        <w:t>T</w:t>
      </w:r>
      <w:r w:rsidRPr="00FE7190">
        <w:rPr>
          <w:rFonts w:ascii="Arial Mäori" w:hAnsi="Arial Mäori" w:cs="Arial Mäori"/>
          <w:color w:val="000000"/>
          <w:sz w:val="22"/>
        </w:rPr>
        <w:t>he mortality rate due to IHD has been steadily declining across all subgroups since a peak in the 1960s and 1970s</w:t>
      </w:r>
      <w:r w:rsidR="009874DB">
        <w:rPr>
          <w:rFonts w:ascii="Arial Mäori" w:hAnsi="Arial Mäori" w:cs="Arial Mäori"/>
          <w:color w:val="000000"/>
          <w:sz w:val="22"/>
        </w:rPr>
        <w:t xml:space="preserve"> </w:t>
      </w:r>
      <w:r w:rsidR="008645E4" w:rsidRPr="00FE7190">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&lt;EndNote&gt;&lt;Cite&gt;&lt;Author&gt;Hay&lt;/Author&gt;&lt;Year&gt;2002&lt;/Year&gt;&lt;RecNum&gt;729&lt;/RecNum&gt;&lt;DisplayText&gt;&lt;style face="superscript"&gt;(2)&lt;/style&gt;&lt;/DisplayText&gt;&lt;record&gt;&lt;rec-number&gt;729&lt;/rec-number&gt;&lt;foreign-keys&gt;&lt;key app="EN" db-id="paxef0v91tx5e7eaev8xxf2xd92zvrfrv592"&gt;729&lt;/key&gt;&lt;/foreign-keys&gt;&lt;ref-type name="Book"&gt;6&lt;/ref-type&gt;&lt;contributors&gt;&lt;authors&gt;&lt;author&gt;Hay, David Russell&lt;/author&gt;&lt;/authors&gt;&lt;/contributors&gt;&lt;titles&gt;&lt;title&gt;Cardiovascular disease in New Zealand, 2001: A summary of recent statistical information&lt;/title&gt;&lt;/titles&gt;&lt;dates&gt;&lt;year&gt;2002&lt;/year&gt;&lt;/dates&gt;&lt;publisher&gt;National Heart Foundation of New Zealand&lt;/publisher&gt;&lt;urls&gt;&lt;/urls&gt;&lt;/record&gt;&lt;/Cite&gt;&lt;/EndNote&gt;</w:instrText>
      </w:r>
      <w:r w:rsidR="008645E4" w:rsidRPr="00FE7190">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2" w:tooltip="Hay, 2002 #729" w:history="1">
        <w:r w:rsidR="001418E1" w:rsidRPr="00E96985">
          <w:rPr>
            <w:rFonts w:ascii="Arial Mäori" w:hAnsi="Arial Mäori" w:cs="Arial Mäori"/>
            <w:noProof/>
            <w:color w:val="000000"/>
            <w:sz w:val="22"/>
            <w:vertAlign w:val="superscript"/>
          </w:rPr>
          <w:t>2</w:t>
        </w:r>
      </w:hyperlink>
      <w:r w:rsidR="00E96985" w:rsidRPr="00E96985">
        <w:rPr>
          <w:rFonts w:ascii="Arial Mäori" w:hAnsi="Arial Mäori" w:cs="Arial Mäori"/>
          <w:noProof/>
          <w:color w:val="000000"/>
          <w:sz w:val="22"/>
          <w:vertAlign w:val="superscript"/>
        </w:rPr>
        <w:t>)</w:t>
      </w:r>
      <w:r w:rsidR="008645E4" w:rsidRPr="00FE7190">
        <w:rPr>
          <w:rFonts w:ascii="Arial Mäori" w:hAnsi="Arial Mäori" w:cs="Arial Mäori"/>
          <w:color w:val="000000"/>
          <w:sz w:val="22"/>
        </w:rPr>
        <w:fldChar w:fldCharType="end"/>
      </w:r>
      <w:r w:rsidRPr="00FE7190">
        <w:rPr>
          <w:rFonts w:ascii="Arial Mäori" w:hAnsi="Arial Mäori" w:cs="Arial Mäori"/>
          <w:color w:val="000000"/>
          <w:sz w:val="22"/>
        </w:rPr>
        <w:t xml:space="preserve">. </w:t>
      </w:r>
    </w:p>
    <w:p w:rsidR="00927C7E" w:rsidRPr="00FE7190" w:rsidRDefault="00927C7E" w:rsidP="0060049D">
      <w:pPr>
        <w:autoSpaceDE w:val="0"/>
        <w:autoSpaceDN w:val="0"/>
        <w:adjustRightInd w:val="0"/>
        <w:spacing w:after="120" w:line="360" w:lineRule="auto"/>
        <w:jc w:val="both"/>
        <w:rPr>
          <w:rFonts w:ascii="Arial Mäori" w:hAnsi="Arial Mäori" w:cs="Arial Mäori"/>
          <w:color w:val="000000"/>
          <w:sz w:val="22"/>
        </w:rPr>
      </w:pPr>
      <w:r w:rsidRPr="00FE7190">
        <w:rPr>
          <w:rFonts w:ascii="Arial Mäori" w:hAnsi="Arial Mäori" w:cs="Arial Mäori"/>
          <w:color w:val="000000"/>
          <w:sz w:val="22"/>
        </w:rPr>
        <w:t xml:space="preserve">A number of societal and individual risk factors contribute to the development of IHD, including tobacco smoking, diabetes mellitus, </w:t>
      </w:r>
      <w:r w:rsidR="00154557" w:rsidRPr="00FE7190">
        <w:rPr>
          <w:rFonts w:ascii="Arial Mäori" w:hAnsi="Arial Mäori" w:cs="Arial Mäori"/>
          <w:color w:val="000000"/>
          <w:sz w:val="22"/>
        </w:rPr>
        <w:t>high cholesterol</w:t>
      </w:r>
      <w:r w:rsidRPr="00FE7190">
        <w:rPr>
          <w:rFonts w:ascii="Arial Mäori" w:hAnsi="Arial Mäori" w:cs="Arial Mäori"/>
          <w:color w:val="000000"/>
          <w:sz w:val="22"/>
        </w:rPr>
        <w:t xml:space="preserve">, obesity, hypertension and a family history of IHD.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Sufferers will most often have symptoms resulting from lack of oxygen to the myocardium.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This usually begins with breathlessness, early fatigue and chest discomfort associated </w:t>
      </w:r>
      <w:r w:rsidR="00FD0607" w:rsidRPr="00FE7190">
        <w:rPr>
          <w:rFonts w:ascii="Arial Mäori" w:hAnsi="Arial Mäori" w:cs="Arial Mäori"/>
          <w:color w:val="000000"/>
          <w:sz w:val="22"/>
        </w:rPr>
        <w:t>with exertion (angina pectoris)</w:t>
      </w:r>
      <w:r w:rsidRPr="00FE7190">
        <w:rPr>
          <w:rFonts w:ascii="Arial Mäori" w:hAnsi="Arial Mäori" w:cs="Arial Mäori"/>
          <w:color w:val="000000"/>
          <w:sz w:val="22"/>
        </w:rPr>
        <w:t xml:space="preserve"> but often progresses until these symptoms are present on minimal exertion or at rest.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Occasionally sufferers present with a myocardial infarction (</w:t>
      </w:r>
      <w:r w:rsidR="00163629" w:rsidRPr="00FE7190">
        <w:rPr>
          <w:rFonts w:ascii="Arial Mäori" w:hAnsi="Arial Mäori" w:cs="Arial Mäori"/>
          <w:color w:val="000000"/>
          <w:sz w:val="22"/>
        </w:rPr>
        <w:t>MI</w:t>
      </w:r>
      <w:r w:rsidR="00FD0607" w:rsidRPr="00FE7190">
        <w:rPr>
          <w:rFonts w:ascii="Arial Mäori" w:hAnsi="Arial Mäori" w:cs="Arial Mäori"/>
          <w:color w:val="000000"/>
          <w:sz w:val="22"/>
        </w:rPr>
        <w:t>)</w:t>
      </w:r>
      <w:r w:rsidR="00154557" w:rsidRPr="00FE7190">
        <w:rPr>
          <w:rFonts w:ascii="Arial Mäori" w:hAnsi="Arial Mäori" w:cs="Arial Mäori"/>
          <w:color w:val="000000"/>
          <w:sz w:val="22"/>
        </w:rPr>
        <w:t>, the</w:t>
      </w:r>
      <w:r w:rsidR="0060049D">
        <w:rPr>
          <w:rFonts w:ascii="Arial Mäori" w:hAnsi="Arial Mäori" w:cs="Arial Mäori"/>
          <w:color w:val="000000"/>
          <w:sz w:val="22"/>
        </w:rPr>
        <w:t xml:space="preserve"> </w:t>
      </w:r>
      <w:r w:rsidRPr="00FE7190">
        <w:rPr>
          <w:rFonts w:ascii="Arial Mäori" w:hAnsi="Arial Mäori" w:cs="Arial Mäori"/>
          <w:color w:val="000000"/>
          <w:sz w:val="22"/>
        </w:rPr>
        <w:t>death of myocardium due to lack of oxygen</w:t>
      </w:r>
      <w:r w:rsidR="00154557" w:rsidRPr="00FE7190">
        <w:rPr>
          <w:rFonts w:ascii="Arial Mäori" w:hAnsi="Arial Mäori" w:cs="Arial Mäori"/>
          <w:color w:val="000000"/>
          <w:sz w:val="22"/>
        </w:rPr>
        <w:t>,</w:t>
      </w:r>
      <w:r w:rsidRPr="00FE7190">
        <w:rPr>
          <w:rFonts w:ascii="Arial Mäori" w:hAnsi="Arial Mäori" w:cs="Arial Mäori"/>
          <w:color w:val="000000"/>
          <w:sz w:val="22"/>
        </w:rPr>
        <w:t xml:space="preserve"> which may lead to sudden death.</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 If sufficient </w:t>
      </w:r>
      <w:r w:rsidR="00613127" w:rsidRPr="00FE7190">
        <w:rPr>
          <w:rFonts w:ascii="Arial Mäori" w:hAnsi="Arial Mäori" w:cs="Arial Mäori"/>
          <w:color w:val="000000"/>
          <w:sz w:val="22"/>
        </w:rPr>
        <w:t>cardi</w:t>
      </w:r>
      <w:r w:rsidR="00FD0607" w:rsidRPr="00FE7190">
        <w:rPr>
          <w:rFonts w:ascii="Arial Mäori" w:hAnsi="Arial Mäori" w:cs="Arial Mäori"/>
          <w:color w:val="000000"/>
          <w:sz w:val="22"/>
        </w:rPr>
        <w:t>ac</w:t>
      </w:r>
      <w:r w:rsidRPr="00FE7190">
        <w:rPr>
          <w:rFonts w:ascii="Arial Mäori" w:hAnsi="Arial Mäori" w:cs="Arial Mäori"/>
          <w:color w:val="000000"/>
          <w:sz w:val="22"/>
        </w:rPr>
        <w:t xml:space="preserve"> </w:t>
      </w:r>
      <w:r w:rsidR="001418E1">
        <w:rPr>
          <w:rFonts w:ascii="Arial Mäori" w:hAnsi="Arial Mäori" w:cs="Arial Mäori"/>
          <w:color w:val="000000"/>
          <w:sz w:val="22"/>
        </w:rPr>
        <w:t xml:space="preserve">muscle dies </w:t>
      </w:r>
      <w:r w:rsidRPr="00FE7190">
        <w:rPr>
          <w:rFonts w:ascii="Arial Mäori" w:hAnsi="Arial Mäori" w:cs="Arial Mäori"/>
          <w:color w:val="000000"/>
          <w:sz w:val="22"/>
        </w:rPr>
        <w:t xml:space="preserve">or if there is an accumulation of damage over time, this can lead to heart failure and </w:t>
      </w:r>
      <w:r w:rsidR="00154557" w:rsidRPr="00FE7190">
        <w:rPr>
          <w:rFonts w:ascii="Arial Mäori" w:hAnsi="Arial Mäori" w:cs="Arial Mäori"/>
          <w:color w:val="000000"/>
          <w:sz w:val="22"/>
        </w:rPr>
        <w:t>premature</w:t>
      </w:r>
      <w:r w:rsidRPr="00FE7190">
        <w:rPr>
          <w:rFonts w:ascii="Arial Mäori" w:hAnsi="Arial Mäori" w:cs="Arial Mäori"/>
          <w:color w:val="000000"/>
          <w:sz w:val="22"/>
        </w:rPr>
        <w:t xml:space="preserve"> death.</w:t>
      </w:r>
    </w:p>
    <w:p w:rsidR="00927C7E" w:rsidRPr="00FE7190" w:rsidRDefault="00927C7E" w:rsidP="0060049D">
      <w:pPr>
        <w:autoSpaceDE w:val="0"/>
        <w:autoSpaceDN w:val="0"/>
        <w:adjustRightInd w:val="0"/>
        <w:spacing w:after="120" w:line="360" w:lineRule="auto"/>
        <w:jc w:val="both"/>
        <w:rPr>
          <w:rFonts w:ascii="Arial Mäori" w:hAnsi="Arial Mäori" w:cs="Arial Mäori"/>
          <w:color w:val="000000"/>
          <w:sz w:val="22"/>
        </w:rPr>
      </w:pPr>
      <w:r w:rsidRPr="00FE7190">
        <w:rPr>
          <w:rFonts w:ascii="Arial Mäori" w:hAnsi="Arial Mäori" w:cs="Arial Mäori"/>
          <w:color w:val="000000"/>
          <w:sz w:val="22"/>
        </w:rPr>
        <w:t xml:space="preserve">Prevention of IHD is primarily through public health measures to reduce smoking, encourage exercise, improve diet and modify other risk factors.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This includes targeting individuals at high r</w:t>
      </w:r>
      <w:r w:rsidR="00FD0607" w:rsidRPr="00FE7190">
        <w:rPr>
          <w:rFonts w:ascii="Arial Mäori" w:hAnsi="Arial Mäori" w:cs="Arial Mäori"/>
          <w:color w:val="000000"/>
          <w:sz w:val="22"/>
        </w:rPr>
        <w:t>isk of IHD through primary care</w:t>
      </w:r>
      <w:r w:rsidRPr="00FE7190">
        <w:rPr>
          <w:rFonts w:ascii="Arial Mäori" w:hAnsi="Arial Mäori" w:cs="Arial Mäori"/>
          <w:color w:val="000000"/>
          <w:sz w:val="22"/>
        </w:rPr>
        <w:t xml:space="preserve"> and the use of medication to control hypertension, </w:t>
      </w:r>
      <w:r w:rsidR="00154557" w:rsidRPr="00FE7190">
        <w:rPr>
          <w:rFonts w:ascii="Arial Mäori" w:hAnsi="Arial Mäori" w:cs="Arial Mäori"/>
          <w:color w:val="000000"/>
          <w:sz w:val="22"/>
        </w:rPr>
        <w:t xml:space="preserve">high cholesterol </w:t>
      </w:r>
      <w:r w:rsidRPr="00FE7190">
        <w:rPr>
          <w:rFonts w:ascii="Arial Mäori" w:hAnsi="Arial Mäori" w:cs="Arial Mäori"/>
          <w:color w:val="000000"/>
          <w:sz w:val="22"/>
        </w:rPr>
        <w:t xml:space="preserve">and diabetes mellitus.  These measures seek to prevent, slow or reverse the changes associated with IHD.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Once IHD is established</w:t>
      </w:r>
      <w:r w:rsidR="00FD0607" w:rsidRPr="00FE7190">
        <w:rPr>
          <w:rFonts w:ascii="Arial Mäori" w:hAnsi="Arial Mäori" w:cs="Arial Mäori"/>
          <w:color w:val="000000"/>
          <w:sz w:val="22"/>
        </w:rPr>
        <w:t>,</w:t>
      </w:r>
      <w:r w:rsidRPr="00FE7190">
        <w:rPr>
          <w:rFonts w:ascii="Arial Mäori" w:hAnsi="Arial Mäori" w:cs="Arial Mäori"/>
          <w:color w:val="000000"/>
          <w:sz w:val="22"/>
        </w:rPr>
        <w:t xml:space="preserve"> treatment is aimed at reducing symptoms and complications of </w:t>
      </w:r>
      <w:r w:rsidRPr="00FE7190">
        <w:rPr>
          <w:rFonts w:ascii="Arial Mäori" w:hAnsi="Arial Mäori" w:cs="Arial Mäori"/>
          <w:color w:val="000000"/>
          <w:sz w:val="22"/>
        </w:rPr>
        <w:lastRenderedPageBreak/>
        <w:t>the disease.</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 If coronary artery narrowing becomes severe</w:t>
      </w:r>
      <w:r w:rsidR="00FD0607" w:rsidRPr="00FE7190">
        <w:rPr>
          <w:rFonts w:ascii="Arial Mäori" w:hAnsi="Arial Mäori" w:cs="Arial Mäori"/>
          <w:color w:val="000000"/>
          <w:sz w:val="22"/>
        </w:rPr>
        <w:t>,</w:t>
      </w:r>
      <w:r w:rsidRPr="00FE7190">
        <w:rPr>
          <w:rFonts w:ascii="Arial Mäori" w:hAnsi="Arial Mäori" w:cs="Arial Mäori"/>
          <w:color w:val="000000"/>
          <w:sz w:val="22"/>
        </w:rPr>
        <w:t xml:space="preserve"> an attempt to either re-open or bypass the diseased vessel can be made. </w:t>
      </w:r>
      <w:r w:rsidR="00163629" w:rsidRPr="00FE7190">
        <w:rPr>
          <w:rFonts w:ascii="Arial Mäori" w:hAnsi="Arial Mäori" w:cs="Arial Mäori"/>
          <w:color w:val="000000"/>
          <w:sz w:val="22"/>
        </w:rPr>
        <w:t xml:space="preserve"> </w:t>
      </w:r>
      <w:proofErr w:type="gramStart"/>
      <w:r w:rsidRPr="00FE7190">
        <w:rPr>
          <w:rFonts w:ascii="Arial Mäori" w:hAnsi="Arial Mäori" w:cs="Arial Mäori"/>
          <w:color w:val="000000"/>
          <w:sz w:val="22"/>
        </w:rPr>
        <w:t xml:space="preserve">This </w:t>
      </w:r>
      <w:r w:rsidR="00FD1807" w:rsidRPr="00FE7190">
        <w:rPr>
          <w:rFonts w:ascii="Arial Mäori" w:hAnsi="Arial Mäori" w:cs="Arial Mäori"/>
          <w:color w:val="000000"/>
          <w:sz w:val="22"/>
        </w:rPr>
        <w:t xml:space="preserve">is </w:t>
      </w:r>
      <w:r w:rsidRPr="00FE7190">
        <w:rPr>
          <w:rFonts w:ascii="Arial Mäori" w:hAnsi="Arial Mäori" w:cs="Arial Mäori"/>
          <w:color w:val="000000"/>
          <w:sz w:val="22"/>
        </w:rPr>
        <w:t>done through percutaneous</w:t>
      </w:r>
      <w:r w:rsidR="00154557" w:rsidRPr="00FE7190">
        <w:rPr>
          <w:rFonts w:ascii="Arial Mäori" w:hAnsi="Arial Mäori" w:cs="Arial Mäori"/>
          <w:color w:val="000000"/>
          <w:sz w:val="22"/>
        </w:rPr>
        <w:t xml:space="preserve"> </w:t>
      </w:r>
      <w:r w:rsidRPr="00FE7190">
        <w:rPr>
          <w:rFonts w:ascii="Arial Mäori" w:hAnsi="Arial Mäori" w:cs="Arial Mäori"/>
          <w:color w:val="000000"/>
          <w:sz w:val="22"/>
        </w:rPr>
        <w:t>coronary intervention</w:t>
      </w:r>
      <w:r w:rsidR="00FD0607" w:rsidRPr="00FE7190">
        <w:rPr>
          <w:rFonts w:ascii="Arial Mäori" w:hAnsi="Arial Mäori" w:cs="Arial Mäori"/>
          <w:color w:val="000000"/>
          <w:sz w:val="22"/>
        </w:rPr>
        <w:t xml:space="preserve"> (PCI)</w:t>
      </w:r>
      <w:r w:rsidRPr="00FE7190">
        <w:rPr>
          <w:rFonts w:ascii="Arial Mäori" w:hAnsi="Arial Mäori" w:cs="Arial Mäori"/>
          <w:color w:val="000000"/>
          <w:sz w:val="22"/>
        </w:rPr>
        <w:t xml:space="preserve"> and angioplasty (with or without stenting) or </w:t>
      </w:r>
      <w:r w:rsidR="00163629" w:rsidRPr="00FE7190">
        <w:rPr>
          <w:rFonts w:ascii="Arial Mäori" w:hAnsi="Arial Mäori" w:cs="Arial Mäori"/>
          <w:color w:val="000000"/>
          <w:sz w:val="22"/>
        </w:rPr>
        <w:t xml:space="preserve">by surgical </w:t>
      </w:r>
      <w:r w:rsidRPr="00FE7190">
        <w:rPr>
          <w:rFonts w:ascii="Arial Mäori" w:hAnsi="Arial Mäori" w:cs="Arial Mäori"/>
          <w:color w:val="000000"/>
          <w:sz w:val="22"/>
        </w:rPr>
        <w:t>coronary artery bypass</w:t>
      </w:r>
      <w:proofErr w:type="gramEnd"/>
      <w:r w:rsidRPr="00FE7190">
        <w:rPr>
          <w:rFonts w:ascii="Arial Mäori" w:hAnsi="Arial Mäori" w:cs="Arial Mäori"/>
          <w:color w:val="000000"/>
          <w:sz w:val="22"/>
        </w:rPr>
        <w:t xml:space="preserve"> grafting</w:t>
      </w:r>
      <w:r w:rsidR="00FD0607" w:rsidRPr="00FE7190">
        <w:rPr>
          <w:rFonts w:ascii="Arial Mäori" w:hAnsi="Arial Mäori" w:cs="Arial Mäori"/>
          <w:color w:val="000000"/>
          <w:sz w:val="22"/>
        </w:rPr>
        <w:t xml:space="preserve"> (CABG)</w:t>
      </w:r>
      <w:r w:rsidRPr="00FE7190">
        <w:rPr>
          <w:rFonts w:ascii="Arial Mäori" w:hAnsi="Arial Mäori" w:cs="Arial Mäori"/>
          <w:color w:val="000000"/>
          <w:sz w:val="22"/>
        </w:rPr>
        <w:t xml:space="preserve">. </w:t>
      </w:r>
      <w:r w:rsidR="00163629" w:rsidRPr="00FE7190">
        <w:rPr>
          <w:rFonts w:ascii="Arial Mäori" w:hAnsi="Arial Mäori" w:cs="Arial Mäori"/>
          <w:color w:val="000000"/>
          <w:sz w:val="22"/>
        </w:rPr>
        <w:t xml:space="preserve"> </w:t>
      </w:r>
      <w:r w:rsidR="00FD0607" w:rsidRPr="00FE7190">
        <w:rPr>
          <w:rFonts w:ascii="Arial Mäori" w:hAnsi="Arial Mäori" w:cs="Arial Mäori"/>
          <w:color w:val="000000"/>
          <w:sz w:val="22"/>
        </w:rPr>
        <w:t>Following a</w:t>
      </w:r>
      <w:r w:rsidRPr="00FE7190">
        <w:rPr>
          <w:rFonts w:ascii="Arial Mäori" w:hAnsi="Arial Mäori" w:cs="Arial Mäori"/>
          <w:color w:val="000000"/>
          <w:sz w:val="22"/>
        </w:rPr>
        <w:t xml:space="preserve"> MI</w:t>
      </w:r>
      <w:r w:rsidR="00FD0607" w:rsidRPr="00FE7190">
        <w:rPr>
          <w:rFonts w:ascii="Arial Mäori" w:hAnsi="Arial Mäori" w:cs="Arial Mäori"/>
          <w:color w:val="000000"/>
          <w:sz w:val="22"/>
        </w:rPr>
        <w:t>,</w:t>
      </w:r>
      <w:r w:rsidRPr="00FE7190">
        <w:rPr>
          <w:rFonts w:ascii="Arial Mäori" w:hAnsi="Arial Mäori" w:cs="Arial Mäori"/>
          <w:color w:val="000000"/>
          <w:sz w:val="22"/>
        </w:rPr>
        <w:t xml:space="preserve"> medication is introduced to prevent further MIs and eventual progression to heart failure.</w:t>
      </w:r>
    </w:p>
    <w:p w:rsidR="00927C7E" w:rsidRDefault="009F6B0D" w:rsidP="00927C7E">
      <w:pPr>
        <w:pStyle w:val="Heading2"/>
      </w:pPr>
      <w:bookmarkStart w:id="23" w:name="_Toc360641395"/>
      <w:bookmarkStart w:id="24" w:name="_Toc360714586"/>
      <w:bookmarkStart w:id="25" w:name="_Toc363122522"/>
      <w:bookmarkStart w:id="26" w:name="_Toc365276879"/>
      <w:r>
        <w:t>Prevalence and Incidence</w:t>
      </w:r>
      <w:bookmarkEnd w:id="23"/>
      <w:bookmarkEnd w:id="24"/>
      <w:bookmarkEnd w:id="25"/>
      <w:bookmarkEnd w:id="26"/>
    </w:p>
    <w:p w:rsidR="000533FE" w:rsidRPr="0060049D" w:rsidRDefault="00613127" w:rsidP="0060049D">
      <w:pPr>
        <w:autoSpaceDE w:val="0"/>
        <w:autoSpaceDN w:val="0"/>
        <w:adjustRightInd w:val="0"/>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In 2011/12</w:t>
      </w:r>
      <w:r w:rsidR="000533FE" w:rsidRPr="0060049D">
        <w:rPr>
          <w:rFonts w:ascii="Arial Mäori" w:hAnsi="Arial Mäori" w:cs="Arial Mäori"/>
          <w:color w:val="000000"/>
          <w:sz w:val="22"/>
        </w:rPr>
        <w:t xml:space="preserve"> IHD prevalence was about 5</w:t>
      </w:r>
      <w:r w:rsidR="00E82AE0" w:rsidRPr="0060049D">
        <w:rPr>
          <w:rFonts w:ascii="Arial Mäori" w:hAnsi="Arial Mäori" w:cs="Arial Mäori"/>
          <w:color w:val="000000"/>
          <w:sz w:val="22"/>
        </w:rPr>
        <w:t>.5</w:t>
      </w:r>
      <w:r w:rsidR="000533FE" w:rsidRPr="0060049D">
        <w:rPr>
          <w:rFonts w:ascii="Arial Mäori" w:hAnsi="Arial Mäori" w:cs="Arial Mäori"/>
          <w:color w:val="000000"/>
          <w:sz w:val="22"/>
        </w:rPr>
        <w:t xml:space="preserve">% for New Zealand adults aged over 15 years </w:t>
      </w:r>
      <w:r w:rsidR="000533FE"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&lt;EndNote&gt;&lt;Cite&gt;&lt;Author&gt;Ministry of Health&lt;/Author&gt;&lt;Year&gt;2012&lt;/Year&gt;&lt;RecNum&gt;657&lt;/RecNum&gt;&lt;DisplayText&gt;&lt;style face="superscript"&gt;(3)&lt;/style&gt;&lt;/DisplayText&gt;&lt;record&gt;&lt;rec-number&gt;657&lt;/rec-number&gt;&lt;foreign-keys&gt;&lt;key app="EN" db-id="paxef0v91tx5e7eaev8xxf2xd92zvrfrv592"&gt;657&lt;/key&gt;&lt;/foreign-keys&gt;&lt;ref-type name="Government Document"&gt;46&lt;/ref-type&gt;&lt;contributors&gt;&lt;authors&gt;&lt;author&gt;Ministry of Health,&lt;/author&gt;&lt;/authors&gt;&lt;/contributors&gt;&lt;titles&gt;&lt;title&gt;New Zealand Health Survey 2011/2012&lt;/title&gt;&lt;/titles&gt;&lt;dates&gt;&lt;year&gt;2012&lt;/year&gt;&lt;/dates&gt;&lt;pub-location&gt;Wellington&lt;/pub-location&gt;&lt;publisher&gt;Ministry of Health&lt;/publisher&gt;&lt;urls&gt;&lt;/urls&gt;&lt;/record&gt;&lt;/Cite&gt;&lt;/EndNote&gt;</w:instrText>
      </w:r>
      <w:r w:rsidR="000533FE"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3" w:tooltip="Ministry of Health, 2012 #657" w:history="1">
        <w:r w:rsidR="001418E1" w:rsidRPr="00E96985">
          <w:rPr>
            <w:rFonts w:ascii="Arial Mäori" w:hAnsi="Arial Mäori" w:cs="Arial Mäori"/>
            <w:noProof/>
            <w:color w:val="000000"/>
            <w:sz w:val="22"/>
            <w:vertAlign w:val="superscript"/>
          </w:rPr>
          <w:t>3</w:t>
        </w:r>
      </w:hyperlink>
      <w:r w:rsidR="00E96985" w:rsidRPr="00E96985">
        <w:rPr>
          <w:rFonts w:ascii="Arial Mäori" w:hAnsi="Arial Mäori" w:cs="Arial Mäori"/>
          <w:noProof/>
          <w:color w:val="000000"/>
          <w:sz w:val="22"/>
          <w:vertAlign w:val="superscript"/>
        </w:rPr>
        <w:t>)</w:t>
      </w:r>
      <w:r w:rsidR="000533FE" w:rsidRPr="0060049D">
        <w:rPr>
          <w:rFonts w:ascii="Arial Mäori" w:hAnsi="Arial Mäori" w:cs="Arial Mäori"/>
          <w:color w:val="000000"/>
          <w:sz w:val="22"/>
        </w:rPr>
        <w:fldChar w:fldCharType="end"/>
      </w:r>
      <w:r w:rsidR="000533FE" w:rsidRPr="0060049D">
        <w:rPr>
          <w:rFonts w:ascii="Arial Mäori" w:hAnsi="Arial Mäori" w:cs="Arial Mäori"/>
          <w:color w:val="000000"/>
          <w:sz w:val="22"/>
        </w:rPr>
        <w:t>.  This equated to about 193,000 individuals.</w:t>
      </w:r>
      <w:r w:rsidR="00E82AE0" w:rsidRPr="0060049D">
        <w:rPr>
          <w:rFonts w:ascii="Arial Mäori" w:hAnsi="Arial Mäori" w:cs="Arial Mäori"/>
          <w:color w:val="000000"/>
          <w:sz w:val="22"/>
        </w:rPr>
        <w:t xml:space="preserve">  This rate was virtually unchanged from 2006/07.  Men </w:t>
      </w:r>
      <w:r w:rsidRPr="0060049D">
        <w:rPr>
          <w:rFonts w:ascii="Arial Mäori" w:hAnsi="Arial Mäori" w:cs="Arial Mäori"/>
          <w:color w:val="000000"/>
          <w:sz w:val="22"/>
        </w:rPr>
        <w:t>were more affected</w:t>
      </w:r>
      <w:r w:rsidR="00E82AE0" w:rsidRPr="0060049D">
        <w:rPr>
          <w:rFonts w:ascii="Arial Mäori" w:hAnsi="Arial Mäori" w:cs="Arial Mäori"/>
          <w:color w:val="000000"/>
          <w:sz w:val="22"/>
        </w:rPr>
        <w:t xml:space="preserve"> than women (6.9% versus 4.1%) with prevalence for both groups increasing with age</w:t>
      </w:r>
      <w:r w:rsidR="00FD0607" w:rsidRPr="0060049D">
        <w:rPr>
          <w:rFonts w:ascii="Arial Mäori" w:hAnsi="Arial Mäori" w:cs="Arial Mäori"/>
          <w:color w:val="000000"/>
          <w:sz w:val="22"/>
        </w:rPr>
        <w:t xml:space="preserve"> (Figure 2)</w:t>
      </w:r>
      <w:r w:rsidR="00E82AE0" w:rsidRPr="0060049D">
        <w:rPr>
          <w:rFonts w:ascii="Arial Mäori" w:hAnsi="Arial Mäori" w:cs="Arial Mäori"/>
          <w:color w:val="000000"/>
          <w:sz w:val="22"/>
        </w:rPr>
        <w:t>.  Almost 30% of individuals aged over 75 years ha</w:t>
      </w:r>
      <w:r w:rsidRPr="0060049D">
        <w:rPr>
          <w:rFonts w:ascii="Arial Mäori" w:hAnsi="Arial Mäori" w:cs="Arial Mäori"/>
          <w:color w:val="000000"/>
          <w:sz w:val="22"/>
        </w:rPr>
        <w:t>ve</w:t>
      </w:r>
      <w:r w:rsidR="00E82AE0" w:rsidRPr="0060049D">
        <w:rPr>
          <w:rFonts w:ascii="Arial Mäori" w:hAnsi="Arial Mäori" w:cs="Arial Mäori"/>
          <w:color w:val="000000"/>
          <w:sz w:val="22"/>
        </w:rPr>
        <w:t xml:space="preserve"> been diagnosed with IHD </w:t>
      </w:r>
      <w:r w:rsidR="00E82AE0"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&lt;EndNote&gt;&lt;Cite&gt;&lt;Author&gt;Ministry of Health&lt;/Author&gt;&lt;Year&gt;2012&lt;/Year&gt;&lt;RecNum&gt;657&lt;/RecNum&gt;&lt;DisplayText&gt;&lt;style face="superscript"&gt;(3)&lt;/style&gt;&lt;/DisplayText&gt;&lt;record&gt;&lt;rec-number&gt;657&lt;/rec-number&gt;&lt;foreign-keys&gt;&lt;key app="EN" db-id="paxef0v91tx5e7eaev8xxf2xd92zvrfrv592"&gt;657&lt;/key&gt;&lt;/foreign-keys&gt;&lt;ref-type name="Government Document"&gt;46&lt;/ref-type&gt;&lt;contributors&gt;&lt;authors&gt;&lt;author&gt;Ministry of Health,&lt;/author&gt;&lt;/authors&gt;&lt;/contributors&gt;&lt;titles&gt;&lt;title&gt;New Zealand Health Survey 2011/2012&lt;/title&gt;&lt;/titles&gt;&lt;dates&gt;&lt;year&gt;2012&lt;/year&gt;&lt;/dates&gt;&lt;pub-location&gt;Wellington&lt;/pub-location&gt;&lt;publisher&gt;Ministry of Health&lt;/publisher&gt;&lt;urls&gt;&lt;/urls&gt;&lt;/record&gt;&lt;/Cite&gt;&lt;/EndNote&gt;</w:instrText>
      </w:r>
      <w:r w:rsidR="00E82AE0"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3" w:tooltip="Ministry of Health, 2012 #657" w:history="1">
        <w:r w:rsidR="001418E1" w:rsidRPr="00E96985">
          <w:rPr>
            <w:rFonts w:ascii="Arial Mäori" w:hAnsi="Arial Mäori" w:cs="Arial Mäori"/>
            <w:noProof/>
            <w:color w:val="000000"/>
            <w:sz w:val="22"/>
            <w:vertAlign w:val="superscript"/>
          </w:rPr>
          <w:t>3</w:t>
        </w:r>
      </w:hyperlink>
      <w:r w:rsidR="00E96985" w:rsidRPr="00E96985">
        <w:rPr>
          <w:rFonts w:ascii="Arial Mäori" w:hAnsi="Arial Mäori" w:cs="Arial Mäori"/>
          <w:noProof/>
          <w:color w:val="000000"/>
          <w:sz w:val="22"/>
          <w:vertAlign w:val="superscript"/>
        </w:rPr>
        <w:t>)</w:t>
      </w:r>
      <w:r w:rsidR="00E82AE0" w:rsidRPr="0060049D">
        <w:rPr>
          <w:rFonts w:ascii="Arial Mäori" w:hAnsi="Arial Mäori" w:cs="Arial Mäori"/>
          <w:color w:val="000000"/>
          <w:sz w:val="22"/>
        </w:rPr>
        <w:fldChar w:fldCharType="end"/>
      </w:r>
      <w:r w:rsidR="00E82AE0" w:rsidRPr="0060049D">
        <w:rPr>
          <w:rFonts w:ascii="Arial Mäori" w:hAnsi="Arial Mäori" w:cs="Arial Mäori"/>
          <w:color w:val="000000"/>
          <w:sz w:val="22"/>
        </w:rPr>
        <w:t>.</w:t>
      </w:r>
    </w:p>
    <w:p w:rsidR="00FD0607" w:rsidRDefault="00FD0607" w:rsidP="00FD0607">
      <w:pPr>
        <w:pStyle w:val="Figure"/>
      </w:pPr>
      <w:r>
        <w:t>Figure 2: IHD Prevalence by Age and Gender</w:t>
      </w:r>
    </w:p>
    <w:p w:rsidR="00E82AE0" w:rsidRDefault="00FE7190" w:rsidP="00365A3A">
      <w:pPr>
        <w:pStyle w:val="Caption"/>
      </w:pPr>
      <w:r w:rsidRPr="00B96722">
        <w:rPr>
          <w:noProof/>
          <w:lang w:eastAsia="en-NZ"/>
        </w:rPr>
        <w:drawing>
          <wp:inline distT="0" distB="0" distL="0" distR="0" wp14:anchorId="09C7C1FE" wp14:editId="4F69EFBC">
            <wp:extent cx="5724939" cy="3258301"/>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663" b="5107"/>
                    <a:stretch/>
                  </pic:blipFill>
                  <pic:spPr bwMode="auto">
                    <a:xfrm>
                      <a:off x="0" y="0"/>
                      <a:ext cx="5731510" cy="3262041"/>
                    </a:xfrm>
                    <a:prstGeom prst="rect">
                      <a:avLst/>
                    </a:prstGeom>
                    <a:noFill/>
                    <a:ln>
                      <a:noFill/>
                    </a:ln>
                    <a:extLst>
                      <a:ext uri="{53640926-AAD7-44D8-BBD7-CCE9431645EC}">
                        <a14:shadowObscured xmlns:a14="http://schemas.microsoft.com/office/drawing/2010/main"/>
                      </a:ext>
                    </a:extLst>
                  </pic:spPr>
                </pic:pic>
              </a:graphicData>
            </a:graphic>
          </wp:inline>
        </w:drawing>
      </w:r>
    </w:p>
    <w:p w:rsidR="00FD0607" w:rsidRDefault="00FD0607" w:rsidP="00365A3A">
      <w:pPr>
        <w:pStyle w:val="Caption"/>
      </w:pPr>
      <w:r>
        <w:t xml:space="preserve">Source: </w:t>
      </w:r>
      <w:r w:rsidR="00FE7190">
        <w:t>The Health of New Zealand Adults 2011/12: Key findings of the New Zealand Health Survey</w:t>
      </w:r>
    </w:p>
    <w:p w:rsidR="00E82AE0" w:rsidRPr="0060049D" w:rsidRDefault="00154557" w:rsidP="00A63BA1">
      <w:pPr>
        <w:autoSpaceDE w:val="0"/>
        <w:autoSpaceDN w:val="0"/>
        <w:adjustRightInd w:val="0"/>
        <w:spacing w:before="120" w:after="120" w:line="360" w:lineRule="auto"/>
        <w:jc w:val="both"/>
        <w:rPr>
          <w:rFonts w:ascii="Arial Mäori" w:hAnsi="Arial Mäori" w:cs="Arial Mäori"/>
          <w:color w:val="000000"/>
          <w:sz w:val="22"/>
        </w:rPr>
      </w:pPr>
      <w:r w:rsidRPr="0060049D">
        <w:rPr>
          <w:rFonts w:ascii="Arial Mäori" w:hAnsi="Arial Mäori" w:cs="Arial Mäori"/>
          <w:color w:val="000000"/>
          <w:sz w:val="22"/>
        </w:rPr>
        <w:t>Māori</w:t>
      </w:r>
      <w:r w:rsidR="00E82AE0" w:rsidRPr="0060049D">
        <w:rPr>
          <w:rFonts w:ascii="Arial Mäori" w:hAnsi="Arial Mäori" w:cs="Arial Mäori"/>
          <w:color w:val="000000"/>
          <w:sz w:val="22"/>
        </w:rPr>
        <w:t xml:space="preserve"> </w:t>
      </w:r>
      <w:r w:rsidR="00613127" w:rsidRPr="0060049D">
        <w:rPr>
          <w:rFonts w:ascii="Arial Mäori" w:hAnsi="Arial Mäori" w:cs="Arial Mäori"/>
          <w:color w:val="000000"/>
          <w:sz w:val="22"/>
        </w:rPr>
        <w:t xml:space="preserve">are </w:t>
      </w:r>
      <w:r w:rsidR="00E82AE0" w:rsidRPr="0060049D">
        <w:rPr>
          <w:rFonts w:ascii="Arial Mäori" w:hAnsi="Arial Mäori" w:cs="Arial Mäori"/>
          <w:color w:val="000000"/>
          <w:sz w:val="22"/>
        </w:rPr>
        <w:t>about 1.8 times as likely to have been diagnosed with IHD compared to non-</w:t>
      </w:r>
      <w:r w:rsidRPr="0060049D">
        <w:rPr>
          <w:rFonts w:ascii="Arial Mäori" w:hAnsi="Arial Mäori" w:cs="Arial Mäori"/>
          <w:color w:val="000000"/>
          <w:sz w:val="22"/>
        </w:rPr>
        <w:t>Māori</w:t>
      </w:r>
      <w:r w:rsidR="00E82AE0" w:rsidRPr="0060049D">
        <w:rPr>
          <w:rFonts w:ascii="Arial Mäori" w:hAnsi="Arial Mäori" w:cs="Arial Mäori"/>
          <w:color w:val="000000"/>
          <w:sz w:val="22"/>
        </w:rPr>
        <w:t xml:space="preserve"> adults.  About 2% of Pacific adults ha</w:t>
      </w:r>
      <w:r w:rsidR="00613127" w:rsidRPr="0060049D">
        <w:rPr>
          <w:rFonts w:ascii="Arial Mäori" w:hAnsi="Arial Mäori" w:cs="Arial Mäori"/>
          <w:color w:val="000000"/>
          <w:sz w:val="22"/>
        </w:rPr>
        <w:t>ve</w:t>
      </w:r>
      <w:r w:rsidR="00E82AE0" w:rsidRPr="0060049D">
        <w:rPr>
          <w:rFonts w:ascii="Arial Mäori" w:hAnsi="Arial Mäori" w:cs="Arial Mäori"/>
          <w:color w:val="000000"/>
          <w:sz w:val="22"/>
        </w:rPr>
        <w:t xml:space="preserve"> been diagnosed with IHD as ha</w:t>
      </w:r>
      <w:r w:rsidR="00613127" w:rsidRPr="0060049D">
        <w:rPr>
          <w:rFonts w:ascii="Arial Mäori" w:hAnsi="Arial Mäori" w:cs="Arial Mäori"/>
          <w:color w:val="000000"/>
          <w:sz w:val="22"/>
        </w:rPr>
        <w:t>ve</w:t>
      </w:r>
      <w:r w:rsidR="00E82AE0" w:rsidRPr="0060049D">
        <w:rPr>
          <w:rFonts w:ascii="Arial Mäori" w:hAnsi="Arial Mäori" w:cs="Arial Mäori"/>
          <w:color w:val="000000"/>
          <w:sz w:val="22"/>
        </w:rPr>
        <w:t xml:space="preserve"> 1.7% of Asian adults.  Lastly, people living in more deprived areas </w:t>
      </w:r>
      <w:r w:rsidR="00613127" w:rsidRPr="0060049D">
        <w:rPr>
          <w:rFonts w:ascii="Arial Mäori" w:hAnsi="Arial Mäori" w:cs="Arial Mäori"/>
          <w:color w:val="000000"/>
          <w:sz w:val="22"/>
        </w:rPr>
        <w:t xml:space="preserve">are </w:t>
      </w:r>
      <w:r w:rsidR="00E82AE0" w:rsidRPr="0060049D">
        <w:rPr>
          <w:rFonts w:ascii="Arial Mäori" w:hAnsi="Arial Mäori" w:cs="Arial Mäori"/>
          <w:color w:val="000000"/>
          <w:sz w:val="22"/>
        </w:rPr>
        <w:t>1.9 times as likely to have IHD compared with people from non-deprived areas</w:t>
      </w:r>
      <w:r w:rsidR="00FD0607" w:rsidRPr="0060049D">
        <w:rPr>
          <w:rFonts w:ascii="Arial Mäori" w:hAnsi="Arial Mäori" w:cs="Arial Mäori"/>
          <w:color w:val="000000"/>
          <w:sz w:val="22"/>
        </w:rPr>
        <w:t xml:space="preserve"> (Table 2)</w:t>
      </w:r>
      <w:r w:rsidR="00E82AE0" w:rsidRPr="0060049D">
        <w:rPr>
          <w:rFonts w:ascii="Arial Mäori" w:hAnsi="Arial Mäori" w:cs="Arial Mäori"/>
          <w:color w:val="000000"/>
          <w:sz w:val="22"/>
        </w:rPr>
        <w:t>.</w:t>
      </w:r>
    </w:p>
    <w:p w:rsidR="00FD0607" w:rsidRDefault="00FD0607" w:rsidP="00FD0607">
      <w:pPr>
        <w:pStyle w:val="Figure"/>
      </w:pPr>
      <w:r>
        <w:lastRenderedPageBreak/>
        <w:t>Table 2: Ethnic Adjusted Prevalence Ratios by Gender</w:t>
      </w:r>
    </w:p>
    <w:p w:rsidR="00E82AE0" w:rsidRPr="000533FE" w:rsidRDefault="00E82AE0" w:rsidP="00365A3A">
      <w:pPr>
        <w:pStyle w:val="Caption"/>
      </w:pPr>
      <w:r>
        <w:rPr>
          <w:noProof/>
          <w:lang w:eastAsia="en-NZ"/>
        </w:rPr>
        <w:drawing>
          <wp:inline distT="0" distB="0" distL="0" distR="0" wp14:anchorId="2E1EDD8F" wp14:editId="71267DC1">
            <wp:extent cx="5939790" cy="3038537"/>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3038537"/>
                    </a:xfrm>
                    <a:prstGeom prst="rect">
                      <a:avLst/>
                    </a:prstGeom>
                    <a:noFill/>
                    <a:ln>
                      <a:noFill/>
                    </a:ln>
                  </pic:spPr>
                </pic:pic>
              </a:graphicData>
            </a:graphic>
          </wp:inline>
        </w:drawing>
      </w:r>
      <w:r w:rsidR="00FD0607">
        <w:t xml:space="preserve">Source: </w:t>
      </w:r>
      <w:r w:rsidR="00FE7190">
        <w:t>The Health of New Zealand Adults 2011/12: Key findings of the New Zealand Health Survey</w:t>
      </w:r>
    </w:p>
    <w:p w:rsidR="00927C7E" w:rsidRDefault="00927C7E" w:rsidP="00927C7E">
      <w:pPr>
        <w:pStyle w:val="Heading2"/>
      </w:pPr>
      <w:bookmarkStart w:id="27" w:name="_Toc358124596"/>
      <w:bookmarkStart w:id="28" w:name="_Toc360641396"/>
      <w:bookmarkStart w:id="29" w:name="_Toc360714587"/>
      <w:bookmarkStart w:id="30" w:name="_Toc363122523"/>
      <w:bookmarkStart w:id="31" w:name="_Toc365276880"/>
      <w:r>
        <w:t>Health Outcomes</w:t>
      </w:r>
      <w:bookmarkEnd w:id="27"/>
      <w:bookmarkEnd w:id="28"/>
      <w:bookmarkEnd w:id="29"/>
      <w:bookmarkEnd w:id="30"/>
      <w:bookmarkEnd w:id="31"/>
    </w:p>
    <w:p w:rsidR="003F76B9" w:rsidRPr="0060049D" w:rsidRDefault="003F76B9" w:rsidP="0060049D">
      <w:pPr>
        <w:autoSpaceDE w:val="0"/>
        <w:autoSpaceDN w:val="0"/>
        <w:adjustRightInd w:val="0"/>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IHD cont</w:t>
      </w:r>
      <w:r w:rsidR="002941DA" w:rsidRPr="0060049D">
        <w:rPr>
          <w:rFonts w:ascii="Arial Mäori" w:hAnsi="Arial Mäori" w:cs="Arial Mäori"/>
          <w:color w:val="000000"/>
          <w:sz w:val="22"/>
        </w:rPr>
        <w:t>ributed to 6,027</w:t>
      </w:r>
      <w:r w:rsidR="000533FE" w:rsidRPr="0060049D">
        <w:rPr>
          <w:rFonts w:ascii="Arial Mäori" w:hAnsi="Arial Mäori" w:cs="Arial Mäori"/>
          <w:color w:val="000000"/>
          <w:sz w:val="22"/>
        </w:rPr>
        <w:t xml:space="preserve"> deaths in 2006</w:t>
      </w:r>
      <w:r w:rsidR="002941DA" w:rsidRPr="0060049D">
        <w:rPr>
          <w:rFonts w:ascii="Arial Mäori" w:hAnsi="Arial Mäori" w:cs="Arial Mäori"/>
          <w:color w:val="000000"/>
          <w:sz w:val="22"/>
        </w:rPr>
        <w:t xml:space="preserve"> (57% of all cardi</w:t>
      </w:r>
      <w:r w:rsidR="00613127" w:rsidRPr="0060049D">
        <w:rPr>
          <w:rFonts w:ascii="Arial Mäori" w:hAnsi="Arial Mäori" w:cs="Arial Mäori"/>
          <w:color w:val="000000"/>
          <w:sz w:val="22"/>
        </w:rPr>
        <w:t>ovascular</w:t>
      </w:r>
      <w:r w:rsidR="0060049D">
        <w:rPr>
          <w:rFonts w:ascii="Arial Mäori" w:hAnsi="Arial Mäori" w:cs="Arial Mäori"/>
          <w:color w:val="000000"/>
          <w:sz w:val="22"/>
        </w:rPr>
        <w:t xml:space="preserve"> </w:t>
      </w:r>
      <w:r w:rsidR="002941DA" w:rsidRPr="0060049D">
        <w:rPr>
          <w:rFonts w:ascii="Arial Mäori" w:hAnsi="Arial Mäori" w:cs="Arial Mäori"/>
          <w:color w:val="000000"/>
          <w:sz w:val="22"/>
        </w:rPr>
        <w:t xml:space="preserve">deaths).  </w:t>
      </w:r>
      <w:r w:rsidR="00613127" w:rsidRPr="0060049D">
        <w:rPr>
          <w:rFonts w:ascii="Arial Mäori" w:hAnsi="Arial Mäori" w:cs="Arial Mäori"/>
          <w:color w:val="000000"/>
          <w:sz w:val="22"/>
        </w:rPr>
        <w:t>The</w:t>
      </w:r>
      <w:r w:rsidR="002941DA" w:rsidRPr="0060049D">
        <w:rPr>
          <w:rFonts w:ascii="Arial Mäori" w:hAnsi="Arial Mäori" w:cs="Arial Mäori"/>
          <w:color w:val="000000"/>
          <w:sz w:val="22"/>
        </w:rPr>
        <w:t xml:space="preserve"> over 89,000 </w:t>
      </w:r>
      <w:r w:rsidR="00613127" w:rsidRPr="0060049D">
        <w:rPr>
          <w:rFonts w:ascii="Arial Mäori" w:hAnsi="Arial Mäori" w:cs="Arial Mäori"/>
          <w:color w:val="000000"/>
          <w:sz w:val="22"/>
        </w:rPr>
        <w:t>IHD</w:t>
      </w:r>
      <w:r w:rsidR="00FD0607" w:rsidRPr="0060049D">
        <w:rPr>
          <w:rFonts w:ascii="Arial Mäori" w:hAnsi="Arial Mäori" w:cs="Arial Mäori"/>
          <w:color w:val="000000"/>
          <w:sz w:val="22"/>
        </w:rPr>
        <w:t xml:space="preserve"> DALYs</w:t>
      </w:r>
      <w:r w:rsidR="00613127" w:rsidRPr="0060049D">
        <w:rPr>
          <w:rFonts w:ascii="Arial Mäori" w:hAnsi="Arial Mäori" w:cs="Arial Mäori"/>
          <w:color w:val="000000"/>
          <w:sz w:val="22"/>
        </w:rPr>
        <w:t xml:space="preserve"> </w:t>
      </w:r>
      <w:r w:rsidR="002941DA" w:rsidRPr="0060049D">
        <w:rPr>
          <w:rFonts w:ascii="Arial Mäori" w:hAnsi="Arial Mäori" w:cs="Arial Mäori"/>
          <w:color w:val="000000"/>
          <w:sz w:val="22"/>
        </w:rPr>
        <w:t xml:space="preserve">(56% of total </w:t>
      </w:r>
      <w:r w:rsidR="00613127" w:rsidRPr="0060049D">
        <w:rPr>
          <w:rFonts w:ascii="Arial Mäori" w:hAnsi="Arial Mäori" w:cs="Arial Mäori"/>
          <w:color w:val="000000"/>
          <w:sz w:val="22"/>
        </w:rPr>
        <w:t>cardiovascular</w:t>
      </w:r>
      <w:r w:rsidR="002941DA" w:rsidRPr="0060049D">
        <w:rPr>
          <w:rFonts w:ascii="Arial Mäori" w:hAnsi="Arial Mäori" w:cs="Arial Mäori"/>
          <w:color w:val="000000"/>
          <w:sz w:val="22"/>
        </w:rPr>
        <w:t xml:space="preserve"> DALYs)</w:t>
      </w:r>
      <w:r w:rsidRPr="0060049D">
        <w:rPr>
          <w:rFonts w:ascii="Arial Mäori" w:hAnsi="Arial Mäori" w:cs="Arial Mäori"/>
          <w:color w:val="000000"/>
          <w:sz w:val="22"/>
        </w:rPr>
        <w:t xml:space="preserve"> demonstrated its huge burden on healthy life years lived.  Both deaths and DALY burden increased with age </w:t>
      </w:r>
      <w:r w:rsidR="008B3359" w:rsidRPr="0060049D">
        <w:rPr>
          <w:rFonts w:ascii="Arial Mäori" w:hAnsi="Arial Mäori" w:cs="Arial Mäori"/>
          <w:color w:val="000000"/>
          <w:sz w:val="22"/>
        </w:rPr>
        <w:t xml:space="preserve">with about 75% of DALYs lost in individuals aged over 60 years.  </w:t>
      </w:r>
    </w:p>
    <w:p w:rsidR="00927C7E" w:rsidRDefault="00927C7E" w:rsidP="00927C7E">
      <w:pPr>
        <w:pStyle w:val="Heading2"/>
      </w:pPr>
      <w:bookmarkStart w:id="32" w:name="_Toc358124597"/>
      <w:bookmarkStart w:id="33" w:name="_Toc360641397"/>
      <w:bookmarkStart w:id="34" w:name="_Toc360714588"/>
      <w:bookmarkStart w:id="35" w:name="_Toc363122524"/>
      <w:bookmarkStart w:id="36" w:name="_Toc365276881"/>
      <w:r>
        <w:t>Health Utilisation and Cost</w:t>
      </w:r>
      <w:bookmarkEnd w:id="32"/>
      <w:bookmarkEnd w:id="33"/>
      <w:bookmarkEnd w:id="34"/>
      <w:bookmarkEnd w:id="35"/>
      <w:bookmarkEnd w:id="36"/>
    </w:p>
    <w:p w:rsidR="006A1BFB" w:rsidRPr="0060049D" w:rsidRDefault="00163629" w:rsidP="0060049D">
      <w:pPr>
        <w:autoSpaceDE w:val="0"/>
        <w:autoSpaceDN w:val="0"/>
        <w:adjustRightInd w:val="0"/>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In 2011/12 a</w:t>
      </w:r>
      <w:r w:rsidR="006A1BFB" w:rsidRPr="0060049D">
        <w:rPr>
          <w:rFonts w:ascii="Arial Mäori" w:hAnsi="Arial Mäori" w:cs="Arial Mäori"/>
          <w:color w:val="000000"/>
          <w:sz w:val="22"/>
        </w:rPr>
        <w:t xml:space="preserve">bout $228 million was spent on 30,745 hospitalisations for 21,764 individuals </w:t>
      </w:r>
      <w:r w:rsidR="003566DA" w:rsidRPr="0060049D">
        <w:rPr>
          <w:rFonts w:ascii="Arial Mäori" w:hAnsi="Arial Mäori" w:cs="Arial Mäori"/>
          <w:color w:val="000000"/>
          <w:sz w:val="22"/>
        </w:rPr>
        <w:t xml:space="preserve">with IHD </w:t>
      </w:r>
      <w:r w:rsidR="006A1BFB" w:rsidRPr="0060049D">
        <w:rPr>
          <w:rFonts w:ascii="Arial Mäori" w:hAnsi="Arial Mäori" w:cs="Arial Mäori"/>
          <w:color w:val="000000"/>
          <w:sz w:val="22"/>
        </w:rPr>
        <w:t>(1.4 hospitalisations per person, on average).  Each hospitalised individual cost about $10,500 on average with each hospitalisation lasting an average of 4.4 days.</w:t>
      </w:r>
    </w:p>
    <w:p w:rsidR="00A63BA1" w:rsidRDefault="00A63BA1" w:rsidP="009F3F4E">
      <w:pPr>
        <w:pStyle w:val="Heading1"/>
      </w:pPr>
      <w:bookmarkStart w:id="37" w:name="_Toc365276882"/>
      <w:r>
        <w:t>Stroke</w:t>
      </w:r>
      <w:bookmarkEnd w:id="37"/>
    </w:p>
    <w:p w:rsidR="00A63BA1" w:rsidRDefault="00A63BA1" w:rsidP="00A63BA1">
      <w:pPr>
        <w:pStyle w:val="Heading2"/>
      </w:pPr>
      <w:bookmarkStart w:id="38" w:name="_Toc358124639"/>
      <w:bookmarkStart w:id="39" w:name="_Toc360641439"/>
      <w:bookmarkStart w:id="40" w:name="_Toc360714590"/>
      <w:bookmarkStart w:id="41" w:name="_Toc363122526"/>
      <w:bookmarkStart w:id="42" w:name="_Toc365276883"/>
      <w:r>
        <w:t>Disease Description</w:t>
      </w:r>
      <w:bookmarkEnd w:id="38"/>
      <w:bookmarkEnd w:id="39"/>
      <w:bookmarkEnd w:id="40"/>
      <w:bookmarkEnd w:id="41"/>
      <w:bookmarkEnd w:id="42"/>
    </w:p>
    <w:p w:rsidR="00A63BA1" w:rsidRPr="00164F8C"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Stroke is classed as insufficient blood flow to the brain.  It may occur as the result of an occlusion in a blood vessel (ischaemic stroke) or as the result of a burst brain aneurysm (haemorrhagic).  Stroke symptoms that resolve before significant cell death is a transient ischaemic attack (TIA).  </w:t>
      </w:r>
    </w:p>
    <w:p w:rsidR="00A63BA1" w:rsidRPr="00164F8C"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Risk factors for stroke include high blood cholesterol, hypertension</w:t>
      </w:r>
      <w:r w:rsidR="006D32C0">
        <w:rPr>
          <w:rFonts w:ascii="Arial" w:hAnsi="Arial" w:cs="Arial"/>
          <w:sz w:val="22"/>
        </w:rPr>
        <w:t>, diabetes</w:t>
      </w:r>
      <w:r w:rsidRPr="00164F8C">
        <w:rPr>
          <w:rFonts w:ascii="Arial" w:hAnsi="Arial" w:cs="Arial"/>
          <w:sz w:val="22"/>
        </w:rPr>
        <w:t xml:space="preserve"> and smoking.  Stroke incidence increases with age with individuals aged over 75 years having the greatest risk of stroke.</w:t>
      </w:r>
      <w:r w:rsidR="006D32C0">
        <w:rPr>
          <w:rFonts w:ascii="Arial" w:hAnsi="Arial" w:cs="Arial"/>
          <w:sz w:val="22"/>
        </w:rPr>
        <w:t xml:space="preserve"> </w:t>
      </w:r>
      <w:r w:rsidRPr="00164F8C">
        <w:rPr>
          <w:rFonts w:ascii="Arial" w:hAnsi="Arial" w:cs="Arial"/>
          <w:sz w:val="22"/>
        </w:rPr>
        <w:t xml:space="preserve"> Confirmation of stroke may be with the use of Computed Tomography (CT), MRI, ultrasound or angiography.  Symptoms of stroke may include slurred speech, weakness of the face arms or legs, </w:t>
      </w:r>
      <w:r w:rsidRPr="00164F8C">
        <w:rPr>
          <w:rFonts w:ascii="Arial" w:hAnsi="Arial" w:cs="Arial"/>
          <w:sz w:val="22"/>
        </w:rPr>
        <w:lastRenderedPageBreak/>
        <w:t xml:space="preserve">dizziness and blurred vision.  Treatment may include thrombolysis (clot busting), anti-coagulation medication, such as warfarin or aspirin, and/or surgical intervention </w:t>
      </w:r>
      <w:r w:rsidRPr="00164F8C">
        <w:rPr>
          <w:rFonts w:ascii="Arial" w:hAnsi="Arial" w:cs="Arial"/>
          <w:sz w:val="22"/>
        </w:rPr>
        <w:fldChar w:fldCharType="begin"/>
      </w:r>
      <w:r w:rsidR="00E96985">
        <w:rPr>
          <w:rFonts w:ascii="Arial" w:hAnsi="Arial" w:cs="Arial"/>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164F8C">
        <w:rPr>
          <w:rFonts w:ascii="Arial" w:hAnsi="Arial" w:cs="Arial"/>
          <w:sz w:val="22"/>
        </w:rPr>
        <w:fldChar w:fldCharType="separate"/>
      </w:r>
      <w:r w:rsidR="00E96985" w:rsidRPr="00E96985">
        <w:rPr>
          <w:rFonts w:ascii="Arial" w:hAnsi="Arial" w:cs="Arial"/>
          <w:noProof/>
          <w:sz w:val="22"/>
          <w:vertAlign w:val="superscript"/>
        </w:rPr>
        <w:t>(</w:t>
      </w:r>
      <w:hyperlink w:anchor="_ENREF_4" w:tooltip="Fauci, 2008 #678" w:history="1">
        <w:r w:rsidR="001418E1" w:rsidRPr="00E96985">
          <w:rPr>
            <w:rFonts w:ascii="Arial" w:hAnsi="Arial" w:cs="Arial"/>
            <w:noProof/>
            <w:sz w:val="22"/>
            <w:vertAlign w:val="superscript"/>
          </w:rPr>
          <w:t>4</w:t>
        </w:r>
      </w:hyperlink>
      <w:r w:rsidR="00E96985" w:rsidRPr="00E96985">
        <w:rPr>
          <w:rFonts w:ascii="Arial" w:hAnsi="Arial" w:cs="Arial"/>
          <w:noProof/>
          <w:sz w:val="22"/>
          <w:vertAlign w:val="superscript"/>
        </w:rPr>
        <w:t>)</w:t>
      </w:r>
      <w:r w:rsidRPr="00164F8C">
        <w:rPr>
          <w:rFonts w:ascii="Arial" w:hAnsi="Arial" w:cs="Arial"/>
          <w:sz w:val="22"/>
        </w:rPr>
        <w:fldChar w:fldCharType="end"/>
      </w:r>
      <w:r w:rsidRPr="00164F8C">
        <w:rPr>
          <w:rFonts w:ascii="Arial" w:hAnsi="Arial" w:cs="Arial"/>
          <w:sz w:val="22"/>
        </w:rPr>
        <w:t xml:space="preserve">.    </w:t>
      </w:r>
    </w:p>
    <w:p w:rsidR="00A63BA1" w:rsidRDefault="00A63BA1" w:rsidP="00A63BA1">
      <w:pPr>
        <w:pStyle w:val="Heading2"/>
      </w:pPr>
      <w:bookmarkStart w:id="43" w:name="_Toc360641440"/>
      <w:bookmarkStart w:id="44" w:name="_Toc360714591"/>
      <w:bookmarkStart w:id="45" w:name="_Toc363122527"/>
      <w:bookmarkStart w:id="46" w:name="_Toc365276884"/>
      <w:r>
        <w:t>Prevalence and Incidence</w:t>
      </w:r>
      <w:bookmarkEnd w:id="43"/>
      <w:bookmarkEnd w:id="44"/>
      <w:bookmarkEnd w:id="45"/>
      <w:bookmarkEnd w:id="46"/>
    </w:p>
    <w:p w:rsidR="00A63BA1" w:rsidRPr="00164F8C" w:rsidRDefault="0004432E" w:rsidP="00A63BA1">
      <w:pPr>
        <w:pStyle w:val="contentbody"/>
        <w:spacing w:before="0" w:beforeAutospacing="0" w:after="120" w:afterAutospacing="0" w:line="360" w:lineRule="auto"/>
        <w:jc w:val="both"/>
        <w:rPr>
          <w:rFonts w:ascii="Arial" w:hAnsi="Arial" w:cs="Arial"/>
          <w:sz w:val="22"/>
        </w:rPr>
      </w:pPr>
      <w:r>
        <w:rPr>
          <w:rFonts w:ascii="Arial" w:hAnsi="Arial" w:cs="Arial"/>
          <w:sz w:val="22"/>
        </w:rPr>
        <w:t>In 2011/12, a</w:t>
      </w:r>
      <w:r w:rsidR="00A63BA1" w:rsidRPr="00164F8C">
        <w:rPr>
          <w:rFonts w:ascii="Arial" w:hAnsi="Arial" w:cs="Arial"/>
          <w:sz w:val="22"/>
        </w:rPr>
        <w:t xml:space="preserve">bout 1.8% of adults or 62,000 individuals </w:t>
      </w:r>
      <w:r>
        <w:rPr>
          <w:rFonts w:ascii="Arial" w:hAnsi="Arial" w:cs="Arial"/>
          <w:sz w:val="22"/>
        </w:rPr>
        <w:t>had ever experienced</w:t>
      </w:r>
      <w:r w:rsidR="00A63BA1" w:rsidRPr="00164F8C">
        <w:rPr>
          <w:rFonts w:ascii="Arial" w:hAnsi="Arial" w:cs="Arial"/>
          <w:sz w:val="22"/>
        </w:rPr>
        <w:t xml:space="preserve"> a stroke</w:t>
      </w:r>
      <w:r>
        <w:rPr>
          <w:rFonts w:ascii="Arial" w:hAnsi="Arial" w:cs="Arial"/>
          <w:sz w:val="22"/>
        </w:rPr>
        <w:t xml:space="preserve"> at some point during their lives</w:t>
      </w:r>
      <w:r w:rsidR="00A63BA1" w:rsidRPr="00164F8C">
        <w:rPr>
          <w:rFonts w:ascii="Arial" w:hAnsi="Arial" w:cs="Arial"/>
          <w:sz w:val="22"/>
        </w:rPr>
        <w:t xml:space="preserve">.  The rate for men and women is about the same (1.9% versus 1.7%) and the proportion of individuals who have ever had a stroke has not changed since 2006/07 </w:t>
      </w:r>
      <w:r w:rsidR="00A63BA1" w:rsidRPr="00164F8C">
        <w:rPr>
          <w:rFonts w:ascii="Arial" w:hAnsi="Arial" w:cs="Arial"/>
          <w:sz w:val="22"/>
        </w:rPr>
        <w:fldChar w:fldCharType="begin"/>
      </w:r>
      <w:r w:rsidR="00E96985">
        <w:rPr>
          <w:rFonts w:ascii="Arial" w:hAnsi="Arial" w:cs="Arial"/>
          <w:sz w:val="22"/>
        </w:rPr>
        <w:instrText xml:space="preserve"> ADDIN EN.CITE &lt;EndNote&gt;&lt;Cite&gt;&lt;Author&gt;Ministry of Health&lt;/Author&gt;&lt;Year&gt;2012&lt;/Year&gt;&lt;RecNum&gt;657&lt;/RecNum&gt;&lt;DisplayText&gt;&lt;style face="superscript"&gt;(3)&lt;/style&gt;&lt;/DisplayText&gt;&lt;record&gt;&lt;rec-number&gt;657&lt;/rec-number&gt;&lt;foreign-keys&gt;&lt;key app="EN" db-id="paxef0v91tx5e7eaev8xxf2xd92zvrfrv592"&gt;657&lt;/key&gt;&lt;/foreign-keys&gt;&lt;ref-type name="Government Document"&gt;46&lt;/ref-type&gt;&lt;contributors&gt;&lt;authors&gt;&lt;author&gt;Ministry of Health,&lt;/author&gt;&lt;/authors&gt;&lt;/contributors&gt;&lt;titles&gt;&lt;title&gt;New Zealand Health Survey 2011/2012&lt;/title&gt;&lt;/titles&gt;&lt;dates&gt;&lt;year&gt;2012&lt;/year&gt;&lt;/dates&gt;&lt;pub-location&gt;Wellington&lt;/pub-location&gt;&lt;publisher&gt;Ministry of Health&lt;/publisher&gt;&lt;urls&gt;&lt;/urls&gt;&lt;/record&gt;&lt;/Cite&gt;&lt;/EndNote&gt;</w:instrText>
      </w:r>
      <w:r w:rsidR="00A63BA1" w:rsidRPr="00164F8C">
        <w:rPr>
          <w:rFonts w:ascii="Arial" w:hAnsi="Arial" w:cs="Arial"/>
          <w:sz w:val="22"/>
        </w:rPr>
        <w:fldChar w:fldCharType="separate"/>
      </w:r>
      <w:r w:rsidR="00E96985" w:rsidRPr="00E96985">
        <w:rPr>
          <w:rFonts w:ascii="Arial" w:hAnsi="Arial" w:cs="Arial"/>
          <w:noProof/>
          <w:sz w:val="22"/>
          <w:vertAlign w:val="superscript"/>
        </w:rPr>
        <w:t>(</w:t>
      </w:r>
      <w:hyperlink w:anchor="_ENREF_3" w:tooltip="Ministry of Health, 2012 #657" w:history="1">
        <w:r w:rsidR="001418E1" w:rsidRPr="00E96985">
          <w:rPr>
            <w:rFonts w:ascii="Arial" w:hAnsi="Arial" w:cs="Arial"/>
            <w:noProof/>
            <w:sz w:val="22"/>
            <w:vertAlign w:val="superscript"/>
          </w:rPr>
          <w:t>3</w:t>
        </w:r>
      </w:hyperlink>
      <w:r w:rsidR="00E96985" w:rsidRPr="00E96985">
        <w:rPr>
          <w:rFonts w:ascii="Arial" w:hAnsi="Arial" w:cs="Arial"/>
          <w:noProof/>
          <w:sz w:val="22"/>
          <w:vertAlign w:val="superscript"/>
        </w:rPr>
        <w:t>)</w:t>
      </w:r>
      <w:r w:rsidR="00A63BA1" w:rsidRPr="00164F8C">
        <w:rPr>
          <w:rFonts w:ascii="Arial" w:hAnsi="Arial" w:cs="Arial"/>
          <w:sz w:val="22"/>
        </w:rPr>
        <w:fldChar w:fldCharType="end"/>
      </w:r>
      <w:r w:rsidR="00A63BA1" w:rsidRPr="00164F8C">
        <w:rPr>
          <w:rFonts w:ascii="Arial" w:hAnsi="Arial" w:cs="Arial"/>
          <w:sz w:val="22"/>
        </w:rPr>
        <w:t>.  Stroke risk increases with age; 8.0% of individuals over the age of 75 years have had a stroke, the hi</w:t>
      </w:r>
      <w:r w:rsidR="0010588B">
        <w:rPr>
          <w:rFonts w:ascii="Arial" w:hAnsi="Arial" w:cs="Arial"/>
          <w:sz w:val="22"/>
        </w:rPr>
        <w:t>ghest of any age group (Figure 3</w:t>
      </w:r>
      <w:r w:rsidR="00A63BA1" w:rsidRPr="00164F8C">
        <w:rPr>
          <w:rFonts w:ascii="Arial" w:hAnsi="Arial" w:cs="Arial"/>
          <w:sz w:val="22"/>
        </w:rPr>
        <w:t xml:space="preserve">).  </w:t>
      </w:r>
    </w:p>
    <w:p w:rsidR="00A63BA1" w:rsidRDefault="0010588B" w:rsidP="00A63BA1">
      <w:pPr>
        <w:pStyle w:val="Figure"/>
      </w:pPr>
      <w:r>
        <w:t>Figure 3</w:t>
      </w:r>
      <w:r w:rsidR="00A63BA1">
        <w:t>: Stroke Prevalence by Age and Gender</w:t>
      </w:r>
    </w:p>
    <w:p w:rsidR="00A63BA1" w:rsidRDefault="00A63BA1" w:rsidP="00A63BA1">
      <w:pPr>
        <w:jc w:val="center"/>
      </w:pPr>
      <w:r w:rsidRPr="00BE2885">
        <w:rPr>
          <w:noProof/>
          <w:lang w:eastAsia="en-NZ"/>
        </w:rPr>
        <w:drawing>
          <wp:inline distT="0" distB="0" distL="0" distR="0" wp14:anchorId="6CB347E7" wp14:editId="34DA4D3F">
            <wp:extent cx="5211087" cy="3485071"/>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447" r="12404" b="2766"/>
                    <a:stretch/>
                  </pic:blipFill>
                  <pic:spPr bwMode="auto">
                    <a:xfrm>
                      <a:off x="0" y="0"/>
                      <a:ext cx="5225062" cy="3494417"/>
                    </a:xfrm>
                    <a:prstGeom prst="rect">
                      <a:avLst/>
                    </a:prstGeom>
                    <a:noFill/>
                    <a:ln>
                      <a:noFill/>
                    </a:ln>
                    <a:extLst>
                      <a:ext uri="{53640926-AAD7-44D8-BBD7-CCE9431645EC}">
                        <a14:shadowObscured xmlns:a14="http://schemas.microsoft.com/office/drawing/2010/main"/>
                      </a:ext>
                    </a:extLst>
                  </pic:spPr>
                </pic:pic>
              </a:graphicData>
            </a:graphic>
          </wp:inline>
        </w:drawing>
      </w:r>
    </w:p>
    <w:p w:rsidR="00A63BA1" w:rsidRDefault="00A63BA1" w:rsidP="00365A3A">
      <w:pPr>
        <w:pStyle w:val="Caption"/>
      </w:pPr>
      <w:r>
        <w:t>Source: The Health of New Zealand Adults 2011/12: Key findings of the New Zealand Health Survey</w:t>
      </w:r>
    </w:p>
    <w:p w:rsidR="00A63BA1" w:rsidRPr="00164F8C" w:rsidRDefault="00A63BA1" w:rsidP="00A63BA1">
      <w:pPr>
        <w:pStyle w:val="contentbody"/>
        <w:spacing w:before="120" w:beforeAutospacing="0" w:after="120" w:afterAutospacing="0" w:line="360" w:lineRule="auto"/>
        <w:jc w:val="both"/>
        <w:rPr>
          <w:rFonts w:ascii="Arial" w:hAnsi="Arial" w:cs="Arial"/>
          <w:sz w:val="22"/>
        </w:rPr>
      </w:pPr>
      <w:r w:rsidRPr="00164F8C">
        <w:rPr>
          <w:rFonts w:ascii="Arial" w:hAnsi="Arial" w:cs="Arial"/>
          <w:sz w:val="22"/>
        </w:rPr>
        <w:t>Māori individuals were 1.3 times as likely to have a stroke versus non-Māori individuals when adjusted for age and sex.  Māori women had the highest discrepancy with their non-Māori counterparts as they were 2.3 times as likely as non-Māori women to have ever experienced a stroke.  No significant differences existed for Pacific and Asian populations compar</w:t>
      </w:r>
      <w:r w:rsidR="0010588B">
        <w:rPr>
          <w:rFonts w:ascii="Arial" w:hAnsi="Arial" w:cs="Arial"/>
          <w:sz w:val="22"/>
        </w:rPr>
        <w:t>ed to other populations (Table 3</w:t>
      </w:r>
      <w:r w:rsidRPr="00164F8C">
        <w:rPr>
          <w:rFonts w:ascii="Arial" w:hAnsi="Arial" w:cs="Arial"/>
          <w:sz w:val="22"/>
        </w:rPr>
        <w:t>).</w:t>
      </w:r>
    </w:p>
    <w:p w:rsidR="00A63BA1" w:rsidRDefault="0010588B" w:rsidP="00A63BA1">
      <w:pPr>
        <w:pStyle w:val="Figure"/>
      </w:pPr>
      <w:r>
        <w:lastRenderedPageBreak/>
        <w:t>Table 3</w:t>
      </w:r>
      <w:r w:rsidR="00A63BA1">
        <w:t>: Ethnic Standardised Prevalence by Gender</w:t>
      </w:r>
    </w:p>
    <w:p w:rsidR="00A63BA1" w:rsidRDefault="00A63BA1" w:rsidP="00A63BA1">
      <w:pPr>
        <w:jc w:val="center"/>
      </w:pPr>
      <w:r>
        <w:rPr>
          <w:noProof/>
          <w:lang w:eastAsia="en-NZ"/>
        </w:rPr>
        <w:drawing>
          <wp:inline distT="0" distB="0" distL="0" distR="0" wp14:anchorId="35D24C1E" wp14:editId="5FBEF9C2">
            <wp:extent cx="5730394" cy="289731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673" cy="2898467"/>
                    </a:xfrm>
                    <a:prstGeom prst="rect">
                      <a:avLst/>
                    </a:prstGeom>
                    <a:noFill/>
                    <a:ln>
                      <a:noFill/>
                    </a:ln>
                  </pic:spPr>
                </pic:pic>
              </a:graphicData>
            </a:graphic>
          </wp:inline>
        </w:drawing>
      </w:r>
    </w:p>
    <w:p w:rsidR="00A63BA1" w:rsidRDefault="00A63BA1" w:rsidP="00365A3A">
      <w:pPr>
        <w:pStyle w:val="Caption"/>
      </w:pPr>
      <w:r>
        <w:t>Source: The Health of New Zealand Adults 2011/12: Key findings of the New Zealand Health Survey</w:t>
      </w:r>
    </w:p>
    <w:p w:rsidR="00A63BA1" w:rsidRPr="00164F8C"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Individuals from an area of high deprivation were more likely to have</w:t>
      </w:r>
      <w:r w:rsidR="001418E1">
        <w:rPr>
          <w:rFonts w:ascii="Arial" w:hAnsi="Arial" w:cs="Arial"/>
          <w:sz w:val="22"/>
        </w:rPr>
        <w:t xml:space="preserve"> had</w:t>
      </w:r>
      <w:r w:rsidRPr="00164F8C">
        <w:rPr>
          <w:rFonts w:ascii="Arial" w:hAnsi="Arial" w:cs="Arial"/>
          <w:sz w:val="22"/>
        </w:rPr>
        <w:t xml:space="preserve"> a stroke than individuals from an area of low deprivation</w:t>
      </w:r>
      <w:r>
        <w:rPr>
          <w:rFonts w:ascii="Arial" w:hAnsi="Arial" w:cs="Arial"/>
          <w:sz w:val="22"/>
        </w:rPr>
        <w:t xml:space="preserve"> </w:t>
      </w:r>
      <w:r w:rsidRPr="00164F8C">
        <w:rPr>
          <w:rFonts w:ascii="Arial" w:hAnsi="Arial" w:cs="Arial"/>
          <w:sz w:val="22"/>
        </w:rPr>
        <w:t>(2.7% versus 1.1%).  Women from an area of high deprivation were over 4 times more likely than women from more affluent areas to experience a stroke when adjusted for age, sex and ethnicity; no such differences existed fo</w:t>
      </w:r>
      <w:r w:rsidR="0010588B">
        <w:rPr>
          <w:rFonts w:ascii="Arial" w:hAnsi="Arial" w:cs="Arial"/>
          <w:sz w:val="22"/>
        </w:rPr>
        <w:t>r men by neighbourhood (Figure 4</w:t>
      </w:r>
      <w:r w:rsidRPr="00164F8C">
        <w:rPr>
          <w:rFonts w:ascii="Arial" w:hAnsi="Arial" w:cs="Arial"/>
          <w:sz w:val="22"/>
        </w:rPr>
        <w:t>).</w:t>
      </w:r>
    </w:p>
    <w:p w:rsidR="00A63BA1" w:rsidRDefault="0010588B" w:rsidP="00A63BA1">
      <w:pPr>
        <w:pStyle w:val="Figure"/>
      </w:pPr>
      <w:r>
        <w:t>Figure 4</w:t>
      </w:r>
      <w:r w:rsidR="00A63BA1">
        <w:t>: Stroke Prevalence by Gender and Deprivation Quintile</w:t>
      </w:r>
    </w:p>
    <w:p w:rsidR="00A63BA1" w:rsidRDefault="00A63BA1" w:rsidP="00365A3A">
      <w:pPr>
        <w:pStyle w:val="Caption"/>
      </w:pPr>
      <w:bookmarkStart w:id="47" w:name="_Toc358124641"/>
      <w:r w:rsidRPr="00BE2885">
        <w:rPr>
          <w:noProof/>
          <w:lang w:eastAsia="en-NZ"/>
        </w:rPr>
        <w:drawing>
          <wp:inline distT="0" distB="0" distL="0" distR="0" wp14:anchorId="3C805FAB" wp14:editId="23E2F4F2">
            <wp:extent cx="5724939" cy="3083488"/>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961" b="11488"/>
                    <a:stretch/>
                  </pic:blipFill>
                  <pic:spPr bwMode="auto">
                    <a:xfrm>
                      <a:off x="0" y="0"/>
                      <a:ext cx="5731510" cy="3087027"/>
                    </a:xfrm>
                    <a:prstGeom prst="rect">
                      <a:avLst/>
                    </a:prstGeom>
                    <a:noFill/>
                    <a:ln>
                      <a:noFill/>
                    </a:ln>
                    <a:extLst>
                      <a:ext uri="{53640926-AAD7-44D8-BBD7-CCE9431645EC}">
                        <a14:shadowObscured xmlns:a14="http://schemas.microsoft.com/office/drawing/2010/main"/>
                      </a:ext>
                    </a:extLst>
                  </pic:spPr>
                </pic:pic>
              </a:graphicData>
            </a:graphic>
          </wp:inline>
        </w:drawing>
      </w:r>
    </w:p>
    <w:p w:rsidR="00A63BA1" w:rsidRDefault="00A63BA1" w:rsidP="00365A3A">
      <w:pPr>
        <w:pStyle w:val="Caption"/>
      </w:pPr>
      <w:r>
        <w:t>Source: The Health of New Zealand Adults 2011/12: Key findings of the New Zealand Health Survey</w:t>
      </w:r>
    </w:p>
    <w:p w:rsidR="00693088" w:rsidRDefault="00693088" w:rsidP="00693088">
      <w:bookmarkStart w:id="48" w:name="_Toc360641441"/>
      <w:bookmarkStart w:id="49" w:name="_Toc360714592"/>
      <w:bookmarkStart w:id="50" w:name="_Toc363122528"/>
      <w:bookmarkStart w:id="51" w:name="_Toc365276885"/>
    </w:p>
    <w:p w:rsidR="00693088" w:rsidRPr="001418E1" w:rsidRDefault="00A9766A" w:rsidP="001418E1">
      <w:pPr>
        <w:pStyle w:val="contentbody"/>
        <w:spacing w:before="0" w:beforeAutospacing="0" w:after="120" w:afterAutospacing="0" w:line="360" w:lineRule="auto"/>
        <w:jc w:val="both"/>
        <w:rPr>
          <w:rFonts w:ascii="Arial" w:hAnsi="Arial" w:cs="Arial"/>
          <w:sz w:val="22"/>
        </w:rPr>
      </w:pPr>
      <w:r w:rsidRPr="001418E1">
        <w:rPr>
          <w:rFonts w:ascii="Arial" w:hAnsi="Arial" w:cs="Arial"/>
          <w:sz w:val="22"/>
        </w:rPr>
        <w:lastRenderedPageBreak/>
        <w:t>In terms of stroke type, ischaemic stroke accounted for 73% of all strokes in Auckland’s New Zealand/European population, primary intra</w:t>
      </w:r>
      <w:r w:rsidR="001418E1">
        <w:rPr>
          <w:rFonts w:ascii="Arial" w:hAnsi="Arial" w:cs="Arial"/>
          <w:sz w:val="22"/>
        </w:rPr>
        <w:t>-</w:t>
      </w:r>
      <w:r w:rsidRPr="001418E1">
        <w:rPr>
          <w:rFonts w:ascii="Arial" w:hAnsi="Arial" w:cs="Arial"/>
          <w:sz w:val="22"/>
        </w:rPr>
        <w:t>cerebral haemorrhage (PICH) accounted for 11% and subarachnoid haemorrhage 6%</w:t>
      </w:r>
      <w:r w:rsidR="00F4616D" w:rsidRPr="001418E1">
        <w:rPr>
          <w:rFonts w:ascii="Arial" w:hAnsi="Arial" w:cs="Arial"/>
          <w:sz w:val="22"/>
        </w:rPr>
        <w:t xml:space="preserve"> </w:t>
      </w:r>
      <w:r w:rsidR="00F4616D" w:rsidRPr="001418E1">
        <w:rPr>
          <w:rFonts w:ascii="Arial" w:hAnsi="Arial" w:cs="Arial"/>
          <w:sz w:val="22"/>
          <w:vertAlign w:val="superscript"/>
        </w:rPr>
        <w:fldChar w:fldCharType="begin"/>
      </w:r>
      <w:r w:rsidR="00F4616D" w:rsidRPr="001418E1">
        <w:rPr>
          <w:rFonts w:ascii="Arial" w:hAnsi="Arial" w:cs="Arial"/>
          <w:sz w:val="22"/>
          <w:vertAlign w:val="superscript"/>
        </w:rPr>
        <w:instrText xml:space="preserve"> ADDIN EN.CITE &lt;EndNote&gt;&lt;Cite&gt;&lt;Author&gt;Feigin&lt;/Author&gt;&lt;Year&gt;2006&lt;/Year&gt;&lt;RecNum&gt;829&lt;/RecNum&gt;&lt;DisplayText&gt;&lt;style face="superscript"&gt;(5)&lt;/style&gt;&lt;/DisplayText&gt;&lt;record&gt;&lt;rec-number&gt;829&lt;/rec-number&gt;&lt;foreign-keys&gt;&lt;key app="EN" db-id="paxef0v91tx5e7eaev8xxf2xd92zvrfrv592"&gt;829&lt;/key&gt;&lt;/foreign-keys&gt;&lt;ref-type name="Journal Article"&gt;17&lt;/ref-type&gt;&lt;contributors&gt;&lt;authors&gt;&lt;author&gt;Feigin, Valery&lt;/author&gt;&lt;author&gt;Carter, Kristie&lt;/author&gt;&lt;author&gt;Hackett, Maree&lt;/author&gt;&lt;author&gt;Barber, P Alan&lt;/author&gt;&lt;author&gt;McNaughton, Harry&lt;/author&gt;&lt;author&gt;Dyall, Lorna&lt;/author&gt;&lt;author&gt;Chen, Mei-hua&lt;/author&gt;&lt;author&gt;Anderson, Craig&lt;/author&gt;&lt;/authors&gt;&lt;/contributors&gt;&lt;titles&gt;&lt;title&gt;Ethnic disparities in incidence of stroke subtypes: Auckland Regional Community Stroke Study, 2002–2003&lt;/title&gt;&lt;secondary-title&gt;The Lancet Neurology&lt;/secondary-title&gt;&lt;/titles&gt;&lt;periodical&gt;&lt;full-title&gt;The Lancet Neurology&lt;/full-title&gt;&lt;/periodical&gt;&lt;pages&gt;130-139&lt;/pages&gt;&lt;volume&gt;5&lt;/volume&gt;&lt;number&gt;2&lt;/number&gt;&lt;dates&gt;&lt;year&gt;2006&lt;/year&gt;&lt;/dates&gt;&lt;isbn&gt;1474-4422&lt;/isbn&gt;&lt;urls&gt;&lt;/urls&gt;&lt;/record&gt;&lt;/Cite&gt;&lt;/EndNote&gt;</w:instrText>
      </w:r>
      <w:r w:rsidR="00F4616D" w:rsidRPr="001418E1">
        <w:rPr>
          <w:rFonts w:ascii="Arial" w:hAnsi="Arial" w:cs="Arial"/>
          <w:sz w:val="22"/>
          <w:vertAlign w:val="superscript"/>
        </w:rPr>
        <w:fldChar w:fldCharType="separate"/>
      </w:r>
      <w:r w:rsidR="00F4616D" w:rsidRPr="001418E1">
        <w:rPr>
          <w:rFonts w:ascii="Arial" w:hAnsi="Arial" w:cs="Arial"/>
          <w:sz w:val="22"/>
          <w:vertAlign w:val="superscript"/>
        </w:rPr>
        <w:t>(</w:t>
      </w:r>
      <w:hyperlink w:anchor="_ENREF_5" w:tooltip="Feigin, 2006 #829" w:history="1">
        <w:r w:rsidR="001418E1" w:rsidRPr="001418E1">
          <w:rPr>
            <w:rFonts w:ascii="Arial" w:hAnsi="Arial" w:cs="Arial"/>
            <w:sz w:val="22"/>
            <w:vertAlign w:val="superscript"/>
          </w:rPr>
          <w:t>5</w:t>
        </w:r>
      </w:hyperlink>
      <w:r w:rsidR="00F4616D" w:rsidRPr="001418E1">
        <w:rPr>
          <w:rFonts w:ascii="Arial" w:hAnsi="Arial" w:cs="Arial"/>
          <w:sz w:val="22"/>
          <w:vertAlign w:val="superscript"/>
        </w:rPr>
        <w:t>)</w:t>
      </w:r>
      <w:r w:rsidR="00F4616D" w:rsidRPr="001418E1">
        <w:rPr>
          <w:rFonts w:ascii="Arial" w:hAnsi="Arial" w:cs="Arial"/>
          <w:sz w:val="22"/>
          <w:vertAlign w:val="superscript"/>
        </w:rPr>
        <w:fldChar w:fldCharType="end"/>
      </w:r>
      <w:r w:rsidRPr="001418E1">
        <w:rPr>
          <w:rFonts w:ascii="Arial" w:hAnsi="Arial" w:cs="Arial"/>
          <w:sz w:val="22"/>
        </w:rPr>
        <w:t xml:space="preserve">.  The onset of stroke was earlier for Māori/Pacific and Asian/Other (62 and 64 years, respectively) compared to New Zealand/European individuals (74 years).  These ethnic differences may suggest different risk factor profiles for different ethnic groups </w:t>
      </w:r>
      <w:r w:rsidRPr="001418E1">
        <w:rPr>
          <w:rFonts w:ascii="Arial" w:hAnsi="Arial" w:cs="Arial"/>
          <w:sz w:val="22"/>
          <w:vertAlign w:val="superscript"/>
        </w:rPr>
        <w:fldChar w:fldCharType="begin"/>
      </w:r>
      <w:r w:rsidR="00E96985" w:rsidRPr="001418E1">
        <w:rPr>
          <w:rFonts w:ascii="Arial" w:hAnsi="Arial" w:cs="Arial"/>
          <w:sz w:val="22"/>
          <w:vertAlign w:val="superscript"/>
        </w:rPr>
        <w:instrText xml:space="preserve"> ADDIN EN.CITE &lt;EndNote&gt;&lt;Cite&gt;&lt;Author&gt;Feigin&lt;/Author&gt;&lt;Year&gt;2006&lt;/Year&gt;&lt;RecNum&gt;829&lt;/RecNum&gt;&lt;DisplayText&gt;&lt;style face="superscript"&gt;(5)&lt;/style&gt;&lt;/DisplayText&gt;&lt;record&gt;&lt;rec-number&gt;829&lt;/rec-number&gt;&lt;foreign-keys&gt;&lt;key app="EN" db-id="paxef0v91tx5e7eaev8xxf2xd92zvrfrv592"&gt;829&lt;/key&gt;&lt;/foreign-keys&gt;&lt;ref-type name="Journal Article"&gt;17&lt;/ref-type&gt;&lt;contributors&gt;&lt;authors&gt;&lt;author&gt;Feigin, Valery&lt;/author&gt;&lt;author&gt;Carter, Kristie&lt;/author&gt;&lt;author&gt;Hackett, Maree&lt;/author&gt;&lt;author&gt;Barber, P Alan&lt;/author&gt;&lt;author&gt;McNaughton, Harry&lt;/author&gt;&lt;author&gt;Dyall, Lorna&lt;/author&gt;&lt;author&gt;Chen, Mei-hua&lt;/author&gt;&lt;author&gt;Anderson, Craig&lt;/author&gt;&lt;/authors&gt;&lt;/contributors&gt;&lt;titles&gt;&lt;title&gt;Ethnic disparities in incidence of stroke subtypes: Auckland Regional Community Stroke Study, 2002–2003&lt;/title&gt;&lt;secondary-title&gt;The Lancet Neurology&lt;/secondary-title&gt;&lt;/titles&gt;&lt;periodical&gt;&lt;full-title&gt;The Lancet Neurology&lt;/full-title&gt;&lt;/periodical&gt;&lt;pages&gt;130-139&lt;/pages&gt;&lt;volume&gt;5&lt;/volume&gt;&lt;number&gt;2&lt;/number&gt;&lt;dates&gt;&lt;year&gt;2006&lt;/year&gt;&lt;/dates&gt;&lt;isbn&gt;1474-4422&lt;/isbn&gt;&lt;urls&gt;&lt;/urls&gt;&lt;/record&gt;&lt;/Cite&gt;&lt;/EndNote&gt;</w:instrText>
      </w:r>
      <w:r w:rsidRPr="001418E1">
        <w:rPr>
          <w:rFonts w:ascii="Arial" w:hAnsi="Arial" w:cs="Arial"/>
          <w:sz w:val="22"/>
          <w:vertAlign w:val="superscript"/>
        </w:rPr>
        <w:fldChar w:fldCharType="separate"/>
      </w:r>
      <w:r w:rsidR="00E96985" w:rsidRPr="001418E1">
        <w:rPr>
          <w:rFonts w:ascii="Arial" w:hAnsi="Arial" w:cs="Arial"/>
          <w:sz w:val="22"/>
          <w:vertAlign w:val="superscript"/>
        </w:rPr>
        <w:t>(</w:t>
      </w:r>
      <w:hyperlink w:anchor="_ENREF_5" w:tooltip="Feigin, 2006 #829" w:history="1">
        <w:r w:rsidR="001418E1" w:rsidRPr="001418E1">
          <w:rPr>
            <w:rFonts w:ascii="Arial" w:hAnsi="Arial" w:cs="Arial"/>
            <w:sz w:val="22"/>
            <w:vertAlign w:val="superscript"/>
          </w:rPr>
          <w:t>5</w:t>
        </w:r>
      </w:hyperlink>
      <w:r w:rsidR="00E96985" w:rsidRPr="001418E1">
        <w:rPr>
          <w:rFonts w:ascii="Arial" w:hAnsi="Arial" w:cs="Arial"/>
          <w:sz w:val="22"/>
          <w:vertAlign w:val="superscript"/>
        </w:rPr>
        <w:t>)</w:t>
      </w:r>
      <w:r w:rsidRPr="001418E1">
        <w:rPr>
          <w:rFonts w:ascii="Arial" w:hAnsi="Arial" w:cs="Arial"/>
          <w:sz w:val="22"/>
          <w:vertAlign w:val="superscript"/>
        </w:rPr>
        <w:fldChar w:fldCharType="end"/>
      </w:r>
      <w:r w:rsidRPr="001418E1">
        <w:rPr>
          <w:rFonts w:ascii="Arial" w:hAnsi="Arial" w:cs="Arial"/>
          <w:sz w:val="22"/>
        </w:rPr>
        <w:t>.</w:t>
      </w:r>
    </w:p>
    <w:p w:rsidR="00A63BA1" w:rsidRDefault="00A63BA1" w:rsidP="00A63BA1">
      <w:pPr>
        <w:pStyle w:val="Heading2"/>
      </w:pPr>
      <w:r>
        <w:t>Health Outcomes</w:t>
      </w:r>
      <w:bookmarkEnd w:id="47"/>
      <w:bookmarkEnd w:id="48"/>
      <w:bookmarkEnd w:id="49"/>
      <w:bookmarkEnd w:id="50"/>
      <w:bookmarkEnd w:id="51"/>
    </w:p>
    <w:p w:rsidR="00A63BA1" w:rsidRPr="00164F8C"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Strokes killed about 2,700 people and were responsible for 37,688 DALYs in 2006 (26% and 24% of deaths and DALYs, respectively).  Both mortality and DALY burden increased with age, especially for individuals aged over 40 years.  Relative to deaths, stroke is responsible for a significant disability burden on individuals who survive</w:t>
      </w:r>
      <w:r w:rsidR="006D32C0">
        <w:rPr>
          <w:rFonts w:ascii="Arial" w:hAnsi="Arial" w:cs="Arial"/>
          <w:sz w:val="22"/>
        </w:rPr>
        <w:t xml:space="preserve"> with over 75% of stroke survivors dependent on others for care one year post-stroke </w:t>
      </w:r>
      <w:r w:rsidR="006D32C0">
        <w:rPr>
          <w:rFonts w:ascii="Arial" w:hAnsi="Arial" w:cs="Arial"/>
          <w:sz w:val="22"/>
        </w:rPr>
        <w:fldChar w:fldCharType="begin"/>
      </w:r>
      <w:r w:rsidR="00E96985">
        <w:rPr>
          <w:rFonts w:ascii="Arial" w:hAnsi="Arial" w:cs="Arial"/>
          <w:sz w:val="22"/>
        </w:rPr>
        <w:instrText xml:space="preserve"> ADDIN EN.CITE &lt;EndNote&gt;&lt;Cite&gt;&lt;Author&gt;Gommans&lt;/Author&gt;&lt;Year&gt;2003&lt;/Year&gt;&lt;RecNum&gt;830&lt;/RecNum&gt;&lt;DisplayText&gt;&lt;style face="superscript"&gt;(6)&lt;/style&gt;&lt;/DisplayText&gt;&lt;record&gt;&lt;rec-number&gt;830&lt;/rec-number&gt;&lt;foreign-keys&gt;&lt;key app="EN" db-id="paxef0v91tx5e7eaev8xxf2xd92zvrfrv592"&gt;830&lt;/key&gt;&lt;/foreign-keys&gt;&lt;ref-type name="Journal Article"&gt;17&lt;/ref-type&gt;&lt;contributors&gt;&lt;authors&gt;&lt;author&gt;Gommans, John&lt;/author&gt;&lt;author&gt;Barber, Alan&lt;/author&gt;&lt;author&gt;McNaughton, Harry&lt;/author&gt;&lt;author&gt;Hanger, Carl&lt;/author&gt;&lt;author&gt;Bennett, Patricia&lt;/author&gt;&lt;author&gt;Spriggs, David&lt;/author&gt;&lt;author&gt;Baskett, Jonathan&lt;/author&gt;&lt;/authors&gt;&lt;/contributors&gt;&lt;titles&gt;&lt;title&gt;Stroke rehabilitation services in New Zealand&lt;/title&gt;&lt;secondary-title&gt;Journal of the New Zealand Medical Association&lt;/secondary-title&gt;&lt;/titles&gt;&lt;periodical&gt;&lt;full-title&gt;Journal of the New Zealand Medical Association&lt;/full-title&gt;&lt;/periodical&gt;&lt;volume&gt;116&lt;/volume&gt;&lt;number&gt;1174&lt;/number&gt;&lt;dates&gt;&lt;year&gt;2003&lt;/year&gt;&lt;/dates&gt;&lt;urls&gt;&lt;/urls&gt;&lt;/record&gt;&lt;/Cite&gt;&lt;/EndNote&gt;</w:instrText>
      </w:r>
      <w:r w:rsidR="006D32C0">
        <w:rPr>
          <w:rFonts w:ascii="Arial" w:hAnsi="Arial" w:cs="Arial"/>
          <w:sz w:val="22"/>
        </w:rPr>
        <w:fldChar w:fldCharType="separate"/>
      </w:r>
      <w:r w:rsidR="00E96985" w:rsidRPr="00E96985">
        <w:rPr>
          <w:rFonts w:ascii="Arial" w:hAnsi="Arial" w:cs="Arial"/>
          <w:noProof/>
          <w:sz w:val="22"/>
          <w:vertAlign w:val="superscript"/>
        </w:rPr>
        <w:t>(</w:t>
      </w:r>
      <w:hyperlink w:anchor="_ENREF_6" w:tooltip="Gommans, 2003 #830" w:history="1">
        <w:r w:rsidR="001418E1" w:rsidRPr="00E96985">
          <w:rPr>
            <w:rFonts w:ascii="Arial" w:hAnsi="Arial" w:cs="Arial"/>
            <w:noProof/>
            <w:sz w:val="22"/>
            <w:vertAlign w:val="superscript"/>
          </w:rPr>
          <w:t>6</w:t>
        </w:r>
      </w:hyperlink>
      <w:r w:rsidR="00E96985" w:rsidRPr="00E96985">
        <w:rPr>
          <w:rFonts w:ascii="Arial" w:hAnsi="Arial" w:cs="Arial"/>
          <w:noProof/>
          <w:sz w:val="22"/>
          <w:vertAlign w:val="superscript"/>
        </w:rPr>
        <w:t>)</w:t>
      </w:r>
      <w:r w:rsidR="006D32C0">
        <w:rPr>
          <w:rFonts w:ascii="Arial" w:hAnsi="Arial" w:cs="Arial"/>
          <w:sz w:val="22"/>
        </w:rPr>
        <w:fldChar w:fldCharType="end"/>
      </w:r>
      <w:r w:rsidRPr="00164F8C">
        <w:rPr>
          <w:rFonts w:ascii="Arial" w:hAnsi="Arial" w:cs="Arial"/>
          <w:sz w:val="22"/>
        </w:rPr>
        <w:t>.</w:t>
      </w:r>
      <w:r w:rsidR="00366AB0">
        <w:rPr>
          <w:rFonts w:ascii="Arial" w:hAnsi="Arial" w:cs="Arial"/>
          <w:sz w:val="22"/>
        </w:rPr>
        <w:t xml:space="preserve">  Despite the high mortality associated with stroke and ongoing disability, long-term stroke survivors reported similar quality of life outcomes as the general age-standardised population in one New Zealand study </w:t>
      </w:r>
      <w:r w:rsidR="00366AB0">
        <w:rPr>
          <w:rFonts w:ascii="Arial" w:hAnsi="Arial" w:cs="Arial"/>
          <w:sz w:val="22"/>
        </w:rPr>
        <w:fldChar w:fldCharType="begin"/>
      </w:r>
      <w:r w:rsidR="00E96985">
        <w:rPr>
          <w:rFonts w:ascii="Arial" w:hAnsi="Arial" w:cs="Arial"/>
          <w:sz w:val="22"/>
        </w:rPr>
        <w:instrText xml:space="preserve"> ADDIN EN.CITE &lt;EndNote&gt;&lt;Cite&gt;&lt;Author&gt;Anderson&lt;/Author&gt;&lt;Year&gt;2004&lt;/Year&gt;&lt;RecNum&gt;831&lt;/RecNum&gt;&lt;DisplayText&gt;&lt;style face="superscript"&gt;(7)&lt;/style&gt;&lt;/DisplayText&gt;&lt;record&gt;&lt;rec-number&gt;831&lt;/rec-number&gt;&lt;foreign-keys&gt;&lt;key app="EN" db-id="paxef0v91tx5e7eaev8xxf2xd92zvrfrv592"&gt;831&lt;/key&gt;&lt;/foreign-keys&gt;&lt;ref-type name="Journal Article"&gt;17&lt;/ref-type&gt;&lt;contributors&gt;&lt;authors&gt;&lt;author&gt;Anderson, Craig S&lt;/author&gt;&lt;author&gt;Carter, Kristie N&lt;/author&gt;&lt;author&gt;Brownlee, Wallace J&lt;/author&gt;&lt;author&gt;Hackett, Maree L&lt;/author&gt;&lt;author&gt;Broad, Joanna B&lt;/author&gt;&lt;author&gt;Bonita, Ruth&lt;/author&gt;&lt;/authors&gt;&lt;/contributors&gt;&lt;titles&gt;&lt;title&gt;Very long-term outcome after stroke in Auckland, New Zealand&lt;/title&gt;&lt;secondary-title&gt;Stroke&lt;/secondary-title&gt;&lt;/titles&gt;&lt;periodical&gt;&lt;full-title&gt;Stroke&lt;/full-title&gt;&lt;/periodical&gt;&lt;pages&gt;1920-1924&lt;/pages&gt;&lt;volume&gt;35&lt;/volume&gt;&lt;number&gt;8&lt;/number&gt;&lt;dates&gt;&lt;year&gt;2004&lt;/year&gt;&lt;/dates&gt;&lt;isbn&gt;0039-2499&lt;/isbn&gt;&lt;urls&gt;&lt;/urls&gt;&lt;/record&gt;&lt;/Cite&gt;&lt;/EndNote&gt;</w:instrText>
      </w:r>
      <w:r w:rsidR="00366AB0">
        <w:rPr>
          <w:rFonts w:ascii="Arial" w:hAnsi="Arial" w:cs="Arial"/>
          <w:sz w:val="22"/>
        </w:rPr>
        <w:fldChar w:fldCharType="separate"/>
      </w:r>
      <w:r w:rsidR="00E96985" w:rsidRPr="00E96985">
        <w:rPr>
          <w:rFonts w:ascii="Arial" w:hAnsi="Arial" w:cs="Arial"/>
          <w:noProof/>
          <w:sz w:val="22"/>
          <w:vertAlign w:val="superscript"/>
        </w:rPr>
        <w:t>(</w:t>
      </w:r>
      <w:hyperlink w:anchor="_ENREF_7" w:tooltip="Anderson, 2004 #831" w:history="1">
        <w:r w:rsidR="001418E1" w:rsidRPr="00E96985">
          <w:rPr>
            <w:rFonts w:ascii="Arial" w:hAnsi="Arial" w:cs="Arial"/>
            <w:noProof/>
            <w:sz w:val="22"/>
            <w:vertAlign w:val="superscript"/>
          </w:rPr>
          <w:t>7</w:t>
        </w:r>
      </w:hyperlink>
      <w:r w:rsidR="00E96985" w:rsidRPr="00E96985">
        <w:rPr>
          <w:rFonts w:ascii="Arial" w:hAnsi="Arial" w:cs="Arial"/>
          <w:noProof/>
          <w:sz w:val="22"/>
          <w:vertAlign w:val="superscript"/>
        </w:rPr>
        <w:t>)</w:t>
      </w:r>
      <w:r w:rsidR="00366AB0">
        <w:rPr>
          <w:rFonts w:ascii="Arial" w:hAnsi="Arial" w:cs="Arial"/>
          <w:sz w:val="22"/>
        </w:rPr>
        <w:fldChar w:fldCharType="end"/>
      </w:r>
      <w:r w:rsidR="00366AB0">
        <w:rPr>
          <w:rFonts w:ascii="Arial" w:hAnsi="Arial" w:cs="Arial"/>
          <w:sz w:val="22"/>
        </w:rPr>
        <w:t>.</w:t>
      </w:r>
    </w:p>
    <w:p w:rsidR="00A63BA1" w:rsidRDefault="00A63BA1" w:rsidP="00A63BA1">
      <w:pPr>
        <w:pStyle w:val="Heading2"/>
      </w:pPr>
      <w:bookmarkStart w:id="52" w:name="_Toc358124642"/>
      <w:bookmarkStart w:id="53" w:name="_Toc360641442"/>
      <w:bookmarkStart w:id="54" w:name="_Toc360714593"/>
      <w:bookmarkStart w:id="55" w:name="_Toc363122529"/>
      <w:bookmarkStart w:id="56" w:name="_Toc365276886"/>
      <w:r>
        <w:t>Health Utilisation and Cost</w:t>
      </w:r>
      <w:bookmarkEnd w:id="52"/>
      <w:bookmarkEnd w:id="53"/>
      <w:bookmarkEnd w:id="54"/>
      <w:bookmarkEnd w:id="55"/>
      <w:bookmarkEnd w:id="56"/>
    </w:p>
    <w:p w:rsidR="00A63BA1"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Stroke was responsible for 10,370 hospitalisations for 9,000 individuals (1.2 hospitalisations per person) in 2011/12.  Average cost per hospitalised individual was $7,400 whilst average hospitalisation length of stay was 4.9 days.  Total hospitalisation costs were $67 million.</w:t>
      </w:r>
    </w:p>
    <w:p w:rsidR="00B22446" w:rsidRDefault="00366AB0" w:rsidP="00A63BA1">
      <w:pPr>
        <w:pStyle w:val="contentbody"/>
        <w:spacing w:before="0" w:beforeAutospacing="0" w:after="120" w:afterAutospacing="0" w:line="360" w:lineRule="auto"/>
        <w:jc w:val="both"/>
        <w:rPr>
          <w:rFonts w:ascii="Arial" w:hAnsi="Arial" w:cs="Arial"/>
          <w:sz w:val="22"/>
        </w:rPr>
      </w:pPr>
      <w:r>
        <w:rPr>
          <w:rFonts w:ascii="Arial" w:hAnsi="Arial" w:cs="Arial"/>
          <w:sz w:val="22"/>
        </w:rPr>
        <w:t xml:space="preserve">Besides hospitalisations, there are other direct and indirect costs associated with stroke.  Rehabilitation is often a greater component of stroke care than the initial hospitalisation </w:t>
      </w:r>
      <w:r w:rsidR="00B22446">
        <w:rPr>
          <w:rFonts w:ascii="Arial" w:hAnsi="Arial" w:cs="Arial"/>
          <w:sz w:val="22"/>
        </w:rPr>
        <w:t>with average rehabilitation stays estimated at 23-26 days depending on the type of ward.  Rehabilitation is necessary for about 30% of stroke admissions at a cost of about $750 per day</w:t>
      </w:r>
      <w:r w:rsidR="00A20636">
        <w:rPr>
          <w:rFonts w:ascii="Arial" w:hAnsi="Arial" w:cs="Arial"/>
          <w:sz w:val="22"/>
        </w:rPr>
        <w:t xml:space="preserve"> </w:t>
      </w:r>
      <w:r w:rsidR="00A20636">
        <w:rPr>
          <w:rFonts w:ascii="Arial" w:hAnsi="Arial" w:cs="Arial"/>
          <w:sz w:val="22"/>
        </w:rPr>
        <w:fldChar w:fldCharType="begin"/>
      </w:r>
      <w:r w:rsidR="00E96985">
        <w:rPr>
          <w:rFonts w:ascii="Arial" w:hAnsi="Arial" w:cs="Arial"/>
          <w:sz w:val="22"/>
        </w:rPr>
        <w:instrText xml:space="preserve"> ADDIN EN.CITE &lt;EndNote&gt;&lt;Cite&gt;&lt;Author&gt;Te Ao&lt;/Author&gt;&lt;Year&gt;2012&lt;/Year&gt;&lt;RecNum&gt;832&lt;/RecNum&gt;&lt;DisplayText&gt;&lt;style face="superscript"&gt;(8)&lt;/style&gt;&lt;/DisplayText&gt;&lt;record&gt;&lt;rec-number&gt;832&lt;/rec-number&gt;&lt;foreign-keys&gt;&lt;key app="EN" db-id="paxef0v91tx5e7eaev8xxf2xd92zvrfrv592"&gt;832&lt;/key&gt;&lt;/foreign-keys&gt;&lt;ref-type name="Journal Article"&gt;17&lt;/ref-type&gt;&lt;contributors&gt;&lt;authors&gt;&lt;author&gt;Te Ao, Braden J&lt;/author&gt;&lt;author&gt;Brown, Paul M&lt;/author&gt;&lt;author&gt;Feigin, Valery L&lt;/author&gt;&lt;author&gt;Anderson, Craig S&lt;/author&gt;&lt;/authors&gt;&lt;/contributors&gt;&lt;titles&gt;&lt;title&gt;Are stroke units cost effective? Evidence from a New Zealand stroke incidence and population</w:instrText>
      </w:r>
      <w:r w:rsidR="00E96985">
        <w:rPr>
          <w:rFonts w:ascii="Cambria Math" w:hAnsi="Cambria Math" w:cs="Cambria Math"/>
          <w:sz w:val="22"/>
        </w:rPr>
        <w:instrText>‐</w:instrText>
      </w:r>
      <w:r w:rsidR="00E96985">
        <w:rPr>
          <w:rFonts w:ascii="Arial" w:hAnsi="Arial" w:cs="Arial"/>
          <w:sz w:val="22"/>
        </w:rPr>
        <w:instrText>based study&lt;/title&gt;&lt;secondary-title&gt;International Journal of Stroke&lt;/secondary-title&gt;&lt;/titles&gt;&lt;periodical&gt;&lt;full-title&gt;International Journal of Stroke&lt;/full-title&gt;&lt;/periodical&gt;&lt;pages&gt;623-630&lt;/pages&gt;&lt;volume&gt;7&lt;/volume&gt;&lt;number&gt;8&lt;/number&gt;&lt;dates&gt;&lt;year&gt;2012&lt;/year&gt;&lt;/dates&gt;&lt;isbn&gt;1747-4949&lt;/isbn&gt;&lt;urls&gt;&lt;/urls&gt;&lt;/record&gt;&lt;/Cite&gt;&lt;/EndNote&gt;</w:instrText>
      </w:r>
      <w:r w:rsidR="00A20636">
        <w:rPr>
          <w:rFonts w:ascii="Arial" w:hAnsi="Arial" w:cs="Arial"/>
          <w:sz w:val="22"/>
        </w:rPr>
        <w:fldChar w:fldCharType="separate"/>
      </w:r>
      <w:r w:rsidR="00E96985" w:rsidRPr="00E96985">
        <w:rPr>
          <w:rFonts w:ascii="Arial" w:hAnsi="Arial" w:cs="Arial"/>
          <w:noProof/>
          <w:sz w:val="22"/>
          <w:vertAlign w:val="superscript"/>
        </w:rPr>
        <w:t>(</w:t>
      </w:r>
      <w:hyperlink w:anchor="_ENREF_8" w:tooltip="Te Ao, 2012 #832" w:history="1">
        <w:r w:rsidR="001418E1" w:rsidRPr="00E96985">
          <w:rPr>
            <w:rFonts w:ascii="Arial" w:hAnsi="Arial" w:cs="Arial"/>
            <w:noProof/>
            <w:sz w:val="22"/>
            <w:vertAlign w:val="superscript"/>
          </w:rPr>
          <w:t>8</w:t>
        </w:r>
      </w:hyperlink>
      <w:r w:rsidR="00E96985" w:rsidRPr="00E96985">
        <w:rPr>
          <w:rFonts w:ascii="Arial" w:hAnsi="Arial" w:cs="Arial"/>
          <w:noProof/>
          <w:sz w:val="22"/>
          <w:vertAlign w:val="superscript"/>
        </w:rPr>
        <w:t>)</w:t>
      </w:r>
      <w:r w:rsidR="00A20636">
        <w:rPr>
          <w:rFonts w:ascii="Arial" w:hAnsi="Arial" w:cs="Arial"/>
          <w:sz w:val="22"/>
        </w:rPr>
        <w:fldChar w:fldCharType="end"/>
      </w:r>
      <w:r w:rsidR="00B22446">
        <w:rPr>
          <w:rFonts w:ascii="Arial" w:hAnsi="Arial" w:cs="Arial"/>
          <w:sz w:val="22"/>
        </w:rPr>
        <w:t>.  Extrapolating from the above hospitalis</w:t>
      </w:r>
      <w:r w:rsidR="00543C22">
        <w:rPr>
          <w:rFonts w:ascii="Arial" w:hAnsi="Arial" w:cs="Arial"/>
          <w:sz w:val="22"/>
        </w:rPr>
        <w:t>ation count, approximately 2,7</w:t>
      </w:r>
      <w:r w:rsidR="00F4616D">
        <w:rPr>
          <w:rFonts w:ascii="Arial" w:hAnsi="Arial" w:cs="Arial"/>
          <w:sz w:val="22"/>
        </w:rPr>
        <w:t>00</w:t>
      </w:r>
      <w:r w:rsidR="00B22446">
        <w:rPr>
          <w:rFonts w:ascii="Arial" w:hAnsi="Arial" w:cs="Arial"/>
          <w:sz w:val="22"/>
        </w:rPr>
        <w:t xml:space="preserve"> individuals would have required rehabilitation at an a</w:t>
      </w:r>
      <w:r w:rsidR="00543C22">
        <w:rPr>
          <w:rFonts w:ascii="Arial" w:hAnsi="Arial" w:cs="Arial"/>
          <w:sz w:val="22"/>
        </w:rPr>
        <w:t>dditional cost of $46</w:t>
      </w:r>
      <w:r w:rsidR="00F4616D">
        <w:rPr>
          <w:rFonts w:ascii="Arial" w:hAnsi="Arial" w:cs="Arial"/>
          <w:sz w:val="22"/>
        </w:rPr>
        <w:t>.</w:t>
      </w:r>
      <w:r w:rsidR="00543C22">
        <w:rPr>
          <w:rFonts w:ascii="Arial" w:hAnsi="Arial" w:cs="Arial"/>
          <w:sz w:val="22"/>
        </w:rPr>
        <w:t>6</w:t>
      </w:r>
      <w:r w:rsidR="00F4616D">
        <w:rPr>
          <w:rFonts w:ascii="Arial" w:hAnsi="Arial" w:cs="Arial"/>
          <w:sz w:val="22"/>
        </w:rPr>
        <w:t xml:space="preserve"> million-$</w:t>
      </w:r>
      <w:r w:rsidR="00543C22">
        <w:rPr>
          <w:rFonts w:ascii="Arial" w:hAnsi="Arial" w:cs="Arial"/>
          <w:sz w:val="22"/>
        </w:rPr>
        <w:t>52</w:t>
      </w:r>
      <w:r w:rsidR="00F4616D">
        <w:rPr>
          <w:rFonts w:ascii="Arial" w:hAnsi="Arial" w:cs="Arial"/>
          <w:sz w:val="22"/>
        </w:rPr>
        <w:t>.</w:t>
      </w:r>
      <w:r w:rsidR="00543C22">
        <w:rPr>
          <w:rFonts w:ascii="Arial" w:hAnsi="Arial" w:cs="Arial"/>
          <w:sz w:val="22"/>
        </w:rPr>
        <w:t>7</w:t>
      </w:r>
      <w:r w:rsidR="00B22446">
        <w:rPr>
          <w:rFonts w:ascii="Arial" w:hAnsi="Arial" w:cs="Arial"/>
          <w:sz w:val="22"/>
        </w:rPr>
        <w:t xml:space="preserve"> million.  </w:t>
      </w:r>
      <w:r w:rsidR="00F4616D">
        <w:rPr>
          <w:rFonts w:ascii="Arial" w:hAnsi="Arial" w:cs="Arial"/>
          <w:sz w:val="22"/>
        </w:rPr>
        <w:t>Taking these costs into account brings the average cost per hospit</w:t>
      </w:r>
      <w:r w:rsidR="00543C22">
        <w:rPr>
          <w:rFonts w:ascii="Arial" w:hAnsi="Arial" w:cs="Arial"/>
          <w:sz w:val="22"/>
        </w:rPr>
        <w:t>alised individual to between $12,6</w:t>
      </w:r>
      <w:r w:rsidR="00F4616D">
        <w:rPr>
          <w:rFonts w:ascii="Arial" w:hAnsi="Arial" w:cs="Arial"/>
          <w:sz w:val="22"/>
        </w:rPr>
        <w:t xml:space="preserve">00 and </w:t>
      </w:r>
      <w:r w:rsidR="00543C22">
        <w:rPr>
          <w:rFonts w:ascii="Arial" w:hAnsi="Arial" w:cs="Arial"/>
          <w:sz w:val="22"/>
        </w:rPr>
        <w:t>$13,3</w:t>
      </w:r>
      <w:r w:rsidR="00F4616D">
        <w:rPr>
          <w:rFonts w:ascii="Arial" w:hAnsi="Arial" w:cs="Arial"/>
          <w:sz w:val="22"/>
        </w:rPr>
        <w:t>00</w:t>
      </w:r>
      <w:r w:rsidR="00A20636">
        <w:rPr>
          <w:rFonts w:ascii="Arial" w:hAnsi="Arial" w:cs="Arial"/>
          <w:sz w:val="22"/>
        </w:rPr>
        <w:t>.</w:t>
      </w:r>
      <w:r w:rsidR="001503E6">
        <w:rPr>
          <w:rFonts w:ascii="Arial" w:hAnsi="Arial" w:cs="Arial"/>
          <w:sz w:val="22"/>
        </w:rPr>
        <w:t xml:space="preserve">  Including rehabilitation, total acute care </w:t>
      </w:r>
      <w:r w:rsidR="00F4616D">
        <w:rPr>
          <w:rFonts w:ascii="Arial" w:hAnsi="Arial" w:cs="Arial"/>
          <w:sz w:val="22"/>
        </w:rPr>
        <w:t>costs are estimated at $1</w:t>
      </w:r>
      <w:r w:rsidR="00543C22">
        <w:rPr>
          <w:rFonts w:ascii="Arial" w:hAnsi="Arial" w:cs="Arial"/>
          <w:sz w:val="22"/>
        </w:rPr>
        <w:t>13</w:t>
      </w:r>
      <w:r w:rsidR="00F4616D">
        <w:rPr>
          <w:rFonts w:ascii="Arial" w:hAnsi="Arial" w:cs="Arial"/>
          <w:sz w:val="22"/>
        </w:rPr>
        <w:t>.</w:t>
      </w:r>
      <w:r w:rsidR="00543C22">
        <w:rPr>
          <w:rFonts w:ascii="Arial" w:hAnsi="Arial" w:cs="Arial"/>
          <w:sz w:val="22"/>
        </w:rPr>
        <w:t>6</w:t>
      </w:r>
      <w:r w:rsidR="001503E6">
        <w:rPr>
          <w:rFonts w:ascii="Arial" w:hAnsi="Arial" w:cs="Arial"/>
          <w:sz w:val="22"/>
        </w:rPr>
        <w:t xml:space="preserve"> million-</w:t>
      </w:r>
      <w:r w:rsidR="00543C22">
        <w:rPr>
          <w:rFonts w:ascii="Arial" w:hAnsi="Arial" w:cs="Arial"/>
          <w:sz w:val="22"/>
        </w:rPr>
        <w:t>$119.7</w:t>
      </w:r>
      <w:r w:rsidR="001503E6">
        <w:rPr>
          <w:rFonts w:ascii="Arial" w:hAnsi="Arial" w:cs="Arial"/>
          <w:sz w:val="22"/>
        </w:rPr>
        <w:t xml:space="preserve"> million.</w:t>
      </w:r>
    </w:p>
    <w:p w:rsidR="00366AB0" w:rsidRPr="00164F8C" w:rsidRDefault="00B22446" w:rsidP="00A63BA1">
      <w:pPr>
        <w:pStyle w:val="contentbody"/>
        <w:spacing w:before="0" w:beforeAutospacing="0" w:after="120" w:afterAutospacing="0" w:line="360" w:lineRule="auto"/>
        <w:jc w:val="both"/>
        <w:rPr>
          <w:rFonts w:ascii="Arial" w:hAnsi="Arial" w:cs="Arial"/>
          <w:sz w:val="22"/>
        </w:rPr>
      </w:pPr>
      <w:r>
        <w:rPr>
          <w:rFonts w:ascii="Arial" w:hAnsi="Arial" w:cs="Arial"/>
          <w:sz w:val="22"/>
        </w:rPr>
        <w:t>Residential care and community support services add additional costs.  Adding these costs to individuals, the estimated cost per patient in the first year post-stroke was about $21,000-$24,000</w:t>
      </w:r>
      <w:r w:rsidR="00A20636">
        <w:rPr>
          <w:rFonts w:ascii="Arial" w:hAnsi="Arial" w:cs="Arial"/>
          <w:sz w:val="22"/>
        </w:rPr>
        <w:fldChar w:fldCharType="begin"/>
      </w:r>
      <w:r w:rsidR="00E96985">
        <w:rPr>
          <w:rFonts w:ascii="Arial" w:hAnsi="Arial" w:cs="Arial"/>
          <w:sz w:val="22"/>
        </w:rPr>
        <w:instrText xml:space="preserve"> ADDIN EN.CITE &lt;EndNote&gt;&lt;Cite&gt;&lt;Author&gt;Te Ao&lt;/Author&gt;&lt;Year&gt;2012&lt;/Year&gt;&lt;RecNum&gt;832&lt;/RecNum&gt;&lt;DisplayText&gt;&lt;style face="superscript"&gt;(8)&lt;/style&gt;&lt;/DisplayText&gt;&lt;record&gt;&lt;rec-number&gt;832&lt;/rec-number&gt;&lt;foreign-keys&gt;&lt;key app="EN" db-id="paxef0v91tx5e7eaev8xxf2xd92zvrfrv592"&gt;832&lt;/key&gt;&lt;/foreign-keys&gt;&lt;ref-type name="Journal Article"&gt;17&lt;/ref-type&gt;&lt;contributors&gt;&lt;authors&gt;&lt;author&gt;Te Ao, Braden J&lt;/author&gt;&lt;author&gt;Brown, Paul M&lt;/author&gt;&lt;author&gt;Feigin, Valery L&lt;/author&gt;&lt;author&gt;Anderson, Craig S&lt;/author&gt;&lt;/authors&gt;&lt;/contributors&gt;&lt;titles&gt;&lt;title&gt;Are stroke units cost effective? Evidence from a New Zealand stroke incidence and population</w:instrText>
      </w:r>
      <w:r w:rsidR="00E96985">
        <w:rPr>
          <w:rFonts w:ascii="Cambria Math" w:hAnsi="Cambria Math" w:cs="Cambria Math"/>
          <w:sz w:val="22"/>
        </w:rPr>
        <w:instrText>‐</w:instrText>
      </w:r>
      <w:r w:rsidR="00E96985">
        <w:rPr>
          <w:rFonts w:ascii="Arial" w:hAnsi="Arial" w:cs="Arial"/>
          <w:sz w:val="22"/>
        </w:rPr>
        <w:instrText>based study&lt;/title&gt;&lt;secondary-title&gt;International Journal of Stroke&lt;/secondary-title&gt;&lt;/titles&gt;&lt;periodical&gt;&lt;full-title&gt;International Journal of Stroke&lt;/full-title&gt;&lt;/periodical&gt;&lt;pages&gt;623-630&lt;/pages&gt;&lt;volume&gt;7&lt;/volume&gt;&lt;number&gt;8&lt;/number&gt;&lt;dates&gt;&lt;year&gt;2012&lt;/year&gt;&lt;/dates&gt;&lt;isbn&gt;1747-4949&lt;/isbn&gt;&lt;urls&gt;&lt;/urls&gt;&lt;/record&gt;&lt;/Cite&gt;&lt;/EndNote&gt;</w:instrText>
      </w:r>
      <w:r w:rsidR="00A20636">
        <w:rPr>
          <w:rFonts w:ascii="Arial" w:hAnsi="Arial" w:cs="Arial"/>
          <w:sz w:val="22"/>
        </w:rPr>
        <w:fldChar w:fldCharType="separate"/>
      </w:r>
      <w:r w:rsidR="00E96985" w:rsidRPr="00E96985">
        <w:rPr>
          <w:rFonts w:ascii="Arial" w:hAnsi="Arial" w:cs="Arial"/>
          <w:noProof/>
          <w:sz w:val="22"/>
          <w:vertAlign w:val="superscript"/>
        </w:rPr>
        <w:t>(</w:t>
      </w:r>
      <w:hyperlink w:anchor="_ENREF_8" w:tooltip="Te Ao, 2012 #832" w:history="1">
        <w:r w:rsidR="001418E1" w:rsidRPr="00E96985">
          <w:rPr>
            <w:rFonts w:ascii="Arial" w:hAnsi="Arial" w:cs="Arial"/>
            <w:noProof/>
            <w:sz w:val="22"/>
            <w:vertAlign w:val="superscript"/>
          </w:rPr>
          <w:t>8</w:t>
        </w:r>
      </w:hyperlink>
      <w:r w:rsidR="00E96985" w:rsidRPr="00E96985">
        <w:rPr>
          <w:rFonts w:ascii="Arial" w:hAnsi="Arial" w:cs="Arial"/>
          <w:noProof/>
          <w:sz w:val="22"/>
          <w:vertAlign w:val="superscript"/>
        </w:rPr>
        <w:t>)</w:t>
      </w:r>
      <w:r w:rsidR="00A20636">
        <w:rPr>
          <w:rFonts w:ascii="Arial" w:hAnsi="Arial" w:cs="Arial"/>
          <w:sz w:val="22"/>
        </w:rPr>
        <w:fldChar w:fldCharType="end"/>
      </w:r>
      <w:r>
        <w:rPr>
          <w:rFonts w:ascii="Arial" w:hAnsi="Arial" w:cs="Arial"/>
          <w:sz w:val="22"/>
        </w:rPr>
        <w:t>.</w:t>
      </w:r>
      <w:r w:rsidR="00A20636">
        <w:rPr>
          <w:rFonts w:ascii="Arial" w:hAnsi="Arial" w:cs="Arial"/>
          <w:sz w:val="22"/>
        </w:rPr>
        <w:t xml:space="preserve">  </w:t>
      </w:r>
      <w:r w:rsidR="00E37D57">
        <w:rPr>
          <w:rFonts w:ascii="Arial" w:hAnsi="Arial" w:cs="Arial"/>
          <w:sz w:val="22"/>
        </w:rPr>
        <w:t>Including these costs takes the estimated yearly direct c</w:t>
      </w:r>
      <w:r w:rsidR="00543C22">
        <w:rPr>
          <w:rFonts w:ascii="Arial" w:hAnsi="Arial" w:cs="Arial"/>
          <w:sz w:val="22"/>
        </w:rPr>
        <w:t>osts of stroke to between $189 million and $216</w:t>
      </w:r>
      <w:r w:rsidR="00E37D57">
        <w:rPr>
          <w:rFonts w:ascii="Arial" w:hAnsi="Arial" w:cs="Arial"/>
          <w:sz w:val="22"/>
        </w:rPr>
        <w:t xml:space="preserve"> million.  </w:t>
      </w:r>
      <w:r w:rsidR="00543C22">
        <w:rPr>
          <w:rFonts w:ascii="Arial" w:hAnsi="Arial" w:cs="Arial"/>
          <w:sz w:val="22"/>
        </w:rPr>
        <w:t>I</w:t>
      </w:r>
      <w:r w:rsidR="00A20636">
        <w:rPr>
          <w:rFonts w:ascii="Arial" w:hAnsi="Arial" w:cs="Arial"/>
          <w:sz w:val="22"/>
        </w:rPr>
        <w:t xml:space="preserve">ndirect costs are </w:t>
      </w:r>
      <w:r w:rsidR="00543C22">
        <w:rPr>
          <w:rFonts w:ascii="Arial" w:hAnsi="Arial" w:cs="Arial"/>
          <w:sz w:val="22"/>
        </w:rPr>
        <w:t xml:space="preserve">estimated to be </w:t>
      </w:r>
      <w:r w:rsidR="00A20636">
        <w:rPr>
          <w:rFonts w:ascii="Arial" w:hAnsi="Arial" w:cs="Arial"/>
          <w:sz w:val="22"/>
        </w:rPr>
        <w:t xml:space="preserve">roughly the same as direct costs (i.e. acute hospitalisation and ward rehabilitation) </w:t>
      </w:r>
      <w:r w:rsidR="00A20636">
        <w:rPr>
          <w:rFonts w:ascii="Arial" w:hAnsi="Arial" w:cs="Arial"/>
          <w:sz w:val="22"/>
        </w:rPr>
        <w:fldChar w:fldCharType="begin"/>
      </w:r>
      <w:r w:rsidR="00E96985">
        <w:rPr>
          <w:rFonts w:ascii="Arial" w:hAnsi="Arial" w:cs="Arial"/>
          <w:sz w:val="22"/>
        </w:rPr>
        <w:instrText xml:space="preserve"> ADDIN EN.CITE &lt;EndNote&gt;&lt;Cite&gt;&lt;Author&gt;Suhrcke&lt;/Author&gt;&lt;Year&gt;2006&lt;/Year&gt;&lt;RecNum&gt;833&lt;/RecNum&gt;&lt;DisplayText&gt;&lt;style face="superscript"&gt;(9-11)&lt;/style&gt;&lt;/DisplayText&gt;&lt;record&gt;&lt;rec-number&gt;833&lt;/rec-number&gt;&lt;foreign-keys&gt;&lt;key app="EN" db-id="paxef0v91tx5e7eaev8xxf2xd92zvrfrv592"&gt;833&lt;/key&gt;&lt;/foreign-keys&gt;&lt;ref-type name="Journal Article"&gt;17&lt;/ref-type&gt;&lt;contributors&gt;&lt;authors&gt;&lt;author&gt;Suhrcke, Marc&lt;/author&gt;&lt;author&gt;Nugent, Rachel A&lt;/author&gt;&lt;author&gt;Stuckler, David&lt;/author&gt;&lt;author&gt;Rocco, Lorenzo&lt;/author&gt;&lt;/authors&gt;&lt;/contributors&gt;&lt;titles&gt;&lt;title&gt;Chronic disease: an economic perspective&lt;/title&gt;&lt;/titles&gt;&lt;dates&gt;&lt;year&gt;2006&lt;/year&gt;&lt;/dates&gt;&lt;urls&gt;&lt;/urls&gt;&lt;/record&gt;&lt;/Cite&gt;&lt;Cite&gt;&lt;Author&gt;Adeyi&lt;/Author&gt;&lt;Year&gt;2007&lt;/Year&gt;&lt;RecNum&gt;834&lt;/RecNum&gt;&lt;record&gt;&lt;rec-number&gt;834&lt;/rec-number&gt;&lt;foreign-keys&gt;&lt;key app="EN" db-id="paxef0v91tx5e7eaev8xxf2xd92zvrfrv592"&gt;834&lt;/key&gt;&lt;/foreign-keys&gt;&lt;ref-type name="Book"&gt;6&lt;/ref-type&gt;&lt;contributors&gt;&lt;authors&gt;&lt;author&gt;Adeyi, Olusoji&lt;/author&gt;&lt;author&gt;Smith, Owen&lt;/author&gt;&lt;author&gt;Robles, Sylvia&lt;/author&gt;&lt;/authors&gt;&lt;/contributors&gt;&lt;titles&gt;&lt;title&gt;Public policy and the challenge of chronic noncommunicable diseases&lt;/title&gt;&lt;/titles&gt;&lt;dates&gt;&lt;year&gt;2007&lt;/year&gt;&lt;/dates&gt;&lt;publisher&gt;World Bank-free PDF&lt;/publisher&gt;&lt;isbn&gt;0821370456&lt;/isbn&gt;&lt;urls&gt;&lt;/urls&gt;&lt;/record&gt;&lt;/Cite&gt;&lt;Cite&gt;&lt;Author&gt;Ministry of Health&lt;/Author&gt;&lt;Year&gt;2009&lt;/Year&gt;&lt;RecNum&gt;835&lt;/RecNum&gt;&lt;record&gt;&lt;rec-number&gt;835&lt;/rec-number&gt;&lt;foreign-keys&gt;&lt;key app="EN" db-id="paxef0v91tx5e7eaev8xxf2xd92zvrfrv592"&gt;835&lt;/key&gt;&lt;/foreign-keys&gt;&lt;ref-type name="Government Document"&gt;46&lt;/ref-type&gt;&lt;contributors&gt;&lt;authors&gt;&lt;author&gt;Ministry of Health,&lt;/author&gt;&lt;/authors&gt;&lt;/contributors&gt;&lt;titles&gt;&lt;title&gt;Report on New Zealand cost-of-illness studies on long-term conditions&lt;/title&gt;&lt;/titles&gt;&lt;dates&gt;&lt;year&gt;2009&lt;/year&gt;&lt;/dates&gt;&lt;pub-location&gt;Wellington&lt;/pub-location&gt;&lt;urls&gt;&lt;/urls&gt;&lt;/record&gt;&lt;/Cite&gt;&lt;/EndNote&gt;</w:instrText>
      </w:r>
      <w:r w:rsidR="00A20636">
        <w:rPr>
          <w:rFonts w:ascii="Arial" w:hAnsi="Arial" w:cs="Arial"/>
          <w:sz w:val="22"/>
        </w:rPr>
        <w:fldChar w:fldCharType="separate"/>
      </w:r>
      <w:r w:rsidR="00E96985" w:rsidRPr="00E96985">
        <w:rPr>
          <w:rFonts w:ascii="Arial" w:hAnsi="Arial" w:cs="Arial"/>
          <w:noProof/>
          <w:sz w:val="22"/>
          <w:vertAlign w:val="superscript"/>
        </w:rPr>
        <w:t>(</w:t>
      </w:r>
      <w:hyperlink w:anchor="_ENREF_9" w:tooltip="Suhrcke, 2006 #833" w:history="1">
        <w:r w:rsidR="001418E1" w:rsidRPr="00E96985">
          <w:rPr>
            <w:rFonts w:ascii="Arial" w:hAnsi="Arial" w:cs="Arial"/>
            <w:noProof/>
            <w:sz w:val="22"/>
            <w:vertAlign w:val="superscript"/>
          </w:rPr>
          <w:t>9-11</w:t>
        </w:r>
      </w:hyperlink>
      <w:r w:rsidR="00E96985" w:rsidRPr="00E96985">
        <w:rPr>
          <w:rFonts w:ascii="Arial" w:hAnsi="Arial" w:cs="Arial"/>
          <w:noProof/>
          <w:sz w:val="22"/>
          <w:vertAlign w:val="superscript"/>
        </w:rPr>
        <w:t>)</w:t>
      </w:r>
      <w:r w:rsidR="00A20636">
        <w:rPr>
          <w:rFonts w:ascii="Arial" w:hAnsi="Arial" w:cs="Arial"/>
          <w:sz w:val="22"/>
        </w:rPr>
        <w:fldChar w:fldCharType="end"/>
      </w:r>
      <w:r w:rsidR="00A20636">
        <w:rPr>
          <w:rFonts w:ascii="Arial" w:hAnsi="Arial" w:cs="Arial"/>
          <w:sz w:val="22"/>
        </w:rPr>
        <w:t>.</w:t>
      </w:r>
      <w:r>
        <w:rPr>
          <w:rFonts w:ascii="Arial" w:hAnsi="Arial" w:cs="Arial"/>
          <w:sz w:val="22"/>
        </w:rPr>
        <w:t xml:space="preserve">  </w:t>
      </w:r>
      <w:r w:rsidR="00E37D57">
        <w:rPr>
          <w:rFonts w:ascii="Arial" w:hAnsi="Arial" w:cs="Arial"/>
          <w:sz w:val="22"/>
        </w:rPr>
        <w:t>Using this figure, the total (direct and indirect) cost of stroke in Ne</w:t>
      </w:r>
      <w:r w:rsidR="00543C22">
        <w:rPr>
          <w:rFonts w:ascii="Arial" w:hAnsi="Arial" w:cs="Arial"/>
          <w:sz w:val="22"/>
        </w:rPr>
        <w:t>w Zealand is estimated at $378 million-$432</w:t>
      </w:r>
      <w:r w:rsidR="00E37D57">
        <w:rPr>
          <w:rFonts w:ascii="Arial" w:hAnsi="Arial" w:cs="Arial"/>
          <w:sz w:val="22"/>
        </w:rPr>
        <w:t xml:space="preserve"> million, broadly in line with the published estimate of $450 million </w:t>
      </w:r>
      <w:r w:rsidR="00E37D57">
        <w:rPr>
          <w:rFonts w:ascii="Arial" w:hAnsi="Arial" w:cs="Arial"/>
          <w:sz w:val="22"/>
        </w:rPr>
        <w:fldChar w:fldCharType="begin"/>
      </w:r>
      <w:r w:rsidR="00E96985">
        <w:rPr>
          <w:rFonts w:ascii="Arial" w:hAnsi="Arial" w:cs="Arial"/>
          <w:sz w:val="22"/>
        </w:rPr>
        <w:instrText xml:space="preserve"> ADDIN EN.CITE &lt;EndNote&gt;&lt;Cite&gt;&lt;Author&gt;Brown&lt;/Author&gt;&lt;Year&gt;2009&lt;/Year&gt;&lt;RecNum&gt;836&lt;/RecNum&gt;&lt;DisplayText&gt;&lt;style face="superscript"&gt;(12)&lt;/style&gt;&lt;/DisplayText&gt;&lt;record&gt;&lt;rec-number&gt;836&lt;/rec-number&gt;&lt;foreign-keys&gt;&lt;key app="EN" db-id="paxef0v91tx5e7eaev8xxf2xd92zvrfrv592"&gt;836&lt;/key&gt;&lt;/foreign-keys&gt;&lt;ref-type name="Government Document"&gt;46&lt;/ref-type&gt;&lt;contributors&gt;&lt;authors&gt;&lt;author&gt;P. Brown&lt;/author&gt;&lt;/authors&gt;&lt;secondary-authors&gt;&lt;author&gt;Stroke Foundation&lt;/author&gt;&lt;/secondary-authors&gt;&lt;/contributors&gt;&lt;titles&gt;&lt;title&gt;Economic burden of stroke in New Zealand. Three decades of Auckland regional Community Stroke (ARCOS) studies: What have we learned and what is next for stroke care and stroke research?&lt;/title&gt;&lt;/titles&gt;&lt;dates&gt;&lt;year&gt;2009&lt;/year&gt;&lt;/dates&gt;&lt;pub-location&gt;Wellington&lt;/pub-location&gt;&lt;urls&gt;&lt;/urls&gt;&lt;/record&gt;&lt;/Cite&gt;&lt;/EndNote&gt;</w:instrText>
      </w:r>
      <w:r w:rsidR="00E37D57">
        <w:rPr>
          <w:rFonts w:ascii="Arial" w:hAnsi="Arial" w:cs="Arial"/>
          <w:sz w:val="22"/>
        </w:rPr>
        <w:fldChar w:fldCharType="separate"/>
      </w:r>
      <w:r w:rsidR="00E96985" w:rsidRPr="00E96985">
        <w:rPr>
          <w:rFonts w:ascii="Arial" w:hAnsi="Arial" w:cs="Arial"/>
          <w:noProof/>
          <w:sz w:val="22"/>
          <w:vertAlign w:val="superscript"/>
        </w:rPr>
        <w:t>(</w:t>
      </w:r>
      <w:hyperlink w:anchor="_ENREF_12" w:tooltip="Brown, 2009 #836" w:history="1">
        <w:r w:rsidR="001418E1" w:rsidRPr="00E96985">
          <w:rPr>
            <w:rFonts w:ascii="Arial" w:hAnsi="Arial" w:cs="Arial"/>
            <w:noProof/>
            <w:sz w:val="22"/>
            <w:vertAlign w:val="superscript"/>
          </w:rPr>
          <w:t>12</w:t>
        </w:r>
      </w:hyperlink>
      <w:r w:rsidR="00E96985" w:rsidRPr="00E96985">
        <w:rPr>
          <w:rFonts w:ascii="Arial" w:hAnsi="Arial" w:cs="Arial"/>
          <w:noProof/>
          <w:sz w:val="22"/>
          <w:vertAlign w:val="superscript"/>
        </w:rPr>
        <w:t>)</w:t>
      </w:r>
      <w:r w:rsidR="00E37D57">
        <w:rPr>
          <w:rFonts w:ascii="Arial" w:hAnsi="Arial" w:cs="Arial"/>
          <w:sz w:val="22"/>
        </w:rPr>
        <w:fldChar w:fldCharType="end"/>
      </w:r>
      <w:r w:rsidR="00E37D57">
        <w:rPr>
          <w:rFonts w:ascii="Arial" w:hAnsi="Arial" w:cs="Arial"/>
          <w:sz w:val="22"/>
        </w:rPr>
        <w:t>.</w:t>
      </w:r>
    </w:p>
    <w:p w:rsidR="00A63BA1" w:rsidRDefault="00A63BA1" w:rsidP="009F3F4E">
      <w:pPr>
        <w:pStyle w:val="Heading1"/>
      </w:pPr>
      <w:bookmarkStart w:id="57" w:name="_Toc365276887"/>
      <w:r>
        <w:lastRenderedPageBreak/>
        <w:t>Hypertension (HTN)</w:t>
      </w:r>
      <w:bookmarkEnd w:id="57"/>
    </w:p>
    <w:p w:rsidR="00A63BA1" w:rsidRDefault="00A63BA1" w:rsidP="00A63BA1">
      <w:pPr>
        <w:pStyle w:val="Heading2"/>
      </w:pPr>
      <w:bookmarkStart w:id="58" w:name="_Toc358124634"/>
      <w:bookmarkStart w:id="59" w:name="_Toc360641434"/>
      <w:bookmarkStart w:id="60" w:name="_Toc360714595"/>
      <w:bookmarkStart w:id="61" w:name="_Toc363122531"/>
      <w:bookmarkStart w:id="62" w:name="_Toc365276888"/>
      <w:r>
        <w:t>Disease Description</w:t>
      </w:r>
      <w:bookmarkEnd w:id="58"/>
      <w:bookmarkEnd w:id="59"/>
      <w:bookmarkEnd w:id="60"/>
      <w:bookmarkEnd w:id="61"/>
      <w:bookmarkEnd w:id="62"/>
    </w:p>
    <w:p w:rsidR="00A63BA1" w:rsidRPr="00164F8C"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Hypertension (HTN - raised blood pressure beyond defined limits) is thought to affect more than half of adults globally, and contributes to 49% of all coronary heart disease and 62% of strokes </w:t>
      </w:r>
      <w:r w:rsidRPr="00164F8C">
        <w:rPr>
          <w:rFonts w:ascii="Arial" w:hAnsi="Arial" w:cs="Arial"/>
          <w:sz w:val="22"/>
        </w:rPr>
        <w:fldChar w:fldCharType="begin"/>
      </w:r>
      <w:r w:rsidR="00E96985">
        <w:rPr>
          <w:rFonts w:ascii="Arial" w:hAnsi="Arial" w:cs="Arial"/>
          <w:sz w:val="22"/>
        </w:rPr>
        <w:instrText xml:space="preserve"> ADDIN EN.CITE &lt;EndNote&gt;&lt;Cite&gt;&lt;Author&gt;Aburto&lt;/Author&gt;&lt;Year&gt;2013&lt;/Year&gt;&lt;RecNum&gt;726&lt;/RecNum&gt;&lt;DisplayText&gt;&lt;style face="superscript"&gt;(13)&lt;/style&gt;&lt;/DisplayText&gt;&lt;record&gt;&lt;rec-number&gt;726&lt;/rec-number&gt;&lt;foreign-keys&gt;&lt;key app="EN" db-id="paxef0v91tx5e7eaev8xxf2xd92zvrfrv592"&gt;726&lt;/key&gt;&lt;/foreign-keys&gt;&lt;ref-type name="Journal Article"&gt;17&lt;/ref-type&gt;&lt;contributors&gt;&lt;authors&gt;&lt;author&gt;Aburto, Nancy J&lt;/author&gt;&lt;author&gt;Ziolkovska, Anna&lt;/author&gt;&lt;author&gt;Hooper, Lee&lt;/author&gt;&lt;author&gt;Elliott, Paul&lt;/author&gt;&lt;author&gt;Cappuccio, Francesco P&lt;/author&gt;&lt;author&gt;Meerpohl, Joerg J&lt;/author&gt;&lt;/authors&gt;&lt;/contributors&gt;&lt;titles&gt;&lt;title&gt;Effect of lower sodium intake on health: systematic review and meta-analyses&lt;/title&gt;&lt;secondary-title&gt;British Medical Journal&lt;/secondary-title&gt;&lt;/titles&gt;&lt;periodical&gt;&lt;full-title&gt;British Medical Journal&lt;/full-title&gt;&lt;/periodical&gt;&lt;pages&gt;f1326&lt;/pages&gt;&lt;volume&gt;346&lt;/volume&gt;&lt;dates&gt;&lt;year&gt;2013&lt;/year&gt;&lt;/dates&gt;&lt;isbn&gt;1756-1833&lt;/isbn&gt;&lt;urls&gt;&lt;/urls&gt;&lt;/record&gt;&lt;/Cite&gt;&lt;/EndNote&gt;</w:instrText>
      </w:r>
      <w:r w:rsidRPr="00164F8C">
        <w:rPr>
          <w:rFonts w:ascii="Arial" w:hAnsi="Arial" w:cs="Arial"/>
          <w:sz w:val="22"/>
        </w:rPr>
        <w:fldChar w:fldCharType="separate"/>
      </w:r>
      <w:r w:rsidR="00E96985" w:rsidRPr="00E96985">
        <w:rPr>
          <w:rFonts w:ascii="Arial" w:hAnsi="Arial" w:cs="Arial"/>
          <w:noProof/>
          <w:sz w:val="22"/>
          <w:vertAlign w:val="superscript"/>
        </w:rPr>
        <w:t>(</w:t>
      </w:r>
      <w:hyperlink w:anchor="_ENREF_13" w:tooltip="Aburto, 2013 #726" w:history="1">
        <w:r w:rsidR="001418E1" w:rsidRPr="00E96985">
          <w:rPr>
            <w:rFonts w:ascii="Arial" w:hAnsi="Arial" w:cs="Arial"/>
            <w:noProof/>
            <w:sz w:val="22"/>
            <w:vertAlign w:val="superscript"/>
          </w:rPr>
          <w:t>13</w:t>
        </w:r>
      </w:hyperlink>
      <w:r w:rsidR="00E96985" w:rsidRPr="00E96985">
        <w:rPr>
          <w:rFonts w:ascii="Arial" w:hAnsi="Arial" w:cs="Arial"/>
          <w:noProof/>
          <w:sz w:val="22"/>
          <w:vertAlign w:val="superscript"/>
        </w:rPr>
        <w:t>)</w:t>
      </w:r>
      <w:r w:rsidRPr="00164F8C">
        <w:rPr>
          <w:rFonts w:ascii="Arial" w:hAnsi="Arial" w:cs="Arial"/>
          <w:sz w:val="22"/>
        </w:rPr>
        <w:fldChar w:fldCharType="end"/>
      </w:r>
      <w:r w:rsidRPr="00164F8C">
        <w:rPr>
          <w:rFonts w:ascii="Arial" w:hAnsi="Arial" w:cs="Arial"/>
          <w:sz w:val="22"/>
        </w:rPr>
        <w:t xml:space="preserve">.  Cardiovascular risk doubles for every 20-mmHg increase in systolic blood pressure (the highest pressure in the blood vessels) or 10-mmHg increase in diastolic blood pressure (lowest pressure in the blood vessels).  HTN can either be primary (also called essential HTN) or secondary to another disease process (e.g. renal artery stenosis or Cushing's syndrome).  </w:t>
      </w:r>
    </w:p>
    <w:p w:rsidR="00A63BA1" w:rsidRPr="00164F8C"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Risk factors for primary hypertension include family history, obesity, </w:t>
      </w:r>
      <w:proofErr w:type="gramStart"/>
      <w:r w:rsidRPr="00164F8C">
        <w:rPr>
          <w:rFonts w:ascii="Arial" w:hAnsi="Arial" w:cs="Arial"/>
          <w:sz w:val="22"/>
        </w:rPr>
        <w:t>weight</w:t>
      </w:r>
      <w:proofErr w:type="gramEnd"/>
      <w:r w:rsidRPr="00164F8C">
        <w:rPr>
          <w:rFonts w:ascii="Arial" w:hAnsi="Arial" w:cs="Arial"/>
          <w:sz w:val="22"/>
        </w:rPr>
        <w:t>-gain, lack of exercise, high dietary sodium, alcohol consumption and psychosocial stress.  Although generally asymptomatic (malignant hypertension can rarely cause acute symptoms), hypertension manifests through damage to target organs, particularly the heart, kidneys, brain and peripheral arteries.  Treatment is aimed at reducing the blood pressure to normal levels through lifestyle and dietary change, medication and, more recently, percutaneous interventions for renal artery denervation.</w:t>
      </w:r>
    </w:p>
    <w:p w:rsidR="00A63BA1" w:rsidRDefault="00A63BA1" w:rsidP="00A63BA1">
      <w:pPr>
        <w:pStyle w:val="Heading2"/>
      </w:pPr>
      <w:bookmarkStart w:id="63" w:name="_Toc360641435"/>
      <w:bookmarkStart w:id="64" w:name="_Toc360714596"/>
      <w:bookmarkStart w:id="65" w:name="_Toc363122532"/>
      <w:bookmarkStart w:id="66" w:name="_Toc365276889"/>
      <w:r>
        <w:t>Prevalence and Incidence</w:t>
      </w:r>
      <w:bookmarkEnd w:id="63"/>
      <w:bookmarkEnd w:id="64"/>
      <w:bookmarkEnd w:id="65"/>
      <w:bookmarkEnd w:id="66"/>
    </w:p>
    <w:p w:rsidR="00A63BA1" w:rsidRPr="00164F8C" w:rsidRDefault="00692C4B" w:rsidP="00A63BA1">
      <w:pPr>
        <w:pStyle w:val="contentbody"/>
        <w:spacing w:before="0" w:beforeAutospacing="0" w:after="120" w:afterAutospacing="0" w:line="360" w:lineRule="auto"/>
        <w:jc w:val="both"/>
        <w:rPr>
          <w:rFonts w:ascii="Arial" w:hAnsi="Arial" w:cs="Arial"/>
          <w:sz w:val="22"/>
        </w:rPr>
      </w:pPr>
      <w:r>
        <w:rPr>
          <w:rFonts w:ascii="Arial" w:hAnsi="Arial" w:cs="Arial"/>
          <w:sz w:val="22"/>
        </w:rPr>
        <w:t>Using the number of adults who took blood pressure medication as a proxy for HTN prevalence</w:t>
      </w:r>
      <w:r w:rsidR="00523F30">
        <w:rPr>
          <w:rStyle w:val="FootnoteReference"/>
          <w:rFonts w:ascii="Arial" w:hAnsi="Arial" w:cs="Arial"/>
          <w:sz w:val="22"/>
        </w:rPr>
        <w:footnoteReference w:id="2"/>
      </w:r>
      <w:r>
        <w:rPr>
          <w:rFonts w:ascii="Arial" w:hAnsi="Arial" w:cs="Arial"/>
          <w:sz w:val="22"/>
        </w:rPr>
        <w:t>, a</w:t>
      </w:r>
      <w:r w:rsidR="00A63BA1" w:rsidRPr="00164F8C">
        <w:rPr>
          <w:rFonts w:ascii="Arial" w:hAnsi="Arial" w:cs="Arial"/>
          <w:sz w:val="22"/>
        </w:rPr>
        <w:t xml:space="preserve">bout 16% of adults over the age of 15 years took blood pressure medication in 2011/12, an increase of 2.0% since 2006/07 (14%, Figure </w:t>
      </w:r>
      <w:r>
        <w:rPr>
          <w:rFonts w:ascii="Arial" w:hAnsi="Arial" w:cs="Arial"/>
          <w:sz w:val="22"/>
        </w:rPr>
        <w:t>5</w:t>
      </w:r>
      <w:r w:rsidR="00A63BA1" w:rsidRPr="00164F8C">
        <w:rPr>
          <w:rFonts w:ascii="Arial" w:hAnsi="Arial" w:cs="Arial"/>
          <w:sz w:val="22"/>
        </w:rPr>
        <w:t xml:space="preserve">)) </w:t>
      </w:r>
      <w:r w:rsidR="00A63BA1" w:rsidRPr="00164F8C">
        <w:rPr>
          <w:rFonts w:ascii="Arial" w:hAnsi="Arial" w:cs="Arial"/>
          <w:sz w:val="22"/>
        </w:rPr>
        <w:fldChar w:fldCharType="begin"/>
      </w:r>
      <w:r w:rsidR="00E96985">
        <w:rPr>
          <w:rFonts w:ascii="Arial" w:hAnsi="Arial" w:cs="Arial"/>
          <w:sz w:val="22"/>
        </w:rPr>
        <w:instrText xml:space="preserve"> ADDIN EN.CITE &lt;EndNote&gt;&lt;Cite&gt;&lt;Author&gt;Ministry of Health&lt;/Author&gt;&lt;Year&gt;2012&lt;/Year&gt;&lt;RecNum&gt;657&lt;/RecNum&gt;&lt;DisplayText&gt;&lt;style face="superscript"&gt;(3)&lt;/style&gt;&lt;/DisplayText&gt;&lt;record&gt;&lt;rec-number&gt;657&lt;/rec-number&gt;&lt;foreign-keys&gt;&lt;key app="EN" db-id="paxef0v91tx5e7eaev8xxf2xd92zvrfrv592"&gt;657&lt;/key&gt;&lt;/foreign-keys&gt;&lt;ref-type name="Government Document"&gt;46&lt;/ref-type&gt;&lt;contributors&gt;&lt;authors&gt;&lt;author&gt;Ministry of Health,&lt;/author&gt;&lt;/authors&gt;&lt;/contributors&gt;&lt;titles&gt;&lt;title&gt;New Zealand Health Survey 2011/2012&lt;/title&gt;&lt;/titles&gt;&lt;dates&gt;&lt;year&gt;2012&lt;/year&gt;&lt;/dates&gt;&lt;pub-location&gt;Wellington&lt;/pub-location&gt;&lt;publisher&gt;Ministry of Health&lt;/publisher&gt;&lt;urls&gt;&lt;/urls&gt;&lt;/record&gt;&lt;/Cite&gt;&lt;/EndNote&gt;</w:instrText>
      </w:r>
      <w:r w:rsidR="00A63BA1" w:rsidRPr="00164F8C">
        <w:rPr>
          <w:rFonts w:ascii="Arial" w:hAnsi="Arial" w:cs="Arial"/>
          <w:sz w:val="22"/>
        </w:rPr>
        <w:fldChar w:fldCharType="separate"/>
      </w:r>
      <w:r w:rsidR="00E96985" w:rsidRPr="00E96985">
        <w:rPr>
          <w:rFonts w:ascii="Arial" w:hAnsi="Arial" w:cs="Arial"/>
          <w:noProof/>
          <w:sz w:val="22"/>
          <w:vertAlign w:val="superscript"/>
        </w:rPr>
        <w:t>(</w:t>
      </w:r>
      <w:hyperlink w:anchor="_ENREF_3" w:tooltip="Ministry of Health, 2012 #657" w:history="1">
        <w:r w:rsidR="001418E1" w:rsidRPr="00E96985">
          <w:rPr>
            <w:rFonts w:ascii="Arial" w:hAnsi="Arial" w:cs="Arial"/>
            <w:noProof/>
            <w:sz w:val="22"/>
            <w:vertAlign w:val="superscript"/>
          </w:rPr>
          <w:t>3</w:t>
        </w:r>
      </w:hyperlink>
      <w:r w:rsidR="00E96985" w:rsidRPr="00E96985">
        <w:rPr>
          <w:rFonts w:ascii="Arial" w:hAnsi="Arial" w:cs="Arial"/>
          <w:noProof/>
          <w:sz w:val="22"/>
          <w:vertAlign w:val="superscript"/>
        </w:rPr>
        <w:t>)</w:t>
      </w:r>
      <w:r w:rsidR="00A63BA1" w:rsidRPr="00164F8C">
        <w:rPr>
          <w:rFonts w:ascii="Arial" w:hAnsi="Arial" w:cs="Arial"/>
          <w:sz w:val="22"/>
        </w:rPr>
        <w:fldChar w:fldCharType="end"/>
      </w:r>
      <w:r w:rsidR="00A63BA1" w:rsidRPr="00164F8C">
        <w:rPr>
          <w:rFonts w:ascii="Arial" w:hAnsi="Arial" w:cs="Arial"/>
          <w:sz w:val="22"/>
        </w:rPr>
        <w:t xml:space="preserve">.  In 2011/12 this equated to 558,000 adults.  Women were more likely to take medication than men for high blood pressure </w:t>
      </w:r>
      <w:r w:rsidR="0010588B">
        <w:rPr>
          <w:rFonts w:ascii="Arial" w:hAnsi="Arial" w:cs="Arial"/>
          <w:sz w:val="22"/>
        </w:rPr>
        <w:t>(17% versus 14%, Figure 5</w:t>
      </w:r>
      <w:r w:rsidR="00A63BA1" w:rsidRPr="00164F8C">
        <w:rPr>
          <w:rFonts w:ascii="Arial" w:hAnsi="Arial" w:cs="Arial"/>
          <w:sz w:val="22"/>
        </w:rPr>
        <w:t xml:space="preserve">).  </w:t>
      </w:r>
    </w:p>
    <w:p w:rsidR="00A63BA1" w:rsidRPr="007C6E9A" w:rsidRDefault="0010588B" w:rsidP="00A63BA1">
      <w:pPr>
        <w:pStyle w:val="Figure"/>
      </w:pPr>
      <w:r>
        <w:t>Figure 5</w:t>
      </w:r>
      <w:r w:rsidR="00A63BA1">
        <w:t>: HTN Prevalence Trend from 2000-2012</w:t>
      </w:r>
    </w:p>
    <w:p w:rsidR="00E8170C" w:rsidRDefault="00A63BA1" w:rsidP="00365A3A">
      <w:pPr>
        <w:pStyle w:val="Caption"/>
      </w:pPr>
      <w:r w:rsidRPr="00B96722">
        <w:rPr>
          <w:noProof/>
          <w:lang w:eastAsia="en-NZ"/>
        </w:rPr>
        <w:drawing>
          <wp:inline distT="0" distB="0" distL="0" distR="0" wp14:anchorId="54DBA8E0" wp14:editId="09EA85BA">
            <wp:extent cx="5715718" cy="2760452"/>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766" r="10000" b="11665"/>
                    <a:stretch/>
                  </pic:blipFill>
                  <pic:spPr bwMode="auto">
                    <a:xfrm>
                      <a:off x="0" y="0"/>
                      <a:ext cx="5724361" cy="2764626"/>
                    </a:xfrm>
                    <a:prstGeom prst="rect">
                      <a:avLst/>
                    </a:prstGeom>
                    <a:noFill/>
                    <a:ln>
                      <a:noFill/>
                    </a:ln>
                    <a:extLst>
                      <a:ext uri="{53640926-AAD7-44D8-BBD7-CCE9431645EC}">
                        <a14:shadowObscured xmlns:a14="http://schemas.microsoft.com/office/drawing/2010/main"/>
                      </a:ext>
                    </a:extLst>
                  </pic:spPr>
                </pic:pic>
              </a:graphicData>
            </a:graphic>
          </wp:inline>
        </w:drawing>
      </w:r>
    </w:p>
    <w:p w:rsidR="00A63BA1" w:rsidRPr="00FE7190" w:rsidRDefault="00A63BA1" w:rsidP="00365A3A">
      <w:pPr>
        <w:pStyle w:val="Caption"/>
      </w:pPr>
      <w:r>
        <w:lastRenderedPageBreak/>
        <w:t xml:space="preserve">Note: Rates are age-standardised to the WHO World Population                                                                               </w:t>
      </w:r>
      <w:r w:rsidR="00365A3A">
        <w:br/>
      </w:r>
      <w:r>
        <w:t>Source: The Health of New Zealand Adults 2011/12: Key findings of the New Zealand Health Survey</w:t>
      </w:r>
    </w:p>
    <w:p w:rsidR="00A63BA1" w:rsidRPr="00164F8C" w:rsidRDefault="00A63BA1" w:rsidP="00A63BA1">
      <w:pPr>
        <w:pStyle w:val="contentbody"/>
        <w:spacing w:before="120" w:beforeAutospacing="0" w:after="120" w:afterAutospacing="0" w:line="360" w:lineRule="auto"/>
        <w:jc w:val="both"/>
        <w:rPr>
          <w:rFonts w:ascii="Arial" w:hAnsi="Arial" w:cs="Arial"/>
          <w:sz w:val="22"/>
        </w:rPr>
      </w:pPr>
      <w:r w:rsidRPr="00164F8C">
        <w:rPr>
          <w:rFonts w:ascii="Arial" w:hAnsi="Arial" w:cs="Arial"/>
          <w:sz w:val="22"/>
        </w:rPr>
        <w:t>HTN rates increase with age with over half the individuals over 65 years tak</w:t>
      </w:r>
      <w:r w:rsidR="0010588B">
        <w:rPr>
          <w:rFonts w:ascii="Arial" w:hAnsi="Arial" w:cs="Arial"/>
          <w:sz w:val="22"/>
        </w:rPr>
        <w:t>ing medication for HTN (Figure 6</w:t>
      </w:r>
      <w:r w:rsidRPr="00164F8C">
        <w:rPr>
          <w:rFonts w:ascii="Arial" w:hAnsi="Arial" w:cs="Arial"/>
          <w:sz w:val="22"/>
        </w:rPr>
        <w:t>). Whilst the overall rate of HTN increased from 2006/07 to 2011/12, most of this growth was driven by an increasing rate among women, especially women over the age of 75 years.</w:t>
      </w:r>
    </w:p>
    <w:p w:rsidR="00A63BA1" w:rsidRDefault="0010588B" w:rsidP="00A63BA1">
      <w:pPr>
        <w:pStyle w:val="Figure"/>
      </w:pPr>
      <w:r>
        <w:t>Figure 6</w:t>
      </w:r>
      <w:r w:rsidR="00A63BA1">
        <w:t>: HTN Prevalence by Age and Gender</w:t>
      </w:r>
    </w:p>
    <w:p w:rsidR="00A63BA1" w:rsidRDefault="00A63BA1" w:rsidP="00365A3A">
      <w:pPr>
        <w:pStyle w:val="Caption"/>
      </w:pPr>
      <w:r w:rsidRPr="00B96722">
        <w:rPr>
          <w:noProof/>
          <w:lang w:eastAsia="en-NZ"/>
        </w:rPr>
        <w:drawing>
          <wp:inline distT="0" distB="0" distL="0" distR="0" wp14:anchorId="0518D6B6" wp14:editId="24F1C90E">
            <wp:extent cx="5724939" cy="3363402"/>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596" b="3360"/>
                    <a:stretch/>
                  </pic:blipFill>
                  <pic:spPr bwMode="auto">
                    <a:xfrm>
                      <a:off x="0" y="0"/>
                      <a:ext cx="5731510" cy="3367262"/>
                    </a:xfrm>
                    <a:prstGeom prst="rect">
                      <a:avLst/>
                    </a:prstGeom>
                    <a:noFill/>
                    <a:ln>
                      <a:noFill/>
                    </a:ln>
                    <a:extLst>
                      <a:ext uri="{53640926-AAD7-44D8-BBD7-CCE9431645EC}">
                        <a14:shadowObscured xmlns:a14="http://schemas.microsoft.com/office/drawing/2010/main"/>
                      </a:ext>
                    </a:extLst>
                  </pic:spPr>
                </pic:pic>
              </a:graphicData>
            </a:graphic>
          </wp:inline>
        </w:drawing>
      </w:r>
    </w:p>
    <w:p w:rsidR="00A63BA1" w:rsidRDefault="00A63BA1" w:rsidP="00365A3A">
      <w:pPr>
        <w:pStyle w:val="Caption"/>
      </w:pPr>
      <w:r>
        <w:t>Source: The Health of New Zealand Adults 2011/12: Key findings of the New Zealand Health Survey</w:t>
      </w:r>
    </w:p>
    <w:p w:rsidR="00A63BA1" w:rsidRPr="00164F8C" w:rsidRDefault="00A63BA1" w:rsidP="00A63BA1">
      <w:pPr>
        <w:pStyle w:val="contentbody"/>
        <w:spacing w:before="120" w:beforeAutospacing="0" w:after="120" w:afterAutospacing="0" w:line="360" w:lineRule="auto"/>
        <w:jc w:val="both"/>
        <w:rPr>
          <w:rFonts w:ascii="Arial" w:hAnsi="Arial" w:cs="Arial"/>
          <w:sz w:val="22"/>
        </w:rPr>
      </w:pPr>
      <w:r w:rsidRPr="00164F8C">
        <w:rPr>
          <w:rFonts w:ascii="Arial" w:hAnsi="Arial" w:cs="Arial"/>
          <w:sz w:val="22"/>
        </w:rPr>
        <w:t>Māori and Pacific people were 1.3 and 1.4 times more likely than non-Māori/non-Pacific peoples to take medication for HTN after ad</w:t>
      </w:r>
      <w:r w:rsidR="0010588B">
        <w:rPr>
          <w:rFonts w:ascii="Arial" w:hAnsi="Arial" w:cs="Arial"/>
          <w:sz w:val="22"/>
        </w:rPr>
        <w:t>justing for sex and age (Table 4</w:t>
      </w:r>
      <w:r w:rsidRPr="00164F8C">
        <w:rPr>
          <w:rFonts w:ascii="Arial" w:hAnsi="Arial" w:cs="Arial"/>
          <w:sz w:val="22"/>
        </w:rPr>
        <w:t>).</w:t>
      </w:r>
    </w:p>
    <w:p w:rsidR="00A63BA1" w:rsidRDefault="0010588B" w:rsidP="00A63BA1">
      <w:pPr>
        <w:pStyle w:val="Figure"/>
      </w:pPr>
      <w:r>
        <w:lastRenderedPageBreak/>
        <w:t>Table 4</w:t>
      </w:r>
      <w:r w:rsidR="00A63BA1">
        <w:t>: Ethnic Standardised Prevalence by Gender</w:t>
      </w:r>
    </w:p>
    <w:p w:rsidR="00A63BA1" w:rsidRDefault="00A63BA1" w:rsidP="00365A3A">
      <w:pPr>
        <w:pStyle w:val="Caption"/>
      </w:pPr>
      <w:r>
        <w:rPr>
          <w:noProof/>
          <w:lang w:eastAsia="en-NZ"/>
        </w:rPr>
        <w:drawing>
          <wp:inline distT="0" distB="0" distL="0" distR="0" wp14:anchorId="6ABAD5C1" wp14:editId="1CA74BBF">
            <wp:extent cx="5939790" cy="3210269"/>
            <wp:effectExtent l="0" t="0" r="381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3210269"/>
                    </a:xfrm>
                    <a:prstGeom prst="rect">
                      <a:avLst/>
                    </a:prstGeom>
                    <a:noFill/>
                    <a:ln>
                      <a:noFill/>
                    </a:ln>
                  </pic:spPr>
                </pic:pic>
              </a:graphicData>
            </a:graphic>
          </wp:inline>
        </w:drawing>
      </w:r>
      <w:r>
        <w:t>Source: The Health of New Zealand Adults 2011/12: Key findings of the New Zealand Health Survey</w:t>
      </w:r>
    </w:p>
    <w:p w:rsidR="00A63BA1" w:rsidRPr="00164F8C" w:rsidRDefault="00A63BA1" w:rsidP="00A63BA1">
      <w:pPr>
        <w:pStyle w:val="contentbody"/>
        <w:spacing w:before="120" w:beforeAutospacing="0" w:after="120" w:afterAutospacing="0" w:line="360" w:lineRule="auto"/>
        <w:jc w:val="both"/>
        <w:rPr>
          <w:rFonts w:ascii="Arial" w:hAnsi="Arial" w:cs="Arial"/>
          <w:sz w:val="22"/>
        </w:rPr>
      </w:pPr>
      <w:r w:rsidRPr="00164F8C">
        <w:rPr>
          <w:rFonts w:ascii="Arial" w:hAnsi="Arial" w:cs="Arial"/>
          <w:sz w:val="22"/>
        </w:rPr>
        <w:t xml:space="preserve">Individuals from an area of high deprivation were 1.4 times more likely than individuals from an area of low deprivation to take HTN medication when adjusted for </w:t>
      </w:r>
      <w:r w:rsidR="0010588B">
        <w:rPr>
          <w:rFonts w:ascii="Arial" w:hAnsi="Arial" w:cs="Arial"/>
          <w:sz w:val="22"/>
        </w:rPr>
        <w:t>age, sex and ethnicity (Figure 7</w:t>
      </w:r>
      <w:r w:rsidRPr="00164F8C">
        <w:rPr>
          <w:rFonts w:ascii="Arial" w:hAnsi="Arial" w:cs="Arial"/>
          <w:sz w:val="22"/>
        </w:rPr>
        <w:t>).</w:t>
      </w:r>
    </w:p>
    <w:p w:rsidR="00A63BA1" w:rsidRDefault="0010588B" w:rsidP="00A63BA1">
      <w:pPr>
        <w:pStyle w:val="Figure"/>
      </w:pPr>
      <w:r>
        <w:t>Figure 7</w:t>
      </w:r>
      <w:r w:rsidR="00A63BA1">
        <w:t>: HTN Prevalence by Gender and Deprivation Quintile</w:t>
      </w:r>
    </w:p>
    <w:p w:rsidR="00A63BA1" w:rsidRPr="00AE5209" w:rsidRDefault="00A63BA1" w:rsidP="00A63BA1">
      <w:pPr>
        <w:jc w:val="center"/>
      </w:pPr>
      <w:r w:rsidRPr="00BE2885">
        <w:rPr>
          <w:noProof/>
          <w:lang w:eastAsia="en-NZ"/>
        </w:rPr>
        <w:drawing>
          <wp:inline distT="0" distB="0" distL="0" distR="0" wp14:anchorId="591190D0" wp14:editId="11ED5EC5">
            <wp:extent cx="5820355" cy="303952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6596" b="13365"/>
                    <a:stretch/>
                  </pic:blipFill>
                  <pic:spPr bwMode="auto">
                    <a:xfrm>
                      <a:off x="0" y="0"/>
                      <a:ext cx="5827036" cy="3043009"/>
                    </a:xfrm>
                    <a:prstGeom prst="rect">
                      <a:avLst/>
                    </a:prstGeom>
                    <a:noFill/>
                    <a:ln>
                      <a:noFill/>
                    </a:ln>
                    <a:extLst>
                      <a:ext uri="{53640926-AAD7-44D8-BBD7-CCE9431645EC}">
                        <a14:shadowObscured xmlns:a14="http://schemas.microsoft.com/office/drawing/2010/main"/>
                      </a:ext>
                    </a:extLst>
                  </pic:spPr>
                </pic:pic>
              </a:graphicData>
            </a:graphic>
          </wp:inline>
        </w:drawing>
      </w:r>
    </w:p>
    <w:p w:rsidR="00A63BA1" w:rsidRDefault="00A63BA1" w:rsidP="00365A3A">
      <w:pPr>
        <w:pStyle w:val="Caption"/>
      </w:pPr>
      <w:bookmarkStart w:id="67" w:name="_Toc358124636"/>
      <w:bookmarkStart w:id="68" w:name="_Toc358124637"/>
      <w:r>
        <w:t>Source: The Health of New Zealand Adults 2011/12: Key findings of the New Zealand Health Survey</w:t>
      </w:r>
    </w:p>
    <w:p w:rsidR="00A63BA1" w:rsidRDefault="00A63BA1" w:rsidP="00A63BA1">
      <w:pPr>
        <w:pStyle w:val="Heading2"/>
      </w:pPr>
      <w:bookmarkStart w:id="69" w:name="_Toc360641436"/>
      <w:bookmarkStart w:id="70" w:name="_Toc360714597"/>
      <w:bookmarkStart w:id="71" w:name="_Toc363122533"/>
      <w:bookmarkStart w:id="72" w:name="_Toc365276890"/>
      <w:r>
        <w:t>Health Outcomes</w:t>
      </w:r>
      <w:bookmarkEnd w:id="67"/>
      <w:bookmarkEnd w:id="69"/>
      <w:bookmarkEnd w:id="70"/>
      <w:bookmarkEnd w:id="71"/>
      <w:bookmarkEnd w:id="72"/>
    </w:p>
    <w:p w:rsidR="00A63BA1" w:rsidRPr="00164F8C"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H</w:t>
      </w:r>
      <w:r w:rsidR="0095046C">
        <w:rPr>
          <w:rFonts w:ascii="Arial" w:hAnsi="Arial" w:cs="Arial"/>
          <w:sz w:val="22"/>
        </w:rPr>
        <w:t>ypertensive heart disease</w:t>
      </w:r>
      <w:r w:rsidRPr="00164F8C">
        <w:rPr>
          <w:rFonts w:ascii="Arial" w:hAnsi="Arial" w:cs="Arial"/>
          <w:sz w:val="22"/>
        </w:rPr>
        <w:t xml:space="preserve"> contributed to over 280 deaths and 3,300 DALYs in 2006 (3.0% and 2.0% of cardiovascular deaths and DALYs, respectively).  About 70.0% of DALYs occurred in </w:t>
      </w:r>
      <w:r w:rsidRPr="00164F8C">
        <w:rPr>
          <w:rFonts w:ascii="Arial" w:hAnsi="Arial" w:cs="Arial"/>
          <w:sz w:val="22"/>
        </w:rPr>
        <w:lastRenderedPageBreak/>
        <w:t xml:space="preserve">individuals over the age of 60 years, but an even higher percentage of deaths (78.2%) occurred in individuals aged over 80 years.  </w:t>
      </w:r>
    </w:p>
    <w:p w:rsidR="00A63BA1" w:rsidRDefault="00A63BA1" w:rsidP="00A63BA1">
      <w:pPr>
        <w:pStyle w:val="Heading2"/>
      </w:pPr>
      <w:bookmarkStart w:id="73" w:name="_Toc360641437"/>
      <w:bookmarkStart w:id="74" w:name="_Toc360714598"/>
      <w:bookmarkStart w:id="75" w:name="_Toc363122534"/>
      <w:bookmarkStart w:id="76" w:name="_Toc365276891"/>
      <w:r>
        <w:t>Health Utilisation and Cost</w:t>
      </w:r>
      <w:bookmarkEnd w:id="68"/>
      <w:bookmarkEnd w:id="73"/>
      <w:bookmarkEnd w:id="74"/>
      <w:bookmarkEnd w:id="75"/>
      <w:bookmarkEnd w:id="76"/>
    </w:p>
    <w:p w:rsidR="00A63BA1" w:rsidRPr="00164F8C"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Over 120 hospitalisations involving 111 individuals (1.1 hospitalisations per person) occurred at an average cost of $6,200 per hospitalised person in 2011/12.  Each hospitalisation was 5.7 days in length, on average, and contributed to the $1 million spent on </w:t>
      </w:r>
      <w:r w:rsidR="0095046C">
        <w:rPr>
          <w:rFonts w:ascii="Arial" w:hAnsi="Arial" w:cs="Arial"/>
          <w:sz w:val="22"/>
        </w:rPr>
        <w:t>hypertensive heart disease</w:t>
      </w:r>
      <w:r w:rsidRPr="00164F8C">
        <w:rPr>
          <w:rFonts w:ascii="Arial" w:hAnsi="Arial" w:cs="Arial"/>
          <w:sz w:val="22"/>
        </w:rPr>
        <w:t xml:space="preserve"> hospitalisations.</w:t>
      </w:r>
    </w:p>
    <w:p w:rsidR="00927C7E" w:rsidRDefault="001B31A2" w:rsidP="009F3F4E">
      <w:pPr>
        <w:pStyle w:val="Heading1"/>
      </w:pPr>
      <w:bookmarkStart w:id="77" w:name="_Toc365276892"/>
      <w:r>
        <w:t xml:space="preserve">Rheumatic </w:t>
      </w:r>
      <w:r w:rsidR="00613127">
        <w:t xml:space="preserve">Heart </w:t>
      </w:r>
      <w:r>
        <w:t>Disease</w:t>
      </w:r>
      <w:r w:rsidR="00613127">
        <w:t xml:space="preserve"> (RHD)</w:t>
      </w:r>
      <w:bookmarkEnd w:id="77"/>
    </w:p>
    <w:p w:rsidR="00927C7E" w:rsidRPr="00EA69C7" w:rsidRDefault="00927C7E" w:rsidP="00927C7E">
      <w:pPr>
        <w:pStyle w:val="Heading2"/>
      </w:pPr>
      <w:bookmarkStart w:id="78" w:name="_Toc358124599"/>
      <w:bookmarkStart w:id="79" w:name="_Toc360641399"/>
      <w:bookmarkStart w:id="80" w:name="_Toc360714600"/>
      <w:bookmarkStart w:id="81" w:name="_Toc363122536"/>
      <w:bookmarkStart w:id="82" w:name="_Toc365276893"/>
      <w:r>
        <w:t>Disease Description</w:t>
      </w:r>
      <w:bookmarkEnd w:id="78"/>
      <w:bookmarkEnd w:id="79"/>
      <w:bookmarkEnd w:id="80"/>
      <w:bookmarkEnd w:id="81"/>
      <w:bookmarkEnd w:id="82"/>
    </w:p>
    <w:p w:rsidR="001B31A2" w:rsidRPr="00FE7190" w:rsidRDefault="001B31A2" w:rsidP="0060049D">
      <w:pPr>
        <w:autoSpaceDE w:val="0"/>
        <w:autoSpaceDN w:val="0"/>
        <w:adjustRightInd w:val="0"/>
        <w:spacing w:after="120" w:line="360" w:lineRule="auto"/>
        <w:jc w:val="both"/>
        <w:rPr>
          <w:rFonts w:ascii="Arial Mäori" w:hAnsi="Arial Mäori" w:cs="Arial Mäori"/>
          <w:color w:val="000000"/>
          <w:sz w:val="22"/>
        </w:rPr>
      </w:pPr>
      <w:r w:rsidRPr="00FE7190">
        <w:rPr>
          <w:rFonts w:ascii="Arial Mäori" w:hAnsi="Arial Mäori" w:cs="Arial Mäori"/>
          <w:color w:val="000000"/>
          <w:sz w:val="22"/>
        </w:rPr>
        <w:t xml:space="preserve">Rheumatic </w:t>
      </w:r>
      <w:r w:rsidR="00613127" w:rsidRPr="00FE7190">
        <w:rPr>
          <w:rFonts w:ascii="Arial Mäori" w:hAnsi="Arial Mäori" w:cs="Arial Mäori"/>
          <w:color w:val="000000"/>
          <w:sz w:val="22"/>
        </w:rPr>
        <w:t xml:space="preserve">heart </w:t>
      </w:r>
      <w:r w:rsidRPr="00FE7190">
        <w:rPr>
          <w:rFonts w:ascii="Arial Mäori" w:hAnsi="Arial Mäori" w:cs="Arial Mäori"/>
          <w:color w:val="000000"/>
          <w:sz w:val="22"/>
        </w:rPr>
        <w:t>disease</w:t>
      </w:r>
      <w:r w:rsidR="00613127" w:rsidRPr="00FE7190">
        <w:rPr>
          <w:rFonts w:ascii="Arial Mäori" w:hAnsi="Arial Mäori" w:cs="Arial Mäori"/>
          <w:color w:val="000000"/>
          <w:sz w:val="22"/>
        </w:rPr>
        <w:t xml:space="preserve"> (RHD)</w:t>
      </w:r>
      <w:r w:rsidRPr="00FE7190">
        <w:rPr>
          <w:rFonts w:ascii="Arial Mäori" w:hAnsi="Arial Mäori" w:cs="Arial Mäori"/>
          <w:color w:val="000000"/>
          <w:sz w:val="22"/>
        </w:rPr>
        <w:t xml:space="preserve"> occurs as a consequence of acute rheumatic fever (ARF). </w:t>
      </w:r>
      <w:r w:rsidR="00163629" w:rsidRPr="00FE7190">
        <w:rPr>
          <w:rFonts w:ascii="Arial Mäori" w:hAnsi="Arial Mäori" w:cs="Arial Mäori"/>
          <w:color w:val="000000"/>
          <w:sz w:val="22"/>
        </w:rPr>
        <w:t xml:space="preserve"> </w:t>
      </w:r>
      <w:r w:rsidR="00613127" w:rsidRPr="00FE7190">
        <w:rPr>
          <w:rFonts w:ascii="Arial Mäori" w:hAnsi="Arial Mäori" w:cs="Arial Mäori"/>
          <w:color w:val="000000"/>
          <w:sz w:val="22"/>
        </w:rPr>
        <w:t>ARF</w:t>
      </w:r>
      <w:r w:rsidRPr="00FE7190">
        <w:rPr>
          <w:rFonts w:ascii="Arial Mäori" w:hAnsi="Arial Mäori" w:cs="Arial Mäori"/>
          <w:color w:val="000000"/>
          <w:sz w:val="22"/>
        </w:rPr>
        <w:t xml:space="preserve"> is systemic inflammatory disease, most commonly affecting children 5</w:t>
      </w:r>
      <w:r w:rsidR="00613127" w:rsidRPr="00FE7190">
        <w:rPr>
          <w:rFonts w:ascii="Arial Mäori" w:hAnsi="Arial Mäori" w:cs="Arial Mäori"/>
          <w:color w:val="000000"/>
          <w:sz w:val="22"/>
        </w:rPr>
        <w:t>–</w:t>
      </w:r>
      <w:r w:rsidR="00FD0607" w:rsidRPr="00FE7190">
        <w:rPr>
          <w:rFonts w:ascii="Arial Mäori" w:hAnsi="Arial Mäori" w:cs="Arial Mäori"/>
          <w:color w:val="000000"/>
          <w:sz w:val="22"/>
        </w:rPr>
        <w:t>14 years of age</w:t>
      </w:r>
      <w:r w:rsidRPr="00FE7190">
        <w:rPr>
          <w:rFonts w:ascii="Arial Mäori" w:hAnsi="Arial Mäori" w:cs="Arial Mäori"/>
          <w:color w:val="000000"/>
          <w:sz w:val="22"/>
        </w:rPr>
        <w:t xml:space="preserve"> as a result of a group </w:t>
      </w:r>
      <w:proofErr w:type="gramStart"/>
      <w:r w:rsidRPr="00FE7190">
        <w:rPr>
          <w:rFonts w:ascii="Arial Mäori" w:hAnsi="Arial Mäori" w:cs="Arial Mäori"/>
          <w:color w:val="000000"/>
          <w:sz w:val="22"/>
        </w:rPr>
        <w:t>A</w:t>
      </w:r>
      <w:proofErr w:type="gramEnd"/>
      <w:r w:rsidRPr="00FE7190">
        <w:rPr>
          <w:rFonts w:ascii="Arial Mäori" w:hAnsi="Arial Mäori" w:cs="Arial Mäori"/>
          <w:color w:val="000000"/>
          <w:sz w:val="22"/>
        </w:rPr>
        <w:t xml:space="preserve"> streptococcus infection of the upper respiratory tract.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In a susceptible host, the response to the infection causes an autoimmune effect (cross-reactivity of the immune response causes damage to normal tissues).</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 Incidence of ARF is closely linked to socioeconomic deprivation.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Although many parts of the body are affected by </w:t>
      </w:r>
      <w:r w:rsidR="00613127" w:rsidRPr="00FE7190">
        <w:rPr>
          <w:rFonts w:ascii="Arial Mäori" w:hAnsi="Arial Mäori" w:cs="Arial Mäori"/>
          <w:color w:val="000000"/>
          <w:sz w:val="22"/>
        </w:rPr>
        <w:t>ARF</w:t>
      </w:r>
      <w:r w:rsidRPr="00FE7190">
        <w:rPr>
          <w:rFonts w:ascii="Arial Mäori" w:hAnsi="Arial Mäori" w:cs="Arial Mäori"/>
          <w:color w:val="000000"/>
          <w:sz w:val="22"/>
        </w:rPr>
        <w:t xml:space="preserve">, most recover completely with the exception of </w:t>
      </w:r>
      <w:r w:rsidR="00613127" w:rsidRPr="00FE7190">
        <w:rPr>
          <w:rFonts w:ascii="Arial Mäori" w:hAnsi="Arial Mäori" w:cs="Arial Mäori"/>
          <w:color w:val="000000"/>
          <w:sz w:val="22"/>
        </w:rPr>
        <w:t xml:space="preserve">the </w:t>
      </w:r>
      <w:r w:rsidRPr="00FE7190">
        <w:rPr>
          <w:rFonts w:ascii="Arial Mäori" w:hAnsi="Arial Mäori" w:cs="Arial Mäori"/>
          <w:color w:val="000000"/>
          <w:sz w:val="22"/>
        </w:rPr>
        <w:t>heart</w:t>
      </w:r>
      <w:r w:rsidR="00613127" w:rsidRPr="00FE7190">
        <w:rPr>
          <w:rFonts w:ascii="Arial Mäori" w:hAnsi="Arial Mäori" w:cs="Arial Mäori"/>
          <w:color w:val="000000"/>
          <w:sz w:val="22"/>
        </w:rPr>
        <w:t>.</w:t>
      </w:r>
      <w:r w:rsidRPr="00FE7190">
        <w:rPr>
          <w:rFonts w:ascii="Arial Mäori" w:hAnsi="Arial Mäori" w:cs="Arial Mäori"/>
          <w:color w:val="000000"/>
          <w:sz w:val="22"/>
        </w:rPr>
        <w:t xml:space="preserve"> </w:t>
      </w:r>
      <w:r w:rsidR="00163629" w:rsidRPr="00FE7190">
        <w:rPr>
          <w:rFonts w:ascii="Arial Mäori" w:hAnsi="Arial Mäori" w:cs="Arial Mäori"/>
          <w:color w:val="000000"/>
          <w:sz w:val="22"/>
        </w:rPr>
        <w:t>RHD</w:t>
      </w:r>
      <w:r w:rsidRPr="00FE7190">
        <w:rPr>
          <w:rFonts w:ascii="Arial Mäori" w:hAnsi="Arial Mäori" w:cs="Arial Mäori"/>
          <w:color w:val="000000"/>
          <w:sz w:val="22"/>
        </w:rPr>
        <w:t xml:space="preserve"> affects approximately 60% of patients with ARF and is a result of the autoimmune damage to the cardiac valves.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The mitral valve is almost universally involved, but any of the</w:t>
      </w:r>
      <w:r w:rsidR="00613127" w:rsidRPr="00FE7190">
        <w:rPr>
          <w:rFonts w:ascii="Arial Mäori" w:hAnsi="Arial Mäori" w:cs="Arial Mäori"/>
          <w:color w:val="000000"/>
          <w:sz w:val="22"/>
        </w:rPr>
        <w:t xml:space="preserve"> cardiac</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valves may be affected.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The valvular damage is progressive and leads to scarring, thickening, calcification, regurgitation and stenosis of the valves.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This can lead to compr</w:t>
      </w:r>
      <w:r w:rsidR="003566DA" w:rsidRPr="00FE7190">
        <w:rPr>
          <w:rFonts w:ascii="Arial Mäori" w:hAnsi="Arial Mäori" w:cs="Arial Mäori"/>
          <w:color w:val="000000"/>
          <w:sz w:val="22"/>
        </w:rPr>
        <w:t>om</w:t>
      </w:r>
      <w:r w:rsidR="00FD0607" w:rsidRPr="00FE7190">
        <w:rPr>
          <w:rFonts w:ascii="Arial Mäori" w:hAnsi="Arial Mäori" w:cs="Arial Mäori"/>
          <w:color w:val="000000"/>
          <w:sz w:val="22"/>
        </w:rPr>
        <w:t>ised heart function</w:t>
      </w:r>
      <w:r w:rsidRPr="00FE7190">
        <w:rPr>
          <w:rFonts w:ascii="Arial Mäori" w:hAnsi="Arial Mäori" w:cs="Arial Mäori"/>
          <w:color w:val="000000"/>
          <w:sz w:val="22"/>
        </w:rPr>
        <w:t xml:space="preserve"> and may require heart valve replacement.</w:t>
      </w:r>
    </w:p>
    <w:p w:rsidR="00927C7E" w:rsidRDefault="009F6B0D" w:rsidP="00927C7E">
      <w:pPr>
        <w:pStyle w:val="Heading2"/>
      </w:pPr>
      <w:bookmarkStart w:id="83" w:name="_Toc360641400"/>
      <w:bookmarkStart w:id="84" w:name="_Toc360714601"/>
      <w:bookmarkStart w:id="85" w:name="_Toc363122537"/>
      <w:bookmarkStart w:id="86" w:name="_Toc365276894"/>
      <w:r>
        <w:t>Prevalence and Incidence</w:t>
      </w:r>
      <w:bookmarkEnd w:id="83"/>
      <w:bookmarkEnd w:id="84"/>
      <w:bookmarkEnd w:id="85"/>
      <w:bookmarkEnd w:id="86"/>
    </w:p>
    <w:p w:rsidR="001B31A2" w:rsidRPr="00FE7190" w:rsidRDefault="00163629" w:rsidP="0060049D">
      <w:pPr>
        <w:autoSpaceDE w:val="0"/>
        <w:autoSpaceDN w:val="0"/>
        <w:adjustRightInd w:val="0"/>
        <w:spacing w:after="120" w:line="360" w:lineRule="auto"/>
        <w:jc w:val="both"/>
        <w:rPr>
          <w:rFonts w:ascii="Arial Mäori" w:hAnsi="Arial Mäori" w:cs="Arial Mäori"/>
          <w:color w:val="000000"/>
          <w:sz w:val="22"/>
        </w:rPr>
      </w:pPr>
      <w:r w:rsidRPr="00FE7190">
        <w:rPr>
          <w:rFonts w:ascii="Arial Mäori" w:hAnsi="Arial Mäori" w:cs="Arial Mäori"/>
          <w:color w:val="000000"/>
          <w:sz w:val="22"/>
        </w:rPr>
        <w:t>RHD</w:t>
      </w:r>
      <w:r w:rsidR="001B31A2" w:rsidRPr="00FE7190">
        <w:rPr>
          <w:rFonts w:ascii="Arial Mäori" w:hAnsi="Arial Mäori" w:cs="Arial Mäori"/>
          <w:color w:val="000000"/>
          <w:sz w:val="22"/>
        </w:rPr>
        <w:t xml:space="preserve"> is particularly important in New Zealand as there is a significant disparity between </w:t>
      </w:r>
      <w:r w:rsidR="00154557" w:rsidRPr="00FE7190">
        <w:rPr>
          <w:rFonts w:ascii="Arial Mäori" w:hAnsi="Arial Mäori" w:cs="Arial Mäori"/>
          <w:color w:val="000000"/>
          <w:sz w:val="22"/>
        </w:rPr>
        <w:t>Māori</w:t>
      </w:r>
      <w:r w:rsidR="001B31A2" w:rsidRPr="00FE7190">
        <w:rPr>
          <w:rFonts w:ascii="Arial Mäori" w:hAnsi="Arial Mäori" w:cs="Arial Mäori"/>
          <w:color w:val="000000"/>
          <w:sz w:val="22"/>
        </w:rPr>
        <w:t xml:space="preserve"> and non-</w:t>
      </w:r>
      <w:r w:rsidR="00154557" w:rsidRPr="00FE7190">
        <w:rPr>
          <w:rFonts w:ascii="Arial Mäori" w:hAnsi="Arial Mäori" w:cs="Arial Mäori"/>
          <w:color w:val="000000"/>
          <w:sz w:val="22"/>
        </w:rPr>
        <w:t>Māori</w:t>
      </w:r>
      <w:r w:rsidR="001B31A2" w:rsidRPr="00FE7190">
        <w:rPr>
          <w:rFonts w:ascii="Arial Mäori" w:hAnsi="Arial Mäori" w:cs="Arial Mäori"/>
          <w:color w:val="000000"/>
          <w:sz w:val="22"/>
        </w:rPr>
        <w:t xml:space="preserve">. Between 1993 and 2009 rates of ARF increased by 79% and 73% in </w:t>
      </w:r>
      <w:r w:rsidR="00154557" w:rsidRPr="00FE7190">
        <w:rPr>
          <w:rFonts w:ascii="Arial Mäori" w:hAnsi="Arial Mäori" w:cs="Arial Mäori"/>
          <w:color w:val="000000"/>
          <w:sz w:val="22"/>
        </w:rPr>
        <w:t>Māori</w:t>
      </w:r>
      <w:r w:rsidR="001B31A2" w:rsidRPr="00FE7190">
        <w:rPr>
          <w:rFonts w:ascii="Arial Mäori" w:hAnsi="Arial Mäori" w:cs="Arial Mäori"/>
          <w:color w:val="000000"/>
          <w:sz w:val="22"/>
        </w:rPr>
        <w:t xml:space="preserve"> and Pacific children, respectively, and declined by 71% in non-</w:t>
      </w:r>
      <w:r w:rsidR="00154557" w:rsidRPr="00FE7190">
        <w:rPr>
          <w:rFonts w:ascii="Arial Mäori" w:hAnsi="Arial Mäori" w:cs="Arial Mäori"/>
          <w:color w:val="000000"/>
          <w:sz w:val="22"/>
        </w:rPr>
        <w:t>Māori</w:t>
      </w:r>
      <w:r w:rsidR="001B31A2" w:rsidRPr="00FE7190">
        <w:rPr>
          <w:rFonts w:ascii="Arial Mäori" w:hAnsi="Arial Mäori" w:cs="Arial Mäori"/>
          <w:color w:val="000000"/>
          <w:sz w:val="22"/>
        </w:rPr>
        <w:t>/</w:t>
      </w:r>
      <w:r w:rsidR="00E93315" w:rsidRPr="00FE7190">
        <w:rPr>
          <w:rFonts w:ascii="Arial Mäori" w:hAnsi="Arial Mäori" w:cs="Arial Mäori"/>
          <w:color w:val="000000"/>
          <w:sz w:val="22"/>
        </w:rPr>
        <w:t>non-</w:t>
      </w:r>
      <w:r w:rsidR="001B31A2" w:rsidRPr="00FE7190">
        <w:rPr>
          <w:rFonts w:ascii="Arial Mäori" w:hAnsi="Arial Mäori" w:cs="Arial Mäori"/>
          <w:color w:val="000000"/>
          <w:sz w:val="22"/>
        </w:rPr>
        <w:t>Pacific children.</w:t>
      </w:r>
      <w:r w:rsidRPr="00FE7190">
        <w:rPr>
          <w:rFonts w:ascii="Arial Mäori" w:hAnsi="Arial Mäori" w:cs="Arial Mäori"/>
          <w:color w:val="000000"/>
          <w:sz w:val="22"/>
        </w:rPr>
        <w:t xml:space="preserve"> </w:t>
      </w:r>
      <w:r w:rsidR="001B31A2" w:rsidRPr="00FE7190">
        <w:rPr>
          <w:rFonts w:ascii="Arial Mäori" w:hAnsi="Arial Mäori" w:cs="Arial Mäori"/>
          <w:color w:val="000000"/>
          <w:sz w:val="22"/>
        </w:rPr>
        <w:t xml:space="preserve"> Incidence rates</w:t>
      </w:r>
      <w:r w:rsidR="00E93315" w:rsidRPr="00FE7190">
        <w:rPr>
          <w:rFonts w:ascii="Arial Mäori" w:hAnsi="Arial Mäori" w:cs="Arial Mäori"/>
          <w:color w:val="000000"/>
          <w:sz w:val="22"/>
        </w:rPr>
        <w:t xml:space="preserve"> per 100,000</w:t>
      </w:r>
      <w:r w:rsidR="001B31A2" w:rsidRPr="00FE7190">
        <w:rPr>
          <w:rFonts w:ascii="Arial Mäori" w:hAnsi="Arial Mäori" w:cs="Arial Mäori"/>
          <w:color w:val="000000"/>
          <w:sz w:val="22"/>
        </w:rPr>
        <w:t xml:space="preserve"> for children 5</w:t>
      </w:r>
      <w:r w:rsidR="00E93315" w:rsidRPr="00FE7190">
        <w:rPr>
          <w:rFonts w:ascii="Arial Mäori" w:hAnsi="Arial Mäori" w:cs="Arial Mäori"/>
          <w:color w:val="000000"/>
          <w:sz w:val="22"/>
        </w:rPr>
        <w:t>–</w:t>
      </w:r>
      <w:r w:rsidR="001B31A2" w:rsidRPr="00FE7190">
        <w:rPr>
          <w:rFonts w:ascii="Arial Mäori" w:hAnsi="Arial Mäori" w:cs="Arial Mäori"/>
          <w:color w:val="000000"/>
          <w:sz w:val="22"/>
        </w:rPr>
        <w:t>14 years of age</w:t>
      </w:r>
      <w:r w:rsidR="00E93315" w:rsidRPr="00FE7190">
        <w:rPr>
          <w:rFonts w:ascii="Arial Mäori" w:hAnsi="Arial Mäori" w:cs="Arial Mäori"/>
          <w:color w:val="000000"/>
          <w:sz w:val="22"/>
        </w:rPr>
        <w:t xml:space="preserve"> were 40.2</w:t>
      </w:r>
      <w:r w:rsidR="001B31A2" w:rsidRPr="00FE7190">
        <w:rPr>
          <w:rFonts w:ascii="Arial Mäori" w:hAnsi="Arial Mäori" w:cs="Arial Mäori"/>
          <w:color w:val="000000"/>
          <w:sz w:val="22"/>
        </w:rPr>
        <w:t xml:space="preserve"> for </w:t>
      </w:r>
      <w:r w:rsidR="00154557" w:rsidRPr="00FE7190">
        <w:rPr>
          <w:rFonts w:ascii="Arial Mäori" w:hAnsi="Arial Mäori" w:cs="Arial Mäori"/>
          <w:color w:val="000000"/>
          <w:sz w:val="22"/>
        </w:rPr>
        <w:t>Māori</w:t>
      </w:r>
      <w:r w:rsidR="001B31A2" w:rsidRPr="00FE7190">
        <w:rPr>
          <w:rFonts w:ascii="Arial Mäori" w:hAnsi="Arial Mäori" w:cs="Arial Mäori"/>
          <w:color w:val="000000"/>
          <w:sz w:val="22"/>
        </w:rPr>
        <w:t xml:space="preserve">, </w:t>
      </w:r>
      <w:r w:rsidR="00E93315" w:rsidRPr="00FE7190">
        <w:rPr>
          <w:rFonts w:ascii="Arial Mäori" w:hAnsi="Arial Mäori" w:cs="Arial Mäori"/>
          <w:color w:val="000000"/>
          <w:sz w:val="22"/>
        </w:rPr>
        <w:t xml:space="preserve">81.2 for </w:t>
      </w:r>
      <w:r w:rsidR="001B31A2" w:rsidRPr="00FE7190">
        <w:rPr>
          <w:rFonts w:ascii="Arial Mäori" w:hAnsi="Arial Mäori" w:cs="Arial Mäori"/>
          <w:color w:val="000000"/>
          <w:sz w:val="22"/>
        </w:rPr>
        <w:t xml:space="preserve">Pacific and </w:t>
      </w:r>
      <w:r w:rsidR="00E93315" w:rsidRPr="00FE7190">
        <w:rPr>
          <w:rFonts w:ascii="Arial Mäori" w:hAnsi="Arial Mäori" w:cs="Arial Mäori"/>
          <w:color w:val="000000"/>
          <w:sz w:val="22"/>
        </w:rPr>
        <w:t xml:space="preserve">2.1 for </w:t>
      </w:r>
      <w:r w:rsidR="001B31A2" w:rsidRPr="00FE7190">
        <w:rPr>
          <w:rFonts w:ascii="Arial Mäori" w:hAnsi="Arial Mäori" w:cs="Arial Mäori"/>
          <w:color w:val="000000"/>
          <w:sz w:val="22"/>
        </w:rPr>
        <w:t>non-</w:t>
      </w:r>
      <w:r w:rsidR="00154557" w:rsidRPr="00FE7190">
        <w:rPr>
          <w:rFonts w:ascii="Arial Mäori" w:hAnsi="Arial Mäori" w:cs="Arial Mäori"/>
          <w:color w:val="000000"/>
          <w:sz w:val="22"/>
        </w:rPr>
        <w:t>Māori</w:t>
      </w:r>
      <w:r w:rsidR="001B31A2" w:rsidRPr="00FE7190">
        <w:rPr>
          <w:rFonts w:ascii="Arial Mäori" w:hAnsi="Arial Mäori" w:cs="Arial Mäori"/>
          <w:color w:val="000000"/>
          <w:sz w:val="22"/>
        </w:rPr>
        <w:t>/</w:t>
      </w:r>
      <w:r w:rsidR="00E93315" w:rsidRPr="00FE7190">
        <w:rPr>
          <w:rFonts w:ascii="Arial Mäori" w:hAnsi="Arial Mäori" w:cs="Arial Mäori"/>
          <w:color w:val="000000"/>
          <w:sz w:val="22"/>
        </w:rPr>
        <w:t>non-</w:t>
      </w:r>
      <w:r w:rsidR="001B31A2" w:rsidRPr="00FE7190">
        <w:rPr>
          <w:rFonts w:ascii="Arial Mäori" w:hAnsi="Arial Mäori" w:cs="Arial Mäori"/>
          <w:color w:val="000000"/>
          <w:sz w:val="22"/>
        </w:rPr>
        <w:t xml:space="preserve">Pacific </w:t>
      </w:r>
      <w:r w:rsidR="008645E4" w:rsidRPr="00FE7190">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&lt;EndNote&gt;&lt;Cite&gt;&lt;Author&gt;Milne&lt;/Author&gt;&lt;Year&gt;2012&lt;/Year&gt;&lt;RecNum&gt;727&lt;/RecNum&gt;&lt;DisplayText&gt;&lt;style face="superscript"&gt;(14)&lt;/style&gt;&lt;/DisplayText&gt;&lt;record&gt;&lt;rec-number&gt;727&lt;/rec-number&gt;&lt;foreign-keys&gt;&lt;key app="EN" db-id="paxef0v91tx5e7eaev8xxf2xd92zvrfrv592"&gt;727&lt;/key&gt;&lt;/foreign-keys&gt;&lt;ref-type name="Journal Article"&gt;17&lt;/ref-type&gt;&lt;contributors&gt;&lt;authors&gt;&lt;author&gt;Milne, Richard J&lt;/author&gt;&lt;author&gt;Lennon, Diana R&lt;/author&gt;&lt;author&gt;Stewart, Joanna M&lt;/author&gt;&lt;author&gt;Vander Hoorn, Stephen&lt;/author&gt;&lt;author&gt;Scuffham, Paul A&lt;/author&gt;&lt;/authors&gt;&lt;/contributors&gt;&lt;titles&gt;&lt;title&gt;Incidence of acute rheumatic fever in New Zealand children and youth&lt;/title&gt;&lt;secondary-title&gt;Journal of Paediatrics and Child Health&lt;/secondary-title&gt;&lt;/titles&gt;&lt;periodical&gt;&lt;full-title&gt;Journal of Paediatrics and Child Health&lt;/full-title&gt;&lt;/periodical&gt;&lt;pages&gt;685-691&lt;/pages&gt;&lt;volume&gt;48&lt;/volume&gt;&lt;number&gt;8&lt;/number&gt;&lt;dates&gt;&lt;year&gt;2012&lt;/year&gt;&lt;/dates&gt;&lt;isbn&gt;1440-1754&lt;/isbn&gt;&lt;urls&gt;&lt;/urls&gt;&lt;/record&gt;&lt;/Cite&gt;&lt;/EndNote&gt;</w:instrText>
      </w:r>
      <w:r w:rsidR="008645E4" w:rsidRPr="00FE7190">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14" w:tooltip="Milne, 2012 #727" w:history="1">
        <w:r w:rsidR="001418E1" w:rsidRPr="00E96985">
          <w:rPr>
            <w:rFonts w:ascii="Arial Mäori" w:hAnsi="Arial Mäori" w:cs="Arial Mäori"/>
            <w:noProof/>
            <w:color w:val="000000"/>
            <w:sz w:val="22"/>
            <w:vertAlign w:val="superscript"/>
          </w:rPr>
          <w:t>14</w:t>
        </w:r>
      </w:hyperlink>
      <w:r w:rsidR="00E96985" w:rsidRPr="00E96985">
        <w:rPr>
          <w:rFonts w:ascii="Arial Mäori" w:hAnsi="Arial Mäori" w:cs="Arial Mäori"/>
          <w:noProof/>
          <w:color w:val="000000"/>
          <w:sz w:val="22"/>
          <w:vertAlign w:val="superscript"/>
        </w:rPr>
        <w:t>)</w:t>
      </w:r>
      <w:r w:rsidR="008645E4" w:rsidRPr="00FE7190">
        <w:rPr>
          <w:rFonts w:ascii="Arial Mäori" w:hAnsi="Arial Mäori" w:cs="Arial Mäori"/>
          <w:color w:val="000000"/>
          <w:sz w:val="22"/>
        </w:rPr>
        <w:fldChar w:fldCharType="end"/>
      </w:r>
      <w:r w:rsidR="001B31A2"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 </w:t>
      </w:r>
    </w:p>
    <w:p w:rsidR="00927C7E" w:rsidRDefault="00927C7E" w:rsidP="00927C7E">
      <w:pPr>
        <w:pStyle w:val="Heading2"/>
      </w:pPr>
      <w:bookmarkStart w:id="87" w:name="_Toc358124601"/>
      <w:bookmarkStart w:id="88" w:name="_Toc360641401"/>
      <w:bookmarkStart w:id="89" w:name="_Toc360714602"/>
      <w:bookmarkStart w:id="90" w:name="_Toc363122538"/>
      <w:bookmarkStart w:id="91" w:name="_Toc365276895"/>
      <w:r>
        <w:t>Health Outcomes</w:t>
      </w:r>
      <w:bookmarkEnd w:id="87"/>
      <w:bookmarkEnd w:id="88"/>
      <w:bookmarkEnd w:id="89"/>
      <w:bookmarkEnd w:id="90"/>
      <w:bookmarkEnd w:id="91"/>
    </w:p>
    <w:p w:rsidR="008B3359" w:rsidRPr="0060049D" w:rsidRDefault="00E93315" w:rsidP="0060049D">
      <w:pPr>
        <w:autoSpaceDE w:val="0"/>
        <w:autoSpaceDN w:val="0"/>
        <w:adjustRightInd w:val="0"/>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RHD</w:t>
      </w:r>
      <w:r w:rsidR="002941DA" w:rsidRPr="0060049D">
        <w:rPr>
          <w:rFonts w:ascii="Arial Mäori" w:hAnsi="Arial Mäori" w:cs="Arial Mäori"/>
          <w:color w:val="000000"/>
          <w:sz w:val="22"/>
        </w:rPr>
        <w:t xml:space="preserve"> contributed to over 100 deaths and 2,800</w:t>
      </w:r>
      <w:r w:rsidR="000533FE" w:rsidRPr="0060049D">
        <w:rPr>
          <w:rFonts w:ascii="Arial Mäori" w:hAnsi="Arial Mäori" w:cs="Arial Mäori"/>
          <w:color w:val="000000"/>
          <w:sz w:val="22"/>
        </w:rPr>
        <w:t xml:space="preserve"> DALYs in 2006</w:t>
      </w:r>
      <w:r w:rsidR="002941DA" w:rsidRPr="0060049D">
        <w:rPr>
          <w:rFonts w:ascii="Arial Mäori" w:hAnsi="Arial Mäori" w:cs="Arial Mäori"/>
          <w:color w:val="000000"/>
          <w:sz w:val="22"/>
        </w:rPr>
        <w:t xml:space="preserve"> (1</w:t>
      </w:r>
      <w:r w:rsidR="004C7E01" w:rsidRPr="0060049D">
        <w:rPr>
          <w:rFonts w:ascii="Arial Mäori" w:hAnsi="Arial Mäori" w:cs="Arial Mäori"/>
          <w:color w:val="000000"/>
          <w:sz w:val="22"/>
        </w:rPr>
        <w:t>.0</w:t>
      </w:r>
      <w:r w:rsidR="002941DA" w:rsidRPr="0060049D">
        <w:rPr>
          <w:rFonts w:ascii="Arial Mäori" w:hAnsi="Arial Mäori" w:cs="Arial Mäori"/>
          <w:color w:val="000000"/>
          <w:sz w:val="22"/>
        </w:rPr>
        <w:t>% and 2</w:t>
      </w:r>
      <w:r w:rsidR="004C7E01" w:rsidRPr="0060049D">
        <w:rPr>
          <w:rFonts w:ascii="Arial Mäori" w:hAnsi="Arial Mäori" w:cs="Arial Mäori"/>
          <w:color w:val="000000"/>
          <w:sz w:val="22"/>
        </w:rPr>
        <w:t>.0</w:t>
      </w:r>
      <w:r w:rsidR="002941DA" w:rsidRPr="0060049D">
        <w:rPr>
          <w:rFonts w:ascii="Arial Mäori" w:hAnsi="Arial Mäori" w:cs="Arial Mäori"/>
          <w:color w:val="000000"/>
          <w:sz w:val="22"/>
        </w:rPr>
        <w:t xml:space="preserve">% of total </w:t>
      </w:r>
      <w:r w:rsidR="00613127" w:rsidRPr="0060049D">
        <w:rPr>
          <w:rFonts w:ascii="Arial Mäori" w:hAnsi="Arial Mäori" w:cs="Arial Mäori"/>
          <w:color w:val="000000"/>
          <w:sz w:val="22"/>
        </w:rPr>
        <w:t>cardiovascular</w:t>
      </w:r>
      <w:r w:rsidR="002941DA" w:rsidRPr="0060049D">
        <w:rPr>
          <w:rFonts w:ascii="Arial Mäori" w:hAnsi="Arial Mäori" w:cs="Arial Mäori"/>
          <w:color w:val="000000"/>
          <w:sz w:val="22"/>
        </w:rPr>
        <w:t xml:space="preserve"> deaths and DALYs, respectively)</w:t>
      </w:r>
      <w:r w:rsidR="008B3359" w:rsidRPr="0060049D">
        <w:rPr>
          <w:rFonts w:ascii="Arial Mäori" w:hAnsi="Arial Mäori" w:cs="Arial Mäori"/>
          <w:color w:val="000000"/>
          <w:sz w:val="22"/>
        </w:rPr>
        <w:t>.  DALY burden was especially apparent in 35</w:t>
      </w:r>
      <w:r w:rsidRPr="0060049D">
        <w:rPr>
          <w:rFonts w:ascii="Arial Mäori" w:hAnsi="Arial Mäori" w:cs="Arial Mäori"/>
          <w:color w:val="000000"/>
          <w:sz w:val="22"/>
        </w:rPr>
        <w:t>–</w:t>
      </w:r>
      <w:r w:rsidR="00FD0607" w:rsidRPr="0060049D">
        <w:rPr>
          <w:rFonts w:ascii="Arial Mäori" w:hAnsi="Arial Mäori" w:cs="Arial Mäori"/>
          <w:color w:val="000000"/>
          <w:sz w:val="22"/>
        </w:rPr>
        <w:t>65 year olds.</w:t>
      </w:r>
      <w:r w:rsidR="008B3359" w:rsidRPr="0060049D">
        <w:rPr>
          <w:rFonts w:ascii="Arial Mäori" w:hAnsi="Arial Mäori" w:cs="Arial Mäori"/>
          <w:color w:val="000000"/>
          <w:sz w:val="22"/>
        </w:rPr>
        <w:t xml:space="preserve"> </w:t>
      </w:r>
    </w:p>
    <w:p w:rsidR="00927C7E" w:rsidRDefault="00927C7E" w:rsidP="00927C7E">
      <w:pPr>
        <w:pStyle w:val="Heading2"/>
      </w:pPr>
      <w:bookmarkStart w:id="92" w:name="_Toc358124602"/>
      <w:bookmarkStart w:id="93" w:name="_Toc360641402"/>
      <w:bookmarkStart w:id="94" w:name="_Toc360714603"/>
      <w:bookmarkStart w:id="95" w:name="_Toc363122539"/>
      <w:bookmarkStart w:id="96" w:name="_Toc365276896"/>
      <w:r>
        <w:lastRenderedPageBreak/>
        <w:t>Health Utilisation and Cost</w:t>
      </w:r>
      <w:bookmarkEnd w:id="92"/>
      <w:bookmarkEnd w:id="93"/>
      <w:bookmarkEnd w:id="94"/>
      <w:bookmarkEnd w:id="95"/>
      <w:bookmarkEnd w:id="96"/>
    </w:p>
    <w:p w:rsidR="00653959" w:rsidRPr="0060049D" w:rsidRDefault="00BE4102" w:rsidP="0060049D">
      <w:pPr>
        <w:autoSpaceDE w:val="0"/>
        <w:autoSpaceDN w:val="0"/>
        <w:adjustRightInd w:val="0"/>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 xml:space="preserve">In 2011/12 </w:t>
      </w:r>
      <w:r w:rsidR="00E93315" w:rsidRPr="0060049D">
        <w:rPr>
          <w:rFonts w:ascii="Arial Mäori" w:hAnsi="Arial Mäori" w:cs="Arial Mäori"/>
          <w:color w:val="000000"/>
          <w:sz w:val="22"/>
        </w:rPr>
        <w:t>RHD</w:t>
      </w:r>
      <w:r w:rsidR="00653959" w:rsidRPr="0060049D">
        <w:rPr>
          <w:rFonts w:ascii="Arial Mäori" w:hAnsi="Arial Mäori" w:cs="Arial Mäori"/>
          <w:color w:val="000000"/>
          <w:sz w:val="22"/>
        </w:rPr>
        <w:t xml:space="preserve"> was responsible for 487 </w:t>
      </w:r>
      <w:r w:rsidR="003566DA" w:rsidRPr="0060049D">
        <w:rPr>
          <w:rFonts w:ascii="Arial Mäori" w:hAnsi="Arial Mäori" w:cs="Arial Mäori"/>
          <w:color w:val="000000"/>
          <w:sz w:val="22"/>
        </w:rPr>
        <w:t xml:space="preserve">hospital </w:t>
      </w:r>
      <w:r w:rsidR="00653959" w:rsidRPr="0060049D">
        <w:rPr>
          <w:rFonts w:ascii="Arial Mäori" w:hAnsi="Arial Mäori" w:cs="Arial Mäori"/>
          <w:color w:val="000000"/>
          <w:sz w:val="22"/>
        </w:rPr>
        <w:t>discharges for 392 individuals (1.2 hospitalisations per person</w:t>
      </w:r>
      <w:r w:rsidR="003566DA" w:rsidRPr="0060049D">
        <w:rPr>
          <w:rFonts w:ascii="Arial Mäori" w:hAnsi="Arial Mäori" w:cs="Arial Mäori"/>
          <w:color w:val="000000"/>
          <w:sz w:val="22"/>
        </w:rPr>
        <w:t>)</w:t>
      </w:r>
      <w:r w:rsidR="00653959" w:rsidRPr="0060049D">
        <w:rPr>
          <w:rFonts w:ascii="Arial Mäori" w:hAnsi="Arial Mäori" w:cs="Arial Mäori"/>
          <w:color w:val="000000"/>
          <w:sz w:val="22"/>
        </w:rPr>
        <w:t xml:space="preserve">.  At an average cost of $15,000 per hospitalised individual and a length of stay of 9.7 days per hospitalisation, </w:t>
      </w:r>
      <w:r w:rsidR="00E93315" w:rsidRPr="0060049D">
        <w:rPr>
          <w:rFonts w:ascii="Arial Mäori" w:hAnsi="Arial Mäori" w:cs="Arial Mäori"/>
          <w:color w:val="000000"/>
          <w:sz w:val="22"/>
        </w:rPr>
        <w:t>RHD</w:t>
      </w:r>
      <w:r w:rsidR="00653959" w:rsidRPr="0060049D">
        <w:rPr>
          <w:rFonts w:ascii="Arial Mäori" w:hAnsi="Arial Mäori" w:cs="Arial Mäori"/>
          <w:color w:val="000000"/>
          <w:sz w:val="22"/>
        </w:rPr>
        <w:t xml:space="preserve"> cost the health system $6 million in public hospitalisations.</w:t>
      </w:r>
      <w:r w:rsidR="00FE7190" w:rsidRPr="0060049D">
        <w:rPr>
          <w:rFonts w:ascii="Arial Mäori" w:hAnsi="Arial Mäori" w:cs="Arial Mäori"/>
          <w:color w:val="000000"/>
          <w:sz w:val="22"/>
        </w:rPr>
        <w:t xml:space="preserve">  On top of hospitalisations, government efforts to reduce ARF are expected to be $24 million over the next 5 years</w:t>
      </w:r>
      <w:r w:rsidR="00FE7190" w:rsidRPr="0060049D">
        <w:rPr>
          <w:rFonts w:ascii="Arial Mäori" w:hAnsi="Arial Mäori" w:cs="Arial Mäori"/>
          <w:color w:val="000000"/>
          <w:vertAlign w:val="superscript"/>
        </w:rPr>
        <w:footnoteReference w:id="3"/>
      </w:r>
      <w:r w:rsidR="00FE7190" w:rsidRPr="0060049D">
        <w:rPr>
          <w:rFonts w:ascii="Arial Mäori" w:hAnsi="Arial Mäori" w:cs="Arial Mäori"/>
          <w:color w:val="000000"/>
          <w:sz w:val="22"/>
        </w:rPr>
        <w:t>.</w:t>
      </w:r>
    </w:p>
    <w:p w:rsidR="00A63BA1" w:rsidRDefault="00A63BA1" w:rsidP="009F3F4E">
      <w:pPr>
        <w:pStyle w:val="Heading1"/>
      </w:pPr>
      <w:bookmarkStart w:id="97" w:name="_Toc365276897"/>
      <w:r>
        <w:t>Non-Rheumatic Valvular Heart Disease (NRVHD)</w:t>
      </w:r>
      <w:bookmarkEnd w:id="97"/>
    </w:p>
    <w:p w:rsidR="00A63BA1" w:rsidRDefault="00A63BA1" w:rsidP="00A63BA1">
      <w:pPr>
        <w:pStyle w:val="Heading2"/>
      </w:pPr>
      <w:bookmarkStart w:id="98" w:name="_Toc358124604"/>
      <w:bookmarkStart w:id="99" w:name="_Toc360641404"/>
      <w:bookmarkStart w:id="100" w:name="_Toc360714605"/>
      <w:bookmarkStart w:id="101" w:name="_Toc363122541"/>
      <w:bookmarkStart w:id="102" w:name="_Toc365276898"/>
      <w:r>
        <w:t>Disease Description</w:t>
      </w:r>
      <w:bookmarkEnd w:id="98"/>
      <w:bookmarkEnd w:id="99"/>
      <w:bookmarkEnd w:id="100"/>
      <w:bookmarkEnd w:id="101"/>
      <w:bookmarkEnd w:id="102"/>
    </w:p>
    <w:p w:rsidR="00A63BA1" w:rsidRPr="00FE7190" w:rsidRDefault="00A63BA1" w:rsidP="00A63BA1">
      <w:pPr>
        <w:autoSpaceDE w:val="0"/>
        <w:autoSpaceDN w:val="0"/>
        <w:adjustRightInd w:val="0"/>
        <w:spacing w:after="120" w:line="360" w:lineRule="auto"/>
        <w:jc w:val="both"/>
        <w:rPr>
          <w:rFonts w:ascii="Arial Mäori" w:hAnsi="Arial Mäori" w:cs="Arial Mäori"/>
          <w:color w:val="000000"/>
          <w:sz w:val="22"/>
        </w:rPr>
      </w:pPr>
      <w:r w:rsidRPr="00FE7190">
        <w:rPr>
          <w:rFonts w:ascii="Arial Mäori" w:hAnsi="Arial Mäori" w:cs="Arial Mäori"/>
          <w:color w:val="000000"/>
          <w:sz w:val="22"/>
        </w:rPr>
        <w:t xml:space="preserve">Non-Rheumatic valvular heart disease (NRVHD) refers to diseases of the four valves in the heart (excluding RHD) which ensure unidirectional flow through the heart and lungs </w:t>
      </w:r>
      <w:r w:rsidRPr="00FE7190">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FE7190">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4" w:tooltip="Fauci, 2008 #678" w:history="1">
        <w:r w:rsidR="001418E1" w:rsidRPr="00E96985">
          <w:rPr>
            <w:rFonts w:ascii="Arial Mäori" w:hAnsi="Arial Mäori" w:cs="Arial Mäori"/>
            <w:noProof/>
            <w:color w:val="000000"/>
            <w:sz w:val="22"/>
            <w:vertAlign w:val="superscript"/>
          </w:rPr>
          <w:t>4</w:t>
        </w:r>
      </w:hyperlink>
      <w:r w:rsidR="00E96985" w:rsidRPr="00E96985">
        <w:rPr>
          <w:rFonts w:ascii="Arial Mäori" w:hAnsi="Arial Mäori" w:cs="Arial Mäori"/>
          <w:noProof/>
          <w:color w:val="000000"/>
          <w:sz w:val="22"/>
          <w:vertAlign w:val="superscript"/>
        </w:rPr>
        <w:t>)</w:t>
      </w:r>
      <w:r w:rsidRPr="00FE7190">
        <w:rPr>
          <w:rFonts w:ascii="Arial Mäori" w:hAnsi="Arial Mäori" w:cs="Arial Mäori"/>
          <w:color w:val="000000"/>
          <w:sz w:val="22"/>
        </w:rPr>
        <w:fldChar w:fldCharType="end"/>
      </w:r>
      <w:r w:rsidRPr="00FE7190">
        <w:rPr>
          <w:rFonts w:ascii="Arial Mäori" w:hAnsi="Arial Mäori" w:cs="Arial Mäori"/>
          <w:color w:val="000000"/>
          <w:sz w:val="22"/>
        </w:rPr>
        <w:t xml:space="preserve">.  The heart valves are two or three leaflets of </w:t>
      </w:r>
      <w:r w:rsidR="00DA7FC6">
        <w:rPr>
          <w:rFonts w:ascii="Arial Mäori" w:hAnsi="Arial Mäori" w:cs="Arial Mäori"/>
          <w:color w:val="000000"/>
          <w:sz w:val="22"/>
        </w:rPr>
        <w:t>thin, flexible</w:t>
      </w:r>
      <w:r w:rsidRPr="00FE7190">
        <w:rPr>
          <w:rFonts w:ascii="Arial Mäori" w:hAnsi="Arial Mäori" w:cs="Arial Mäori"/>
          <w:color w:val="000000"/>
          <w:sz w:val="22"/>
        </w:rPr>
        <w:t xml:space="preserve"> tissue which open to allow blood to flow through the heart and close to prevent backflow.  The valves can be affected by a number of disease processes which lead to regurgitation (back leakage) or stenosis</w:t>
      </w:r>
      <w:r w:rsidR="00DA7FC6">
        <w:rPr>
          <w:rFonts w:ascii="Arial Mäori" w:hAnsi="Arial Mäori" w:cs="Arial Mäori"/>
          <w:color w:val="000000"/>
          <w:sz w:val="22"/>
        </w:rPr>
        <w:t xml:space="preserve"> (narrowing of the valve opening</w:t>
      </w:r>
      <w:r w:rsidRPr="00FE7190">
        <w:rPr>
          <w:rFonts w:ascii="Arial Mäori" w:hAnsi="Arial Mäori" w:cs="Arial Mäori"/>
          <w:color w:val="000000"/>
          <w:sz w:val="22"/>
        </w:rPr>
        <w:t>) that result in abnormal cardiovascular haemodynamics.  Although most valvular disease is either asymptomatic or minimally symptomatic, if the lesion is severe it can lead to permanent impairment of cardiovascular function, heart failure and eventually death.</w:t>
      </w:r>
    </w:p>
    <w:p w:rsidR="00A63BA1" w:rsidRPr="00FE7190" w:rsidRDefault="00A63BA1" w:rsidP="00A63BA1">
      <w:pPr>
        <w:spacing w:after="120" w:line="360" w:lineRule="auto"/>
        <w:jc w:val="both"/>
        <w:rPr>
          <w:sz w:val="22"/>
        </w:rPr>
      </w:pPr>
      <w:r w:rsidRPr="00FE7190">
        <w:rPr>
          <w:rFonts w:ascii="Arial Mäori" w:hAnsi="Arial Mäori" w:cs="Arial Mäori"/>
          <w:color w:val="000000"/>
          <w:sz w:val="22"/>
        </w:rPr>
        <w:t xml:space="preserve">Causes of NRVHD depend on the lesion and valve affected but includes the following: degeneration, congenital abnormalities, endocarditis, trauma and systemic inflammatory diseases.  Treatment involves use of medications to slow progression and treat any related symptoms (e.g. chest pain, oedema, breathlessness).  If the valvular lesion and symptoms are severe then valve replacement or repair is the standard treatment option.  </w:t>
      </w:r>
      <w:r w:rsidR="00DA7FC6">
        <w:rPr>
          <w:rFonts w:ascii="Arial Mäori" w:hAnsi="Arial Mäori" w:cs="Arial Mäori"/>
          <w:color w:val="000000"/>
          <w:sz w:val="22"/>
        </w:rPr>
        <w:t xml:space="preserve"> Treatment options include</w:t>
      </w:r>
      <w:r w:rsidRPr="00FE7190">
        <w:rPr>
          <w:rFonts w:ascii="Arial Mäori" w:hAnsi="Arial Mäori" w:cs="Arial Mäori"/>
          <w:color w:val="000000"/>
          <w:sz w:val="22"/>
        </w:rPr>
        <w:t xml:space="preserve"> percutaneous valv</w:t>
      </w:r>
      <w:r w:rsidR="00DA7FC6">
        <w:rPr>
          <w:rFonts w:ascii="Arial Mäori" w:hAnsi="Arial Mäori" w:cs="Arial Mäori"/>
          <w:color w:val="000000"/>
          <w:sz w:val="22"/>
        </w:rPr>
        <w:t>e replacement and repair and</w:t>
      </w:r>
      <w:r w:rsidRPr="00FE7190">
        <w:rPr>
          <w:rFonts w:ascii="Arial Mäori" w:hAnsi="Arial Mäori" w:cs="Arial Mäori"/>
          <w:color w:val="000000"/>
          <w:sz w:val="22"/>
        </w:rPr>
        <w:t xml:space="preserve"> surgical techniques.</w:t>
      </w:r>
    </w:p>
    <w:p w:rsidR="00A63BA1" w:rsidRPr="00FD0607" w:rsidRDefault="00A63BA1" w:rsidP="00A63BA1">
      <w:pPr>
        <w:pStyle w:val="Heading2"/>
      </w:pPr>
      <w:bookmarkStart w:id="103" w:name="_Toc360641405"/>
      <w:bookmarkStart w:id="104" w:name="_Toc360714606"/>
      <w:bookmarkStart w:id="105" w:name="_Toc363122542"/>
      <w:bookmarkStart w:id="106" w:name="_Toc365276899"/>
      <w:r>
        <w:t>Prevalence and Incidence</w:t>
      </w:r>
      <w:bookmarkEnd w:id="103"/>
      <w:bookmarkEnd w:id="104"/>
      <w:bookmarkEnd w:id="105"/>
      <w:bookmarkEnd w:id="106"/>
    </w:p>
    <w:p w:rsidR="00A63BA1" w:rsidRPr="0060049D" w:rsidRDefault="00A63BA1" w:rsidP="00A63BA1">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 xml:space="preserve">In 2010 New Zealand prevalence of NRVHD was 531 per 100,000 individuals </w:t>
      </w:r>
      <w:r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&lt;EndNote&gt;&lt;Cite&gt;&lt;Author&gt;Ministry of Health&lt;/Author&gt;&lt;Year&gt;2013&lt;/Year&gt;&lt;RecNum&gt;739&lt;/RecNum&gt;&lt;DisplayText&gt;&lt;style face="superscript"&gt;(15)&lt;/style&gt;&lt;/DisplayText&gt;&lt;record&gt;&lt;rec-number&gt;739&lt;/rec-number&gt;&lt;foreign-keys&gt;&lt;key app="EN" db-id="paxef0v91tx5e7eaev8xxf2xd92zvrfrv592"&gt;739&lt;/key&gt;&lt;/foreign-keys&gt;&lt;ref-type name="Dataset"&gt;59&lt;/ref-type&gt;&lt;contributors&gt;&lt;authors&gt;&lt;author&gt;Ministry of Health,&lt;/author&gt;&lt;/authors&gt;&lt;secondary-authors&gt;&lt;author&gt;Ministry of Health,&lt;/author&gt;&lt;/secondary-authors&gt;&lt;/contributors&gt;&lt;titles&gt;&lt;title&gt;Health Tracker&lt;/title&gt;&lt;/titles&gt;&lt;dates&gt;&lt;year&gt;2013&lt;/year&gt;&lt;/dates&gt;&lt;pub-location&gt;Wellington&lt;/pub-location&gt;&lt;urls&gt;&lt;/urls&gt;&lt;/record&gt;&lt;/Cite&gt;&lt;/EndNote&gt;</w:instrText>
      </w:r>
      <w:r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15" w:tooltip="Ministry of Health, 2013 #739" w:history="1">
        <w:r w:rsidR="001418E1" w:rsidRPr="00E96985">
          <w:rPr>
            <w:rFonts w:ascii="Arial Mäori" w:hAnsi="Arial Mäori" w:cs="Arial Mäori"/>
            <w:noProof/>
            <w:color w:val="000000"/>
            <w:sz w:val="22"/>
            <w:vertAlign w:val="superscript"/>
          </w:rPr>
          <w:t>15</w:t>
        </w:r>
      </w:hyperlink>
      <w:r w:rsidR="00E96985" w:rsidRPr="00E96985">
        <w:rPr>
          <w:rFonts w:ascii="Arial Mäori" w:hAnsi="Arial Mäori" w:cs="Arial Mäori"/>
          <w:noProof/>
          <w:color w:val="000000"/>
          <w:sz w:val="22"/>
          <w:vertAlign w:val="superscript"/>
        </w:rPr>
        <w:t>)</w:t>
      </w:r>
      <w:r w:rsidRPr="0060049D">
        <w:rPr>
          <w:rFonts w:ascii="Arial Mäori" w:hAnsi="Arial Mäori" w:cs="Arial Mäori"/>
          <w:color w:val="000000"/>
          <w:sz w:val="22"/>
        </w:rPr>
        <w:fldChar w:fldCharType="end"/>
      </w:r>
      <w:r w:rsidRPr="0060049D">
        <w:rPr>
          <w:rFonts w:ascii="Arial Mäori" w:hAnsi="Arial Mäori" w:cs="Arial Mäori"/>
          <w:color w:val="000000"/>
          <w:sz w:val="22"/>
        </w:rPr>
        <w:t>. This equated to about 22,700 individuals.  Prevalence was similar for men and women (605 and 463 per 100,000 respectively) with prevalence for both groups increasing with age. Māori (366 per 100,000) are not disproportionately affected by NRVHD compared with non-Māori (562 per 100,000).</w:t>
      </w:r>
    </w:p>
    <w:p w:rsidR="00A63BA1" w:rsidRDefault="00A63BA1" w:rsidP="00A63BA1">
      <w:pPr>
        <w:pStyle w:val="Heading2"/>
      </w:pPr>
      <w:bookmarkStart w:id="107" w:name="_Toc358124606"/>
      <w:bookmarkStart w:id="108" w:name="_Toc360641406"/>
      <w:bookmarkStart w:id="109" w:name="_Toc360714607"/>
      <w:bookmarkStart w:id="110" w:name="_Toc363122543"/>
      <w:bookmarkStart w:id="111" w:name="_Toc365276900"/>
      <w:r>
        <w:t>Health Outcomes</w:t>
      </w:r>
      <w:bookmarkEnd w:id="107"/>
      <w:bookmarkEnd w:id="108"/>
      <w:bookmarkEnd w:id="109"/>
      <w:bookmarkEnd w:id="110"/>
      <w:bookmarkEnd w:id="111"/>
    </w:p>
    <w:p w:rsidR="00A63BA1" w:rsidRPr="0060049D" w:rsidRDefault="00A63BA1" w:rsidP="00A63BA1">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In 2006 nearly 470 deaths and 6,730 DALYs were attributed to NRVHD with the burden of both increasing with age (4.0% of both deaths and DALYs).  NRVHD is a significant burden on older individuals (aged over 65 years) with nearly 93.0% of NRVHD deaths and 73.0% of DALYs lost in these individuals.</w:t>
      </w:r>
    </w:p>
    <w:p w:rsidR="00A63BA1" w:rsidRDefault="00A63BA1" w:rsidP="00A63BA1">
      <w:pPr>
        <w:pStyle w:val="Heading2"/>
      </w:pPr>
      <w:bookmarkStart w:id="112" w:name="_Toc358124607"/>
      <w:bookmarkStart w:id="113" w:name="_Toc360641407"/>
      <w:bookmarkStart w:id="114" w:name="_Toc360714608"/>
      <w:bookmarkStart w:id="115" w:name="_Toc363122544"/>
      <w:bookmarkStart w:id="116" w:name="_Toc365276901"/>
      <w:r>
        <w:lastRenderedPageBreak/>
        <w:t>Health Utilisation and Cost</w:t>
      </w:r>
      <w:bookmarkEnd w:id="112"/>
      <w:bookmarkEnd w:id="113"/>
      <w:bookmarkEnd w:id="114"/>
      <w:bookmarkEnd w:id="115"/>
      <w:bookmarkEnd w:id="116"/>
    </w:p>
    <w:p w:rsidR="00A63BA1" w:rsidRPr="0060049D" w:rsidRDefault="00A63BA1" w:rsidP="00A63BA1">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In 2011/12 there were 2,250 hospital discharges for 1,573 people with NRVHD (1.4 hospitalisations per person) at an average cost of $23,800 per hospitalised individual.  Each hospitalisation had an average length of stay of 6.3 days and contributed to $37 million in costs.</w:t>
      </w:r>
    </w:p>
    <w:p w:rsidR="00A63BA1" w:rsidRDefault="00A63BA1" w:rsidP="009F3F4E">
      <w:pPr>
        <w:pStyle w:val="Heading1"/>
      </w:pPr>
      <w:bookmarkStart w:id="117" w:name="_Toc365276902"/>
      <w:r>
        <w:t>Aortic Aneurysms</w:t>
      </w:r>
      <w:bookmarkEnd w:id="117"/>
    </w:p>
    <w:p w:rsidR="00A63BA1" w:rsidRDefault="00A63BA1" w:rsidP="00A63BA1">
      <w:pPr>
        <w:pStyle w:val="Heading2"/>
      </w:pPr>
      <w:bookmarkStart w:id="118" w:name="_Toc358124624"/>
      <w:bookmarkStart w:id="119" w:name="_Toc360641424"/>
      <w:bookmarkStart w:id="120" w:name="_Toc360714610"/>
      <w:bookmarkStart w:id="121" w:name="_Toc363122546"/>
      <w:bookmarkStart w:id="122" w:name="_Toc365276903"/>
      <w:r>
        <w:t>Disease Description</w:t>
      </w:r>
      <w:bookmarkEnd w:id="118"/>
      <w:bookmarkEnd w:id="119"/>
      <w:bookmarkEnd w:id="120"/>
      <w:bookmarkEnd w:id="121"/>
      <w:bookmarkEnd w:id="122"/>
    </w:p>
    <w:p w:rsidR="00A63BA1" w:rsidRPr="00FE7190" w:rsidRDefault="00A63BA1" w:rsidP="00A63BA1">
      <w:pPr>
        <w:pStyle w:val="contentbody"/>
        <w:spacing w:before="0" w:beforeAutospacing="0" w:after="120" w:afterAutospacing="0" w:line="360" w:lineRule="auto"/>
        <w:jc w:val="both"/>
        <w:rPr>
          <w:rFonts w:ascii="Arial" w:hAnsi="Arial" w:cs="Arial"/>
          <w:sz w:val="22"/>
        </w:rPr>
      </w:pPr>
      <w:r w:rsidRPr="00FE7190">
        <w:rPr>
          <w:rFonts w:ascii="Arial" w:hAnsi="Arial" w:cs="Arial"/>
          <w:sz w:val="22"/>
        </w:rPr>
        <w:t xml:space="preserve">An </w:t>
      </w:r>
      <w:r w:rsidRPr="00FE7190">
        <w:rPr>
          <w:rFonts w:ascii="Arial" w:hAnsi="Arial" w:cs="Arial"/>
          <w:iCs/>
          <w:sz w:val="22"/>
        </w:rPr>
        <w:t>aneurysm</w:t>
      </w:r>
      <w:r w:rsidRPr="00FE7190">
        <w:rPr>
          <w:rFonts w:ascii="Arial" w:hAnsi="Arial" w:cs="Arial"/>
          <w:sz w:val="22"/>
        </w:rPr>
        <w:t xml:space="preserve"> is defined as a pathological dilation of a </w:t>
      </w:r>
      <w:r w:rsidR="001418E1" w:rsidRPr="00FE7190">
        <w:rPr>
          <w:rFonts w:ascii="Arial" w:hAnsi="Arial" w:cs="Arial"/>
          <w:sz w:val="22"/>
        </w:rPr>
        <w:t xml:space="preserve">blood vessel </w:t>
      </w:r>
      <w:r w:rsidR="001418E1">
        <w:rPr>
          <w:rFonts w:ascii="Arial" w:hAnsi="Arial" w:cs="Arial"/>
          <w:sz w:val="22"/>
        </w:rPr>
        <w:t>segment</w:t>
      </w:r>
      <w:r w:rsidRPr="00FE7190">
        <w:rPr>
          <w:rFonts w:ascii="Arial" w:hAnsi="Arial" w:cs="Arial"/>
          <w:sz w:val="22"/>
        </w:rPr>
        <w:t xml:space="preserve"> </w:t>
      </w:r>
      <w:r w:rsidRPr="00FE7190">
        <w:rPr>
          <w:rFonts w:ascii="Arial" w:hAnsi="Arial" w:cs="Arial"/>
          <w:sz w:val="22"/>
        </w:rPr>
        <w:fldChar w:fldCharType="begin"/>
      </w:r>
      <w:r w:rsidR="00E96985">
        <w:rPr>
          <w:rFonts w:ascii="Arial" w:hAnsi="Arial" w:cs="Arial"/>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FE7190">
        <w:rPr>
          <w:rFonts w:ascii="Arial" w:hAnsi="Arial" w:cs="Arial"/>
          <w:sz w:val="22"/>
        </w:rPr>
        <w:fldChar w:fldCharType="separate"/>
      </w:r>
      <w:r w:rsidR="00E96985" w:rsidRPr="00E96985">
        <w:rPr>
          <w:rFonts w:ascii="Arial" w:hAnsi="Arial" w:cs="Arial"/>
          <w:noProof/>
          <w:sz w:val="22"/>
          <w:vertAlign w:val="superscript"/>
        </w:rPr>
        <w:t>(</w:t>
      </w:r>
      <w:hyperlink w:anchor="_ENREF_4" w:tooltip="Fauci, 2008 #678" w:history="1">
        <w:r w:rsidR="001418E1" w:rsidRPr="00E96985">
          <w:rPr>
            <w:rFonts w:ascii="Arial" w:hAnsi="Arial" w:cs="Arial"/>
            <w:noProof/>
            <w:sz w:val="22"/>
            <w:vertAlign w:val="superscript"/>
          </w:rPr>
          <w:t>4</w:t>
        </w:r>
      </w:hyperlink>
      <w:r w:rsidR="00E96985" w:rsidRPr="00E96985">
        <w:rPr>
          <w:rFonts w:ascii="Arial" w:hAnsi="Arial" w:cs="Arial"/>
          <w:noProof/>
          <w:sz w:val="22"/>
          <w:vertAlign w:val="superscript"/>
        </w:rPr>
        <w:t>)</w:t>
      </w:r>
      <w:r w:rsidRPr="00FE7190">
        <w:rPr>
          <w:rFonts w:ascii="Arial" w:hAnsi="Arial" w:cs="Arial"/>
          <w:sz w:val="22"/>
        </w:rPr>
        <w:fldChar w:fldCharType="end"/>
      </w:r>
      <w:r w:rsidRPr="00FE7190">
        <w:rPr>
          <w:rFonts w:ascii="Arial" w:hAnsi="Arial" w:cs="Arial"/>
          <w:sz w:val="22"/>
        </w:rPr>
        <w:t xml:space="preserve">.  Aortic aneurysms are classed by location: thoracic versus abdominal.  Thoracic aortic aneurysms occur higher up on the descending aorta, in the thoracic cavity, as opposed to abdominal aortic aneurysms (AAA) which occur lower than thoracic aortic aneurysms in the abdominal cavity.  Aortic aneurysms result from conditions that cause degradation or abnormal production of the structural components of the aortic wall: elastin and </w:t>
      </w:r>
      <w:hyperlink r:id="rId19" w:history="1">
        <w:r w:rsidRPr="00FE7190">
          <w:rPr>
            <w:rStyle w:val="Hyperlink"/>
            <w:rFonts w:ascii="Arial" w:hAnsi="Arial" w:cs="Arial"/>
            <w:color w:val="auto"/>
            <w:sz w:val="22"/>
            <w:u w:val="none"/>
          </w:rPr>
          <w:t>collagen</w:t>
        </w:r>
      </w:hyperlink>
      <w:r w:rsidRPr="00FE7190">
        <w:rPr>
          <w:rFonts w:ascii="Arial" w:hAnsi="Arial" w:cs="Arial"/>
          <w:sz w:val="22"/>
        </w:rPr>
        <w:t xml:space="preserve">.  </w:t>
      </w:r>
    </w:p>
    <w:p w:rsidR="00A63BA1" w:rsidRPr="00FE7190" w:rsidRDefault="00A63BA1" w:rsidP="00A63BA1">
      <w:pPr>
        <w:pStyle w:val="contentbody"/>
        <w:spacing w:before="0" w:beforeAutospacing="0" w:after="120" w:afterAutospacing="0" w:line="360" w:lineRule="auto"/>
        <w:jc w:val="both"/>
        <w:rPr>
          <w:rFonts w:ascii="Arial" w:hAnsi="Arial" w:cs="Arial"/>
          <w:sz w:val="22"/>
        </w:rPr>
      </w:pPr>
      <w:r w:rsidRPr="00FE7190">
        <w:rPr>
          <w:rFonts w:ascii="Arial" w:hAnsi="Arial" w:cs="Arial"/>
          <w:sz w:val="22"/>
        </w:rPr>
        <w:t>The causes of aortic an</w:t>
      </w:r>
      <w:r w:rsidR="00DA7FC6">
        <w:rPr>
          <w:rFonts w:ascii="Arial" w:hAnsi="Arial" w:cs="Arial"/>
          <w:sz w:val="22"/>
        </w:rPr>
        <w:t>eurysms may be broadly categoris</w:t>
      </w:r>
      <w:r w:rsidRPr="00FE7190">
        <w:rPr>
          <w:rFonts w:ascii="Arial" w:hAnsi="Arial" w:cs="Arial"/>
          <w:sz w:val="22"/>
        </w:rPr>
        <w:t xml:space="preserve">ed as degenerative diseases, inherited or developmental diseases, infections, vasculitis, and trauma.  Inflammation, proteolysis, and biomechanical wall stress contribute to the degenerative processes that characterise most aneurysms of the abdominal and descending thoracic aorta.  Factors associated with degenerative aortic aneurysms include aging, cigarette smoking, high cholesterol, male sex, and a family history of aortic aneurysms.  The most common condition associated with aortic aneurysms is atherosclerosis (narrowing of the arteries) </w:t>
      </w:r>
      <w:r w:rsidRPr="00FE7190">
        <w:rPr>
          <w:rFonts w:ascii="Arial" w:hAnsi="Arial" w:cs="Arial"/>
          <w:sz w:val="22"/>
        </w:rPr>
        <w:fldChar w:fldCharType="begin"/>
      </w:r>
      <w:r w:rsidR="00E96985">
        <w:rPr>
          <w:rFonts w:ascii="Arial" w:hAnsi="Arial" w:cs="Arial"/>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FE7190">
        <w:rPr>
          <w:rFonts w:ascii="Arial" w:hAnsi="Arial" w:cs="Arial"/>
          <w:sz w:val="22"/>
        </w:rPr>
        <w:fldChar w:fldCharType="separate"/>
      </w:r>
      <w:r w:rsidR="00E96985" w:rsidRPr="00E96985">
        <w:rPr>
          <w:rFonts w:ascii="Arial" w:hAnsi="Arial" w:cs="Arial"/>
          <w:noProof/>
          <w:sz w:val="22"/>
          <w:vertAlign w:val="superscript"/>
        </w:rPr>
        <w:t>(</w:t>
      </w:r>
      <w:hyperlink w:anchor="_ENREF_4" w:tooltip="Fauci, 2008 #678" w:history="1">
        <w:r w:rsidR="001418E1" w:rsidRPr="00E96985">
          <w:rPr>
            <w:rFonts w:ascii="Arial" w:hAnsi="Arial" w:cs="Arial"/>
            <w:noProof/>
            <w:sz w:val="22"/>
            <w:vertAlign w:val="superscript"/>
          </w:rPr>
          <w:t>4</w:t>
        </w:r>
      </w:hyperlink>
      <w:r w:rsidR="00E96985" w:rsidRPr="00E96985">
        <w:rPr>
          <w:rFonts w:ascii="Arial" w:hAnsi="Arial" w:cs="Arial"/>
          <w:noProof/>
          <w:sz w:val="22"/>
          <w:vertAlign w:val="superscript"/>
        </w:rPr>
        <w:t>)</w:t>
      </w:r>
      <w:r w:rsidRPr="00FE7190">
        <w:rPr>
          <w:rFonts w:ascii="Arial" w:hAnsi="Arial" w:cs="Arial"/>
          <w:sz w:val="22"/>
        </w:rPr>
        <w:fldChar w:fldCharType="end"/>
      </w:r>
      <w:r w:rsidRPr="00FE7190">
        <w:rPr>
          <w:rFonts w:ascii="Arial" w:hAnsi="Arial" w:cs="Arial"/>
          <w:sz w:val="22"/>
        </w:rPr>
        <w:t xml:space="preserve">.  </w:t>
      </w:r>
    </w:p>
    <w:p w:rsidR="00A63BA1" w:rsidRPr="00FE7190" w:rsidRDefault="00A63BA1" w:rsidP="00A63BA1">
      <w:pPr>
        <w:pStyle w:val="contentbody"/>
        <w:spacing w:before="0" w:beforeAutospacing="0" w:after="120" w:afterAutospacing="0" w:line="360" w:lineRule="auto"/>
        <w:jc w:val="both"/>
        <w:rPr>
          <w:rFonts w:ascii="Arial" w:hAnsi="Arial" w:cs="Arial"/>
          <w:sz w:val="22"/>
        </w:rPr>
      </w:pPr>
      <w:r w:rsidRPr="00FE7190">
        <w:rPr>
          <w:rFonts w:ascii="Arial" w:hAnsi="Arial" w:cs="Arial"/>
          <w:sz w:val="22"/>
        </w:rPr>
        <w:t xml:space="preserve">The risk of rupture for a thoracic aneurysm is related to the size of the aneurysm and the presence of symptoms, ranging approximately from 2–3% per year for thoracic aortic aneurysms &lt;4 cm in diameter to 7% per year for those </w:t>
      </w:r>
      <w:r w:rsidR="001418E1">
        <w:rPr>
          <w:rFonts w:ascii="Arial" w:hAnsi="Arial" w:cs="Arial"/>
          <w:sz w:val="22"/>
        </w:rPr>
        <w:t xml:space="preserve">aneurysms </w:t>
      </w:r>
      <w:r w:rsidRPr="00FE7190">
        <w:rPr>
          <w:rFonts w:ascii="Arial" w:hAnsi="Arial" w:cs="Arial"/>
          <w:sz w:val="22"/>
        </w:rPr>
        <w:t xml:space="preserve">&gt;6 cm in diameter.  Most thoracic aortic aneurysms are asymptomatic; however, compression or erosion of adjacent tissue by aneurysms may cause symptoms such as chest pain, shortness of breath, cough, hoarseness and dysphagia.  Aneurysmal dilation of the ascending aorta may cause congestive heart failure as a consequence of aortic regurgitation, and compression of the superior vena cava may produce congestion of the head, neck, and upper extremities.  </w:t>
      </w:r>
    </w:p>
    <w:p w:rsidR="00A63BA1" w:rsidRPr="00FE7190" w:rsidRDefault="00A63BA1" w:rsidP="00A63BA1">
      <w:pPr>
        <w:pStyle w:val="contentbody"/>
        <w:spacing w:before="0" w:beforeAutospacing="0" w:after="120" w:afterAutospacing="0" w:line="360" w:lineRule="auto"/>
        <w:jc w:val="both"/>
        <w:rPr>
          <w:rFonts w:ascii="Arial" w:hAnsi="Arial" w:cs="Arial"/>
          <w:sz w:val="22"/>
        </w:rPr>
      </w:pPr>
      <w:r w:rsidRPr="00FE7190">
        <w:rPr>
          <w:rFonts w:ascii="Arial" w:hAnsi="Arial" w:cs="Arial"/>
          <w:sz w:val="22"/>
        </w:rPr>
        <w:t xml:space="preserve">At least 90% of all abdominal aortic aneurysms &gt;4 cm are related to atherosclerotic disease and most of these aneurysms are below the level of the renal arteries.  Prognosis is related to both the size of the aneurysm and the severity of coexisting coronary artery and cerebrovascular disease.  The risk of rupture increases with the size of the aneurysm: the 5-year risk for aneurysms &lt;5 cm is 1–2%, whereas it is 20–40% for aneurysms &gt;5 cm in diameter </w:t>
      </w:r>
      <w:r w:rsidRPr="00FE7190">
        <w:rPr>
          <w:rFonts w:ascii="Arial" w:hAnsi="Arial" w:cs="Arial"/>
          <w:sz w:val="22"/>
        </w:rPr>
        <w:fldChar w:fldCharType="begin"/>
      </w:r>
      <w:r w:rsidR="00E96985">
        <w:rPr>
          <w:rFonts w:ascii="Arial" w:hAnsi="Arial" w:cs="Arial"/>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FE7190">
        <w:rPr>
          <w:rFonts w:ascii="Arial" w:hAnsi="Arial" w:cs="Arial"/>
          <w:sz w:val="22"/>
        </w:rPr>
        <w:fldChar w:fldCharType="separate"/>
      </w:r>
      <w:r w:rsidR="00E96985" w:rsidRPr="00E96985">
        <w:rPr>
          <w:rFonts w:ascii="Arial" w:hAnsi="Arial" w:cs="Arial"/>
          <w:noProof/>
          <w:sz w:val="22"/>
          <w:vertAlign w:val="superscript"/>
        </w:rPr>
        <w:t>(</w:t>
      </w:r>
      <w:hyperlink w:anchor="_ENREF_4" w:tooltip="Fauci, 2008 #678" w:history="1">
        <w:r w:rsidR="001418E1" w:rsidRPr="00E96985">
          <w:rPr>
            <w:rFonts w:ascii="Arial" w:hAnsi="Arial" w:cs="Arial"/>
            <w:noProof/>
            <w:sz w:val="22"/>
            <w:vertAlign w:val="superscript"/>
          </w:rPr>
          <w:t>4</w:t>
        </w:r>
      </w:hyperlink>
      <w:r w:rsidR="00E96985" w:rsidRPr="00E96985">
        <w:rPr>
          <w:rFonts w:ascii="Arial" w:hAnsi="Arial" w:cs="Arial"/>
          <w:noProof/>
          <w:sz w:val="22"/>
          <w:vertAlign w:val="superscript"/>
        </w:rPr>
        <w:t>)</w:t>
      </w:r>
      <w:r w:rsidRPr="00FE7190">
        <w:rPr>
          <w:rFonts w:ascii="Arial" w:hAnsi="Arial" w:cs="Arial"/>
          <w:sz w:val="22"/>
        </w:rPr>
        <w:fldChar w:fldCharType="end"/>
      </w:r>
      <w:r w:rsidRPr="00FE7190">
        <w:rPr>
          <w:rFonts w:ascii="Arial" w:hAnsi="Arial" w:cs="Arial"/>
          <w:sz w:val="22"/>
        </w:rPr>
        <w:t xml:space="preserve">. </w:t>
      </w:r>
    </w:p>
    <w:p w:rsidR="00A63BA1" w:rsidRPr="00FE7190" w:rsidRDefault="00A63BA1" w:rsidP="00A63BA1">
      <w:pPr>
        <w:pStyle w:val="contentbody"/>
        <w:spacing w:before="0" w:beforeAutospacing="0" w:after="120" w:afterAutospacing="0" w:line="360" w:lineRule="auto"/>
        <w:jc w:val="both"/>
        <w:rPr>
          <w:rFonts w:ascii="Arial" w:hAnsi="Arial" w:cs="Arial"/>
          <w:sz w:val="22"/>
        </w:rPr>
      </w:pPr>
      <w:bookmarkStart w:id="123" w:name="9105064"/>
      <w:bookmarkEnd w:id="123"/>
      <w:r w:rsidRPr="00FE7190">
        <w:rPr>
          <w:rFonts w:ascii="Arial" w:hAnsi="Arial" w:cs="Arial"/>
          <w:sz w:val="22"/>
        </w:rPr>
        <w:t xml:space="preserve">An </w:t>
      </w:r>
      <w:bookmarkStart w:id="124" w:name="searchTerm"/>
      <w:bookmarkEnd w:id="124"/>
      <w:r w:rsidRPr="00FE7190">
        <w:rPr>
          <w:rFonts w:ascii="Arial" w:hAnsi="Arial" w:cs="Arial"/>
          <w:sz w:val="22"/>
        </w:rPr>
        <w:t>AAA commonly produces no symptoms.  It usually is detected on routine examination as a palpable, pulsatile, expansile, and non</w:t>
      </w:r>
      <w:r w:rsidR="00DA7FC6">
        <w:rPr>
          <w:rFonts w:ascii="Arial" w:hAnsi="Arial" w:cs="Arial"/>
          <w:sz w:val="22"/>
        </w:rPr>
        <w:t>-</w:t>
      </w:r>
      <w:r w:rsidRPr="00FE7190">
        <w:rPr>
          <w:rFonts w:ascii="Arial" w:hAnsi="Arial" w:cs="Arial"/>
          <w:sz w:val="22"/>
        </w:rPr>
        <w:t xml:space="preserve">tender mass, or it is an incidental finding observed on an </w:t>
      </w:r>
      <w:r w:rsidRPr="00FE7190">
        <w:rPr>
          <w:rFonts w:ascii="Arial" w:hAnsi="Arial" w:cs="Arial"/>
          <w:sz w:val="22"/>
        </w:rPr>
        <w:lastRenderedPageBreak/>
        <w:t xml:space="preserve">abdominal x-ray or ultrasound study performed for other reasons.  </w:t>
      </w:r>
      <w:r>
        <w:rPr>
          <w:rFonts w:ascii="Arial" w:hAnsi="Arial" w:cs="Arial"/>
          <w:sz w:val="22"/>
        </w:rPr>
        <w:t>However, a</w:t>
      </w:r>
      <w:r w:rsidRPr="00FE7190">
        <w:rPr>
          <w:rFonts w:ascii="Arial" w:hAnsi="Arial" w:cs="Arial"/>
          <w:sz w:val="22"/>
        </w:rPr>
        <w:t xml:space="preserve">s AAAs </w:t>
      </w:r>
      <w:proofErr w:type="gramStart"/>
      <w:r w:rsidRPr="00FE7190">
        <w:rPr>
          <w:rFonts w:ascii="Arial" w:hAnsi="Arial" w:cs="Arial"/>
          <w:sz w:val="22"/>
        </w:rPr>
        <w:t>expand</w:t>
      </w:r>
      <w:proofErr w:type="gramEnd"/>
      <w:r w:rsidRPr="00FE7190">
        <w:rPr>
          <w:rFonts w:ascii="Arial" w:hAnsi="Arial" w:cs="Arial"/>
          <w:sz w:val="22"/>
        </w:rPr>
        <w:t xml:space="preserve"> they may become painful.  Some patients complain of strong pulsations in the abdomen; others experience pain in the chest, lower back or scrotum.  Aneurysma</w:t>
      </w:r>
      <w:r w:rsidR="00DA7FC6">
        <w:rPr>
          <w:rFonts w:ascii="Arial" w:hAnsi="Arial" w:cs="Arial"/>
          <w:sz w:val="22"/>
        </w:rPr>
        <w:t>l pain is usually a precursor to</w:t>
      </w:r>
      <w:r w:rsidRPr="00FE7190">
        <w:rPr>
          <w:rFonts w:ascii="Arial" w:hAnsi="Arial" w:cs="Arial"/>
          <w:sz w:val="22"/>
        </w:rPr>
        <w:t xml:space="preserve"> rupture and represents a medical emergency.  More often, acute rupture occurs without any prior warning and this complication is always life-threatening.  Rarely, there is leakage of the aneurysm with severe pain and tenderness.  Acute pain and hypotension occur with rupture of the aneurysm, which requires an emergency operation.</w:t>
      </w:r>
    </w:p>
    <w:p w:rsidR="00A63BA1" w:rsidRDefault="00A63BA1" w:rsidP="00A63BA1">
      <w:pPr>
        <w:pStyle w:val="contentbody"/>
        <w:spacing w:before="0" w:beforeAutospacing="0" w:after="120" w:afterAutospacing="0" w:line="360" w:lineRule="auto"/>
        <w:jc w:val="both"/>
        <w:rPr>
          <w:rFonts w:ascii="Arial" w:hAnsi="Arial" w:cs="Arial"/>
          <w:sz w:val="22"/>
        </w:rPr>
      </w:pPr>
      <w:r w:rsidRPr="00FE7190">
        <w:rPr>
          <w:rFonts w:ascii="Arial" w:hAnsi="Arial" w:cs="Arial"/>
          <w:sz w:val="22"/>
        </w:rPr>
        <w:t xml:space="preserve">Thoracic aneurysms are detected with a chest x-ray while AAAs may be detected with an abdominal ultrasound. </w:t>
      </w:r>
      <w:r w:rsidR="00365A3A">
        <w:rPr>
          <w:rFonts w:ascii="Arial" w:hAnsi="Arial" w:cs="Arial"/>
          <w:sz w:val="22"/>
        </w:rPr>
        <w:t xml:space="preserve"> </w:t>
      </w:r>
      <w:r w:rsidRPr="00FE7190">
        <w:rPr>
          <w:rFonts w:ascii="Arial" w:hAnsi="Arial" w:cs="Arial"/>
          <w:sz w:val="22"/>
        </w:rPr>
        <w:t xml:space="preserve">Contrast CT scans may be used to further investigate and follow-up detected thoracic or abdominal aortic aneurysms.  Treatment for thoracic aortic aneurysms includes beta blockers to control hypertension and surgery if necessary.  AAAs may require elective surgery to repair the vessel before it bursts or emergency surgery to repair a burst vessel.  Surgical procedures for aneurysm repair may be either endovascular (percutaneous) or open </w:t>
      </w:r>
      <w:r w:rsidRPr="00FE7190">
        <w:rPr>
          <w:rFonts w:ascii="Arial" w:hAnsi="Arial" w:cs="Arial"/>
          <w:sz w:val="22"/>
        </w:rPr>
        <w:fldChar w:fldCharType="begin"/>
      </w:r>
      <w:r w:rsidR="00E96985">
        <w:rPr>
          <w:rFonts w:ascii="Arial" w:hAnsi="Arial" w:cs="Arial"/>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FE7190">
        <w:rPr>
          <w:rFonts w:ascii="Arial" w:hAnsi="Arial" w:cs="Arial"/>
          <w:sz w:val="22"/>
        </w:rPr>
        <w:fldChar w:fldCharType="separate"/>
      </w:r>
      <w:r w:rsidR="00E96985" w:rsidRPr="00E96985">
        <w:rPr>
          <w:rFonts w:ascii="Arial" w:hAnsi="Arial" w:cs="Arial"/>
          <w:noProof/>
          <w:sz w:val="22"/>
          <w:vertAlign w:val="superscript"/>
        </w:rPr>
        <w:t>(</w:t>
      </w:r>
      <w:hyperlink w:anchor="_ENREF_4" w:tooltip="Fauci, 2008 #678" w:history="1">
        <w:r w:rsidR="001418E1" w:rsidRPr="00E96985">
          <w:rPr>
            <w:rFonts w:ascii="Arial" w:hAnsi="Arial" w:cs="Arial"/>
            <w:noProof/>
            <w:sz w:val="22"/>
            <w:vertAlign w:val="superscript"/>
          </w:rPr>
          <w:t>4</w:t>
        </w:r>
      </w:hyperlink>
      <w:r w:rsidR="00E96985" w:rsidRPr="00E96985">
        <w:rPr>
          <w:rFonts w:ascii="Arial" w:hAnsi="Arial" w:cs="Arial"/>
          <w:noProof/>
          <w:sz w:val="22"/>
          <w:vertAlign w:val="superscript"/>
        </w:rPr>
        <w:t>)</w:t>
      </w:r>
      <w:r w:rsidRPr="00FE7190">
        <w:rPr>
          <w:rFonts w:ascii="Arial" w:hAnsi="Arial" w:cs="Arial"/>
          <w:sz w:val="22"/>
        </w:rPr>
        <w:fldChar w:fldCharType="end"/>
      </w:r>
      <w:r w:rsidRPr="00FE7190">
        <w:rPr>
          <w:rFonts w:ascii="Arial" w:hAnsi="Arial" w:cs="Arial"/>
          <w:sz w:val="22"/>
        </w:rPr>
        <w:t>.</w:t>
      </w:r>
    </w:p>
    <w:p w:rsidR="00692C4B" w:rsidRPr="00FE7190" w:rsidRDefault="00692C4B" w:rsidP="00A63BA1">
      <w:pPr>
        <w:pStyle w:val="contentbody"/>
        <w:spacing w:before="0" w:beforeAutospacing="0" w:after="120" w:afterAutospacing="0" w:line="360" w:lineRule="auto"/>
        <w:jc w:val="both"/>
        <w:rPr>
          <w:rFonts w:ascii="Arial" w:hAnsi="Arial" w:cs="Arial"/>
          <w:sz w:val="22"/>
        </w:rPr>
      </w:pPr>
      <w:r>
        <w:rPr>
          <w:rFonts w:ascii="Arial" w:hAnsi="Arial" w:cs="Arial"/>
          <w:sz w:val="22"/>
        </w:rPr>
        <w:t>For AAAs, there are screening programmes in the UK and USA to sy</w:t>
      </w:r>
      <w:r w:rsidR="00E26572">
        <w:rPr>
          <w:rFonts w:ascii="Arial" w:hAnsi="Arial" w:cs="Arial"/>
          <w:sz w:val="22"/>
        </w:rPr>
        <w:t>stematically detect aneurysms.</w:t>
      </w:r>
    </w:p>
    <w:p w:rsidR="00A63BA1" w:rsidRDefault="00A63BA1" w:rsidP="00A63BA1">
      <w:pPr>
        <w:pStyle w:val="Heading2"/>
      </w:pPr>
      <w:bookmarkStart w:id="125" w:name="_Toc360641425"/>
      <w:bookmarkStart w:id="126" w:name="_Toc360714611"/>
      <w:bookmarkStart w:id="127" w:name="_Toc363122547"/>
      <w:bookmarkStart w:id="128" w:name="_Toc365276904"/>
      <w:r>
        <w:t>Prevalence and Incidence</w:t>
      </w:r>
      <w:bookmarkEnd w:id="125"/>
      <w:bookmarkEnd w:id="126"/>
      <w:bookmarkEnd w:id="127"/>
      <w:bookmarkEnd w:id="128"/>
    </w:p>
    <w:p w:rsidR="00A63BA1" w:rsidRPr="00164F8C"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The prevalence of thoracic aortic aneurysms has appeared to triple in the last two  decades </w:t>
      </w:r>
      <w:r w:rsidRPr="00164F8C">
        <w:rPr>
          <w:rFonts w:ascii="Arial" w:hAnsi="Arial" w:cs="Arial"/>
          <w:sz w:val="22"/>
        </w:rPr>
        <w:fldChar w:fldCharType="begin"/>
      </w:r>
      <w:r w:rsidR="00E96985">
        <w:rPr>
          <w:rFonts w:ascii="Arial" w:hAnsi="Arial" w:cs="Arial"/>
          <w:sz w:val="22"/>
        </w:rPr>
        <w:instrText xml:space="preserve"> ADDIN EN.CITE &lt;EndNote&gt;&lt;Cite&gt;&lt;Author&gt;Clouse&lt;/Author&gt;&lt;Year&gt;1998&lt;/Year&gt;&lt;RecNum&gt;711&lt;/RecNum&gt;&lt;DisplayText&gt;&lt;style face="superscript"&gt;(16, 17)&lt;/style&gt;&lt;/DisplayText&gt;&lt;record&gt;&lt;rec-number&gt;711&lt;/rec-number&gt;&lt;foreign-keys&gt;&lt;key app="EN" db-id="paxef0v91tx5e7eaev8xxf2xd92zvrfrv592"&gt;711&lt;/key&gt;&lt;/foreign-keys&gt;&lt;ref-type name="Journal Article"&gt;17&lt;/ref-type&gt;&lt;contributors&gt;&lt;authors&gt;&lt;author&gt;Clouse, William Darrin&lt;/author&gt;&lt;author&gt;Hallett Jr, John W&lt;/author&gt;&lt;author&gt;Schaff, Hartzell V&lt;/author&gt;&lt;author&gt;Gayari, Michelle M&lt;/author&gt;&lt;author&gt;Ilstrup, Duane M&lt;/author&gt;&lt;author&gt;Melton III, L Joseph&lt;/author&gt;&lt;/authors&gt;&lt;/contributors&gt;&lt;titles&gt;&lt;title&gt;Improved prognosis of thoracic aortic aneurysms&lt;/title&gt;&lt;secondary-title&gt;JAMA: the journal of the American Medical Association&lt;/secondary-title&gt;&lt;/titles&gt;&lt;periodical&gt;&lt;full-title&gt;JAMA: the journal of the American Medical Association&lt;/full-title&gt;&lt;/periodical&gt;&lt;pages&gt;1926-1929&lt;/pages&gt;&lt;volume&gt;280&lt;/volume&gt;&lt;number&gt;22&lt;/number&gt;&lt;dates&gt;&lt;year&gt;1998&lt;/year&gt;&lt;/dates&gt;&lt;isbn&gt;0098-7484&lt;/isbn&gt;&lt;urls&gt;&lt;/urls&gt;&lt;/record&gt;&lt;/Cite&gt;&lt;Cite&gt;&lt;Author&gt;Bickerstaff&lt;/Author&gt;&lt;Year&gt;1982&lt;/Year&gt;&lt;RecNum&gt;710&lt;/RecNum&gt;&lt;record&gt;&lt;rec-number&gt;710&lt;/rec-number&gt;&lt;foreign-keys&gt;&lt;key app="EN" db-id="paxef0v91tx5e7eaev8xxf2xd92zvrfrv592"&gt;710&lt;/key&gt;&lt;/foreign-keys&gt;&lt;ref-type name="Journal Article"&gt;17&lt;/ref-type&gt;&lt;contributors&gt;&lt;authors&gt;&lt;author&gt;Bickerstaff, LK&lt;/author&gt;&lt;author&gt;Pairolero, PC&lt;/author&gt;&lt;author&gt;Hollier, LH&lt;/author&gt;&lt;author&gt;Melton, L Joseph&lt;/author&gt;&lt;author&gt;Van Peenen, HJ&lt;/author&gt;&lt;author&gt;Cherry, KJ&lt;/author&gt;&lt;author&gt;Joyce, JW&lt;/author&gt;&lt;author&gt;Lie, JT&lt;/author&gt;&lt;/authors&gt;&lt;/contributors&gt;&lt;titles&gt;&lt;title&gt;Thoracic aortic aneurysms: a population-based study&lt;/title&gt;&lt;secondary-title&gt;Surgery&lt;/secondary-title&gt;&lt;/titles&gt;&lt;periodical&gt;&lt;full-title&gt;Surgery&lt;/full-title&gt;&lt;/periodical&gt;&lt;pages&gt;1103-1108&lt;/pages&gt;&lt;volume&gt;92&lt;/volume&gt;&lt;number&gt;6&lt;/number&gt;&lt;dates&gt;&lt;year&gt;1982&lt;/year&gt;&lt;/dates&gt;&lt;isbn&gt;0039-6060&lt;/isbn&gt;&lt;urls&gt;&lt;/urls&gt;&lt;/record&gt;&lt;/Cite&gt;&lt;/EndNote&gt;</w:instrText>
      </w:r>
      <w:r w:rsidRPr="00164F8C">
        <w:rPr>
          <w:rFonts w:ascii="Arial" w:hAnsi="Arial" w:cs="Arial"/>
          <w:sz w:val="22"/>
        </w:rPr>
        <w:fldChar w:fldCharType="separate"/>
      </w:r>
      <w:r w:rsidR="00E96985" w:rsidRPr="00E96985">
        <w:rPr>
          <w:rFonts w:ascii="Arial" w:hAnsi="Arial" w:cs="Arial"/>
          <w:noProof/>
          <w:sz w:val="22"/>
          <w:vertAlign w:val="superscript"/>
        </w:rPr>
        <w:t>(</w:t>
      </w:r>
      <w:hyperlink w:anchor="_ENREF_16" w:tooltip="Clouse, 1998 #711" w:history="1">
        <w:r w:rsidR="001418E1" w:rsidRPr="00E96985">
          <w:rPr>
            <w:rFonts w:ascii="Arial" w:hAnsi="Arial" w:cs="Arial"/>
            <w:noProof/>
            <w:sz w:val="22"/>
            <w:vertAlign w:val="superscript"/>
          </w:rPr>
          <w:t>16</w:t>
        </w:r>
      </w:hyperlink>
      <w:r w:rsidR="00E96985" w:rsidRPr="00E96985">
        <w:rPr>
          <w:rFonts w:ascii="Arial" w:hAnsi="Arial" w:cs="Arial"/>
          <w:noProof/>
          <w:sz w:val="22"/>
          <w:vertAlign w:val="superscript"/>
        </w:rPr>
        <w:t xml:space="preserve">, </w:t>
      </w:r>
      <w:hyperlink w:anchor="_ENREF_17" w:tooltip="Bickerstaff, 1982 #710" w:history="1">
        <w:r w:rsidR="001418E1" w:rsidRPr="00E96985">
          <w:rPr>
            <w:rFonts w:ascii="Arial" w:hAnsi="Arial" w:cs="Arial"/>
            <w:noProof/>
            <w:sz w:val="22"/>
            <w:vertAlign w:val="superscript"/>
          </w:rPr>
          <w:t>17</w:t>
        </w:r>
      </w:hyperlink>
      <w:r w:rsidR="00E96985" w:rsidRPr="00E96985">
        <w:rPr>
          <w:rFonts w:ascii="Arial" w:hAnsi="Arial" w:cs="Arial"/>
          <w:noProof/>
          <w:sz w:val="22"/>
          <w:vertAlign w:val="superscript"/>
        </w:rPr>
        <w:t>)</w:t>
      </w:r>
      <w:r w:rsidRPr="00164F8C">
        <w:rPr>
          <w:rFonts w:ascii="Arial" w:hAnsi="Arial" w:cs="Arial"/>
          <w:sz w:val="22"/>
        </w:rPr>
        <w:fldChar w:fldCharType="end"/>
      </w:r>
      <w:r w:rsidRPr="00164F8C">
        <w:rPr>
          <w:rFonts w:ascii="Arial" w:hAnsi="Arial" w:cs="Arial"/>
          <w:sz w:val="22"/>
        </w:rPr>
        <w:t xml:space="preserve">.  Whether this represents an increase in the elderly proportion of our population, improved diagnostic capabilities, or an actual increase in incidence is unknown.  According to a recent study thoracic aortic aneurysms are now estimated to affect 10 of every 100,000 elderly adults, with 30% to 40% of these being descending thoracic aneurysms (DTA) </w:t>
      </w:r>
      <w:r w:rsidRPr="00164F8C">
        <w:rPr>
          <w:rFonts w:ascii="Arial" w:hAnsi="Arial" w:cs="Arial"/>
          <w:sz w:val="22"/>
        </w:rPr>
        <w:fldChar w:fldCharType="begin"/>
      </w:r>
      <w:r w:rsidR="00E96985">
        <w:rPr>
          <w:rFonts w:ascii="Arial" w:hAnsi="Arial" w:cs="Arial"/>
          <w:sz w:val="22"/>
        </w:rPr>
        <w:instrText xml:space="preserve"> ADDIN EN.CITE &lt;EndNote&gt;&lt;Cite&gt;&lt;Author&gt;Bavaria&lt;/Author&gt;&lt;Year&gt;2007&lt;/Year&gt;&lt;RecNum&gt;713&lt;/RecNum&gt;&lt;DisplayText&gt;&lt;style face="superscript"&gt;(18)&lt;/style&gt;&lt;/DisplayText&gt;&lt;record&gt;&lt;rec-number&gt;713&lt;/rec-number&gt;&lt;foreign-keys&gt;&lt;key app="EN" db-id="paxef0v91tx5e7eaev8xxf2xd92zvrfrv592"&gt;713&lt;/key&gt;&lt;/foreign-keys&gt;&lt;ref-type name="Journal Article"&gt;17&lt;/ref-type&gt;&lt;contributors&gt;&lt;authors&gt;&lt;author&gt;Bavaria, Joseph E&lt;/author&gt;&lt;author&gt;Appoo, Jehangir J&lt;/author&gt;&lt;author&gt;Makaroun, Michel S&lt;/author&gt;&lt;author&gt;Verter, Joel&lt;/author&gt;&lt;author&gt;Yu, Zi-Fan&lt;/author&gt;&lt;author&gt;Mitchell, R Scott&lt;/author&gt;&lt;/authors&gt;&lt;/contributors&gt;&lt;titles&gt;&lt;title&gt;Endovascular stent grafting versus open surgical repair of descending thoracic aortic aneurysms in low-risk patients: a multicenter comparative trial&lt;/title&gt;&lt;secondary-title&gt;Journal of thoracic and cardiovascular surgery&lt;/secondary-title&gt;&lt;/titles&gt;&lt;periodical&gt;&lt;full-title&gt;Journal of thoracic and cardiovascular surgery&lt;/full-title&gt;&lt;/periodical&gt;&lt;pages&gt;369-374&lt;/pages&gt;&lt;volume&gt;133&lt;/volume&gt;&lt;number&gt;2&lt;/number&gt;&lt;dates&gt;&lt;year&gt;2007&lt;/year&gt;&lt;/dates&gt;&lt;isbn&gt;0022-5223&lt;/isbn&gt;&lt;urls&gt;&lt;/urls&gt;&lt;/record&gt;&lt;/Cite&gt;&lt;/EndNote&gt;</w:instrText>
      </w:r>
      <w:r w:rsidRPr="00164F8C">
        <w:rPr>
          <w:rFonts w:ascii="Arial" w:hAnsi="Arial" w:cs="Arial"/>
          <w:sz w:val="22"/>
        </w:rPr>
        <w:fldChar w:fldCharType="separate"/>
      </w:r>
      <w:r w:rsidR="00E96985" w:rsidRPr="00E96985">
        <w:rPr>
          <w:rFonts w:ascii="Arial" w:hAnsi="Arial" w:cs="Arial"/>
          <w:noProof/>
          <w:sz w:val="22"/>
          <w:vertAlign w:val="superscript"/>
        </w:rPr>
        <w:t>(</w:t>
      </w:r>
      <w:hyperlink w:anchor="_ENREF_18" w:tooltip="Bavaria, 2007 #713" w:history="1">
        <w:r w:rsidR="001418E1" w:rsidRPr="00E96985">
          <w:rPr>
            <w:rFonts w:ascii="Arial" w:hAnsi="Arial" w:cs="Arial"/>
            <w:noProof/>
            <w:sz w:val="22"/>
            <w:vertAlign w:val="superscript"/>
          </w:rPr>
          <w:t>18</w:t>
        </w:r>
      </w:hyperlink>
      <w:r w:rsidR="00E96985" w:rsidRPr="00E96985">
        <w:rPr>
          <w:rFonts w:ascii="Arial" w:hAnsi="Arial" w:cs="Arial"/>
          <w:noProof/>
          <w:sz w:val="22"/>
          <w:vertAlign w:val="superscript"/>
        </w:rPr>
        <w:t>)</w:t>
      </w:r>
      <w:r w:rsidRPr="00164F8C">
        <w:rPr>
          <w:rFonts w:ascii="Arial" w:hAnsi="Arial" w:cs="Arial"/>
          <w:sz w:val="22"/>
        </w:rPr>
        <w:fldChar w:fldCharType="end"/>
      </w:r>
      <w:r w:rsidRPr="00164F8C">
        <w:rPr>
          <w:rFonts w:ascii="Arial" w:hAnsi="Arial" w:cs="Arial"/>
          <w:sz w:val="22"/>
        </w:rPr>
        <w:t>.</w:t>
      </w:r>
    </w:p>
    <w:p w:rsidR="00A63BA1" w:rsidRPr="00164F8C"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International estimates of AAA prevalence range from 4% to 8% in older men (over age 65) </w:t>
      </w:r>
      <w:r w:rsidRPr="00164F8C">
        <w:rPr>
          <w:rFonts w:ascii="Arial" w:hAnsi="Arial" w:cs="Arial"/>
          <w:sz w:val="22"/>
        </w:rPr>
        <w:fldChar w:fldCharType="begin"/>
      </w:r>
      <w:r w:rsidR="00E96985">
        <w:rPr>
          <w:rFonts w:ascii="Arial" w:hAnsi="Arial" w:cs="Arial"/>
          <w:sz w:val="22"/>
        </w:rPr>
        <w:instrText xml:space="preserve"> ADDIN EN.CITE &lt;EndNote&gt;&lt;Cite&gt;&lt;Author&gt;Fleming&lt;/Author&gt;&lt;Year&gt;2005&lt;/Year&gt;&lt;RecNum&gt;21&lt;/RecNum&gt;&lt;DisplayText&gt;&lt;style face="superscript"&gt;(19)&lt;/style&gt;&lt;/DisplayText&gt;&lt;record&gt;&lt;rec-number&gt;21&lt;/rec-number&gt;&lt;foreign-keys&gt;&lt;key app="EN" db-id="paxef0v91tx5e7eaev8xxf2xd92zvrfrv592"&gt;21&lt;/key&gt;&lt;/foreign-keys&gt;&lt;ref-type name="Journal Article"&gt;17&lt;/ref-type&gt;&lt;contributors&gt;&lt;authors&gt;&lt;author&gt;Fleming, C.&lt;/author&gt;&lt;author&gt;Whitlock, E.P.&lt;/author&gt;&lt;author&gt;Beil, T.L.&lt;/author&gt;&lt;author&gt;Lederle, F.A.&lt;/author&gt;&lt;/authors&gt;&lt;/contributors&gt;&lt;titles&gt;&lt;title&gt;Screening for abdominal aortic aneurysm: a best-evidence systematic review for the US Preventive Services Task Force&lt;/title&gt;&lt;secondary-title&gt;Journal of Vascular Surgery&lt;/secondary-title&gt;&lt;/titles&gt;&lt;periodical&gt;&lt;full-title&gt;Journal of Vascular Surgery&lt;/full-title&gt;&lt;/periodical&gt;&lt;pages&gt;1078&lt;/pages&gt;&lt;volume&gt;41&lt;/volume&gt;&lt;number&gt;6&lt;/number&gt;&lt;dates&gt;&lt;year&gt;2005&lt;/year&gt;&lt;/dates&gt;&lt;isbn&gt;0741-5214&lt;/isbn&gt;&lt;urls&gt;&lt;/urls&gt;&lt;/record&gt;&lt;/Cite&gt;&lt;/EndNote&gt;</w:instrText>
      </w:r>
      <w:r w:rsidRPr="00164F8C">
        <w:rPr>
          <w:rFonts w:ascii="Arial" w:hAnsi="Arial" w:cs="Arial"/>
          <w:sz w:val="22"/>
        </w:rPr>
        <w:fldChar w:fldCharType="separate"/>
      </w:r>
      <w:r w:rsidR="00E96985" w:rsidRPr="00E96985">
        <w:rPr>
          <w:rFonts w:ascii="Arial" w:hAnsi="Arial" w:cs="Arial"/>
          <w:noProof/>
          <w:sz w:val="22"/>
          <w:vertAlign w:val="superscript"/>
        </w:rPr>
        <w:t>(</w:t>
      </w:r>
      <w:hyperlink w:anchor="_ENREF_19" w:tooltip="Fleming, 2005 #21" w:history="1">
        <w:r w:rsidR="001418E1" w:rsidRPr="00E96985">
          <w:rPr>
            <w:rFonts w:ascii="Arial" w:hAnsi="Arial" w:cs="Arial"/>
            <w:noProof/>
            <w:sz w:val="22"/>
            <w:vertAlign w:val="superscript"/>
          </w:rPr>
          <w:t>19</w:t>
        </w:r>
      </w:hyperlink>
      <w:r w:rsidR="00E96985" w:rsidRPr="00E96985">
        <w:rPr>
          <w:rFonts w:ascii="Arial" w:hAnsi="Arial" w:cs="Arial"/>
          <w:noProof/>
          <w:sz w:val="22"/>
          <w:vertAlign w:val="superscript"/>
        </w:rPr>
        <w:t>)</w:t>
      </w:r>
      <w:r w:rsidRPr="00164F8C">
        <w:rPr>
          <w:rFonts w:ascii="Arial" w:hAnsi="Arial" w:cs="Arial"/>
          <w:sz w:val="22"/>
        </w:rPr>
        <w:fldChar w:fldCharType="end"/>
      </w:r>
      <w:r w:rsidRPr="00164F8C">
        <w:rPr>
          <w:rFonts w:ascii="Arial" w:hAnsi="Arial" w:cs="Arial"/>
          <w:sz w:val="22"/>
        </w:rPr>
        <w:t xml:space="preserve">.  In New Zealand this would translate into approximately 10,000 to 20,000 men over 65 years.  For women, the prevalence of AAA is less than for men (0.5%-1.5%), but the incidence of death as a result from AAA is higher as a proportion of females who have an AAA </w:t>
      </w:r>
      <w:r w:rsidRPr="00164F8C">
        <w:rPr>
          <w:rFonts w:ascii="Arial" w:hAnsi="Arial" w:cs="Arial"/>
          <w:sz w:val="22"/>
        </w:rPr>
        <w:fldChar w:fldCharType="begin"/>
      </w:r>
      <w:r w:rsidR="00E96985">
        <w:rPr>
          <w:rFonts w:ascii="Arial" w:hAnsi="Arial" w:cs="Arial"/>
          <w:sz w:val="22"/>
        </w:rPr>
        <w:instrText xml:space="preserve"> ADDIN EN.CITE &lt;EndNote&gt;&lt;Cite&gt;&lt;Author&gt;Fleming&lt;/Author&gt;&lt;Year&gt;2005&lt;/Year&gt;&lt;RecNum&gt;21&lt;/RecNum&gt;&lt;DisplayText&gt;&lt;style face="superscript"&gt;(19)&lt;/style&gt;&lt;/DisplayText&gt;&lt;record&gt;&lt;rec-number&gt;21&lt;/rec-number&gt;&lt;foreign-keys&gt;&lt;key app="EN" db-id="paxef0v91tx5e7eaev8xxf2xd92zvrfrv592"&gt;21&lt;/key&gt;&lt;/foreign-keys&gt;&lt;ref-type name="Journal Article"&gt;17&lt;/ref-type&gt;&lt;contributors&gt;&lt;authors&gt;&lt;author&gt;Fleming, C.&lt;/author&gt;&lt;author&gt;Whitlock, E.P.&lt;/author&gt;&lt;author&gt;Beil, T.L.&lt;/author&gt;&lt;author&gt;Lederle, F.A.&lt;/author&gt;&lt;/authors&gt;&lt;/contributors&gt;&lt;titles&gt;&lt;title&gt;Screening for abdominal aortic aneurysm: a best-evidence systematic review for the US Preventive Services Task Force&lt;/title&gt;&lt;secondary-title&gt;Journal of Vascular Surgery&lt;/secondary-title&gt;&lt;/titles&gt;&lt;periodical&gt;&lt;full-title&gt;Journal of Vascular Surgery&lt;/full-title&gt;&lt;/periodical&gt;&lt;pages&gt;1078&lt;/pages&gt;&lt;volume&gt;41&lt;/volume&gt;&lt;number&gt;6&lt;/number&gt;&lt;dates&gt;&lt;year&gt;2005&lt;/year&gt;&lt;/dates&gt;&lt;isbn&gt;0741-5214&lt;/isbn&gt;&lt;urls&gt;&lt;/urls&gt;&lt;/record&gt;&lt;/Cite&gt;&lt;/EndNote&gt;</w:instrText>
      </w:r>
      <w:r w:rsidRPr="00164F8C">
        <w:rPr>
          <w:rFonts w:ascii="Arial" w:hAnsi="Arial" w:cs="Arial"/>
          <w:sz w:val="22"/>
        </w:rPr>
        <w:fldChar w:fldCharType="separate"/>
      </w:r>
      <w:r w:rsidR="00E96985" w:rsidRPr="00E96985">
        <w:rPr>
          <w:rFonts w:ascii="Arial" w:hAnsi="Arial" w:cs="Arial"/>
          <w:noProof/>
          <w:sz w:val="22"/>
          <w:vertAlign w:val="superscript"/>
        </w:rPr>
        <w:t>(</w:t>
      </w:r>
      <w:hyperlink w:anchor="_ENREF_19" w:tooltip="Fleming, 2005 #21" w:history="1">
        <w:r w:rsidR="001418E1" w:rsidRPr="00E96985">
          <w:rPr>
            <w:rFonts w:ascii="Arial" w:hAnsi="Arial" w:cs="Arial"/>
            <w:noProof/>
            <w:sz w:val="22"/>
            <w:vertAlign w:val="superscript"/>
          </w:rPr>
          <w:t>19</w:t>
        </w:r>
      </w:hyperlink>
      <w:r w:rsidR="00E96985" w:rsidRPr="00E96985">
        <w:rPr>
          <w:rFonts w:ascii="Arial" w:hAnsi="Arial" w:cs="Arial"/>
          <w:noProof/>
          <w:sz w:val="22"/>
          <w:vertAlign w:val="superscript"/>
        </w:rPr>
        <w:t>)</w:t>
      </w:r>
      <w:r w:rsidRPr="00164F8C">
        <w:rPr>
          <w:rFonts w:ascii="Arial" w:hAnsi="Arial" w:cs="Arial"/>
          <w:sz w:val="22"/>
        </w:rPr>
        <w:fldChar w:fldCharType="end"/>
      </w:r>
      <w:r w:rsidRPr="00164F8C">
        <w:rPr>
          <w:rFonts w:ascii="Arial" w:hAnsi="Arial" w:cs="Arial"/>
          <w:sz w:val="22"/>
        </w:rPr>
        <w:t>.  Of the various subgroups, Māori males over 65 years of age with a history of smoking were identified as having the highest incidence/prevalence of AAA.  Many of the same risk factors associated with AAA (history of smoking, hypertension, obesity) disproportionately affect groups from a lower socioeconomic group, so it could be expected that AAA also disproportionately affects individuals from a lower socioeconomic group.</w:t>
      </w:r>
    </w:p>
    <w:p w:rsidR="00A63BA1" w:rsidRDefault="00A63BA1" w:rsidP="00A63BA1">
      <w:pPr>
        <w:pStyle w:val="Heading2"/>
      </w:pPr>
      <w:bookmarkStart w:id="129" w:name="_Toc358124626"/>
      <w:bookmarkStart w:id="130" w:name="_Toc360641426"/>
      <w:bookmarkStart w:id="131" w:name="_Toc360714612"/>
      <w:bookmarkStart w:id="132" w:name="_Toc363122548"/>
      <w:bookmarkStart w:id="133" w:name="_Toc365276905"/>
      <w:r>
        <w:t>Health Outcomes</w:t>
      </w:r>
      <w:bookmarkEnd w:id="129"/>
      <w:bookmarkEnd w:id="130"/>
      <w:bookmarkEnd w:id="131"/>
      <w:bookmarkEnd w:id="132"/>
      <w:bookmarkEnd w:id="133"/>
    </w:p>
    <w:p w:rsidR="00A63BA1" w:rsidRPr="00164F8C" w:rsidRDefault="00A63BA1"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Aortic Aneurysms were attributed to about 400 deaths and 5,500 DALYs in 2006.  In total, 4% </w:t>
      </w:r>
      <w:r w:rsidR="001418E1">
        <w:rPr>
          <w:rFonts w:ascii="Arial" w:hAnsi="Arial" w:cs="Arial"/>
          <w:sz w:val="22"/>
        </w:rPr>
        <w:t>of cardiovascular deaths and 3</w:t>
      </w:r>
      <w:r w:rsidRPr="00164F8C">
        <w:rPr>
          <w:rFonts w:ascii="Arial" w:hAnsi="Arial" w:cs="Arial"/>
          <w:sz w:val="22"/>
        </w:rPr>
        <w:t>% of cardiovascular DALYs were attributable to aortic aneurysms.  As evident in the risk factors for the disease, individuals aged over 45 years experienced the highest mortality and DALY burden.</w:t>
      </w:r>
    </w:p>
    <w:p w:rsidR="00A63BA1" w:rsidRDefault="00A63BA1" w:rsidP="00A63BA1">
      <w:pPr>
        <w:pStyle w:val="Heading2"/>
      </w:pPr>
      <w:bookmarkStart w:id="134" w:name="_Toc358124627"/>
      <w:bookmarkStart w:id="135" w:name="_Toc360641427"/>
      <w:bookmarkStart w:id="136" w:name="_Toc360714613"/>
      <w:bookmarkStart w:id="137" w:name="_Toc363122549"/>
      <w:bookmarkStart w:id="138" w:name="_Toc365276906"/>
      <w:r>
        <w:lastRenderedPageBreak/>
        <w:t>Health Utilisation and Cost</w:t>
      </w:r>
      <w:bookmarkEnd w:id="134"/>
      <w:bookmarkEnd w:id="135"/>
      <w:bookmarkEnd w:id="136"/>
      <w:bookmarkEnd w:id="137"/>
      <w:bookmarkEnd w:id="138"/>
    </w:p>
    <w:p w:rsidR="00A63BA1" w:rsidRPr="00164F8C" w:rsidRDefault="001418E1" w:rsidP="00A63BA1">
      <w:pPr>
        <w:pStyle w:val="contentbody"/>
        <w:spacing w:before="0" w:beforeAutospacing="0" w:after="120" w:afterAutospacing="0" w:line="360" w:lineRule="auto"/>
        <w:jc w:val="both"/>
        <w:rPr>
          <w:rFonts w:ascii="Arial" w:hAnsi="Arial" w:cs="Arial"/>
          <w:sz w:val="22"/>
        </w:rPr>
      </w:pPr>
      <w:r>
        <w:rPr>
          <w:rFonts w:ascii="Arial" w:hAnsi="Arial" w:cs="Arial"/>
          <w:sz w:val="22"/>
        </w:rPr>
        <w:t>In 2011/12 a</w:t>
      </w:r>
      <w:r w:rsidR="00A63BA1" w:rsidRPr="00164F8C">
        <w:rPr>
          <w:rFonts w:ascii="Arial" w:hAnsi="Arial" w:cs="Arial"/>
          <w:sz w:val="22"/>
        </w:rPr>
        <w:t>ortic aneurysms contributed to about 1,100 hospital discharges in 889 people (1.2 hospitalisations per person).  Each hospitalised person cost, on average, $27,800 while each hospitalisation lasted an average of 6.6 days totalling $25 million in hospitalisation costs.</w:t>
      </w:r>
    </w:p>
    <w:p w:rsidR="00927C7E" w:rsidRDefault="001B31A2" w:rsidP="009F3F4E">
      <w:pPr>
        <w:pStyle w:val="Heading1"/>
      </w:pPr>
      <w:bookmarkStart w:id="139" w:name="_Toc365276907"/>
      <w:r>
        <w:t>Atrial Fibrillation</w:t>
      </w:r>
      <w:r w:rsidR="00FD0607">
        <w:t xml:space="preserve"> (AF)</w:t>
      </w:r>
      <w:bookmarkEnd w:id="139"/>
    </w:p>
    <w:p w:rsidR="00927C7E" w:rsidRDefault="00927C7E" w:rsidP="009952A3">
      <w:pPr>
        <w:pStyle w:val="Heading2"/>
      </w:pPr>
      <w:bookmarkStart w:id="140" w:name="_Toc358124609"/>
      <w:bookmarkStart w:id="141" w:name="_Toc360641409"/>
      <w:bookmarkStart w:id="142" w:name="_Toc360714615"/>
      <w:bookmarkStart w:id="143" w:name="_Toc363122551"/>
      <w:bookmarkStart w:id="144" w:name="_Toc365276908"/>
      <w:r>
        <w:t>Disease Description</w:t>
      </w:r>
      <w:bookmarkEnd w:id="140"/>
      <w:bookmarkEnd w:id="141"/>
      <w:bookmarkEnd w:id="142"/>
      <w:bookmarkEnd w:id="143"/>
      <w:bookmarkEnd w:id="144"/>
    </w:p>
    <w:p w:rsidR="000B3E5D" w:rsidRPr="00FE7190" w:rsidRDefault="000B3E5D" w:rsidP="0060049D">
      <w:pPr>
        <w:spacing w:after="120" w:line="360" w:lineRule="auto"/>
        <w:jc w:val="both"/>
        <w:rPr>
          <w:rFonts w:ascii="Arial Mäori" w:hAnsi="Arial Mäori" w:cs="Arial Mäori"/>
          <w:color w:val="000000"/>
          <w:sz w:val="22"/>
        </w:rPr>
      </w:pPr>
      <w:r w:rsidRPr="00FE7190">
        <w:rPr>
          <w:rFonts w:ascii="Arial Mäori" w:hAnsi="Arial Mäori" w:cs="Arial Mäori"/>
          <w:color w:val="000000"/>
          <w:sz w:val="22"/>
        </w:rPr>
        <w:t xml:space="preserve">Atrial fibrillation (AF) is the </w:t>
      </w:r>
      <w:r w:rsidR="00C34BCA" w:rsidRPr="00FE7190">
        <w:rPr>
          <w:rFonts w:ascii="Arial Mäori" w:hAnsi="Arial Mäori" w:cs="Arial Mäori"/>
          <w:color w:val="000000"/>
          <w:sz w:val="22"/>
        </w:rPr>
        <w:t xml:space="preserve">most </w:t>
      </w:r>
      <w:r w:rsidRPr="00FE7190">
        <w:rPr>
          <w:rFonts w:ascii="Arial Mäori" w:hAnsi="Arial Mäori" w:cs="Arial Mäori"/>
          <w:color w:val="000000"/>
          <w:sz w:val="22"/>
        </w:rPr>
        <w:t xml:space="preserve">common adult </w:t>
      </w:r>
      <w:r w:rsidR="00613127" w:rsidRPr="00FE7190">
        <w:rPr>
          <w:rFonts w:ascii="Arial Mäori" w:hAnsi="Arial Mäori" w:cs="Arial Mäori"/>
          <w:color w:val="000000"/>
          <w:sz w:val="22"/>
        </w:rPr>
        <w:t>cardi</w:t>
      </w:r>
      <w:r w:rsidR="00FD0607" w:rsidRPr="00FE7190">
        <w:rPr>
          <w:rFonts w:ascii="Arial Mäori" w:hAnsi="Arial Mäori" w:cs="Arial Mäori"/>
          <w:color w:val="000000"/>
          <w:sz w:val="22"/>
        </w:rPr>
        <w:t>ac</w:t>
      </w:r>
      <w:r w:rsidRPr="00FE7190">
        <w:rPr>
          <w:rFonts w:ascii="Arial Mäori" w:hAnsi="Arial Mäori" w:cs="Arial Mäori"/>
          <w:color w:val="000000"/>
          <w:sz w:val="22"/>
        </w:rPr>
        <w:t xml:space="preserve"> arrhythmia </w:t>
      </w:r>
      <w:r w:rsidR="003566DA" w:rsidRPr="00FE7190">
        <w:rPr>
          <w:rFonts w:ascii="Arial Mäori" w:hAnsi="Arial Mäori" w:cs="Arial Mäori"/>
          <w:color w:val="000000"/>
          <w:sz w:val="22"/>
        </w:rPr>
        <w:t>(abnormal heart rhythm)</w:t>
      </w:r>
      <w:r w:rsidRPr="00FE7190">
        <w:rPr>
          <w:rFonts w:ascii="Arial Mäori" w:hAnsi="Arial Mäori" w:cs="Arial Mäori"/>
          <w:color w:val="000000"/>
          <w:sz w:val="22"/>
        </w:rPr>
        <w:t xml:space="preserve">.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AF is associated with a 2-fold increase </w:t>
      </w:r>
      <w:r w:rsidR="003566DA" w:rsidRPr="00FE7190">
        <w:rPr>
          <w:rFonts w:ascii="Arial Mäori" w:hAnsi="Arial Mäori" w:cs="Arial Mäori"/>
          <w:color w:val="000000"/>
          <w:sz w:val="22"/>
        </w:rPr>
        <w:t>in</w:t>
      </w:r>
      <w:r w:rsidRPr="00FE7190">
        <w:rPr>
          <w:rFonts w:ascii="Arial Mäori" w:hAnsi="Arial Mäori" w:cs="Arial Mäori"/>
          <w:color w:val="000000"/>
          <w:sz w:val="22"/>
        </w:rPr>
        <w:t xml:space="preserve"> overall mortality, as well as increased risk of stroke, dementia, and heart failure.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Atrial fibrillation is characterised by loss of the normal electrical rhythm of the heart (sinus rhythm), which is replaced by chaotic contraction of the atria (upper chambers of the heart) and results in an irregular, often rapid, heartbeat. </w:t>
      </w:r>
    </w:p>
    <w:p w:rsidR="000B3E5D" w:rsidRPr="00FE7190" w:rsidRDefault="000B3E5D" w:rsidP="0060049D">
      <w:pPr>
        <w:spacing w:after="120" w:line="360" w:lineRule="auto"/>
        <w:jc w:val="both"/>
        <w:rPr>
          <w:rFonts w:ascii="Arial Mäori" w:hAnsi="Arial Mäori" w:cs="Arial Mäori"/>
          <w:color w:val="000000"/>
          <w:sz w:val="22"/>
        </w:rPr>
      </w:pPr>
      <w:r w:rsidRPr="00FE7190">
        <w:rPr>
          <w:rFonts w:ascii="Arial Mäori" w:hAnsi="Arial Mäori" w:cs="Arial Mäori"/>
          <w:color w:val="000000"/>
          <w:sz w:val="22"/>
        </w:rPr>
        <w:t>AF ma</w:t>
      </w:r>
      <w:r w:rsidR="00FD0607" w:rsidRPr="00FE7190">
        <w:rPr>
          <w:rFonts w:ascii="Arial Mäori" w:hAnsi="Arial Mäori" w:cs="Arial Mäori"/>
          <w:color w:val="000000"/>
          <w:sz w:val="22"/>
        </w:rPr>
        <w:t>y be asymptomatic (“silent AF”)</w:t>
      </w:r>
      <w:r w:rsidRPr="00FE7190">
        <w:rPr>
          <w:rFonts w:ascii="Arial Mäori" w:hAnsi="Arial Mäori" w:cs="Arial Mäori"/>
          <w:color w:val="000000"/>
          <w:sz w:val="22"/>
        </w:rPr>
        <w:t xml:space="preserve"> but more frequently presents with palpitations, dizziness, reduced exercise tolerance, breathlessness, </w:t>
      </w:r>
      <w:proofErr w:type="gramStart"/>
      <w:r w:rsidRPr="00FE7190">
        <w:rPr>
          <w:rFonts w:ascii="Arial Mäori" w:hAnsi="Arial Mäori" w:cs="Arial Mäori"/>
          <w:color w:val="000000"/>
          <w:sz w:val="22"/>
        </w:rPr>
        <w:t>collapse</w:t>
      </w:r>
      <w:proofErr w:type="gramEnd"/>
      <w:r w:rsidRPr="00FE7190">
        <w:rPr>
          <w:rFonts w:ascii="Arial Mäori" w:hAnsi="Arial Mäori" w:cs="Arial Mäori"/>
          <w:color w:val="000000"/>
          <w:sz w:val="22"/>
        </w:rPr>
        <w:t xml:space="preserve"> or chest discomfort.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More importantly, it is associated with an increased risk of </w:t>
      </w:r>
      <w:r w:rsidR="0060049D" w:rsidRPr="00FE7190">
        <w:rPr>
          <w:rFonts w:ascii="Arial Mäori" w:hAnsi="Arial Mäori" w:cs="Arial Mäori"/>
          <w:color w:val="000000"/>
          <w:sz w:val="22"/>
        </w:rPr>
        <w:t>cardio embolic</w:t>
      </w:r>
      <w:r w:rsidRPr="00FE7190">
        <w:rPr>
          <w:rFonts w:ascii="Arial Mäori" w:hAnsi="Arial Mäori" w:cs="Arial Mäori"/>
          <w:color w:val="000000"/>
          <w:sz w:val="22"/>
        </w:rPr>
        <w:t xml:space="preserve"> complications (especially stroke), dementia, heart failure and death. </w:t>
      </w:r>
      <w:r w:rsidR="00163629" w:rsidRPr="00FE7190">
        <w:rPr>
          <w:rFonts w:ascii="Arial Mäori" w:hAnsi="Arial Mäori" w:cs="Arial Mäori"/>
          <w:color w:val="000000"/>
          <w:sz w:val="22"/>
        </w:rPr>
        <w:t xml:space="preserve"> AF</w:t>
      </w:r>
      <w:r w:rsidRPr="00FE7190">
        <w:rPr>
          <w:rFonts w:ascii="Arial Mäori" w:hAnsi="Arial Mäori" w:cs="Arial Mäori"/>
          <w:color w:val="000000"/>
          <w:sz w:val="22"/>
        </w:rPr>
        <w:t xml:space="preserve"> increases the risk of stroke between 2- and 7-fold.</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 It is associated with increased risk of post-stroke mortality, disability, longer hospital stays and lower rates of discharge home. </w:t>
      </w:r>
    </w:p>
    <w:p w:rsidR="000B3E5D" w:rsidRPr="0060049D" w:rsidRDefault="000B3E5D" w:rsidP="0060049D">
      <w:pPr>
        <w:spacing w:after="120" w:line="360" w:lineRule="auto"/>
        <w:jc w:val="both"/>
        <w:rPr>
          <w:rFonts w:ascii="Arial Mäori" w:hAnsi="Arial Mäori" w:cs="Arial Mäori"/>
          <w:color w:val="000000"/>
          <w:sz w:val="22"/>
        </w:rPr>
      </w:pPr>
      <w:r w:rsidRPr="00FE7190">
        <w:rPr>
          <w:rFonts w:ascii="Arial Mäori" w:hAnsi="Arial Mäori" w:cs="Arial Mäori"/>
          <w:color w:val="000000"/>
          <w:sz w:val="22"/>
        </w:rPr>
        <w:t xml:space="preserve">Standard treatment involves the use of medications to control </w:t>
      </w:r>
      <w:r w:rsidR="000533FE" w:rsidRPr="00FE7190">
        <w:rPr>
          <w:rFonts w:ascii="Arial Mäori" w:hAnsi="Arial Mäori" w:cs="Arial Mäori"/>
          <w:color w:val="000000"/>
          <w:sz w:val="22"/>
        </w:rPr>
        <w:t>symptoms and reduce the rate of</w:t>
      </w:r>
      <w:r w:rsidRPr="00FE7190">
        <w:rPr>
          <w:rFonts w:ascii="Arial Mäori" w:hAnsi="Arial Mäori" w:cs="Arial Mäori"/>
          <w:color w:val="000000"/>
          <w:sz w:val="22"/>
        </w:rPr>
        <w:t xml:space="preserve"> complications.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Medication is most of</w:t>
      </w:r>
      <w:r w:rsidR="00FD0607" w:rsidRPr="00FE7190">
        <w:rPr>
          <w:rFonts w:ascii="Arial Mäori" w:hAnsi="Arial Mäori" w:cs="Arial Mäori"/>
          <w:color w:val="000000"/>
          <w:sz w:val="22"/>
        </w:rPr>
        <w:t>ten used to return the heart to</w:t>
      </w:r>
      <w:r w:rsidR="003566DA" w:rsidRPr="00FE7190">
        <w:rPr>
          <w:rFonts w:ascii="Arial Mäori" w:hAnsi="Arial Mäori" w:cs="Arial Mäori"/>
          <w:color w:val="000000"/>
          <w:sz w:val="22"/>
        </w:rPr>
        <w:t xml:space="preserve"> </w:t>
      </w:r>
      <w:r w:rsidRPr="00FE7190">
        <w:rPr>
          <w:rFonts w:ascii="Arial Mäori" w:hAnsi="Arial Mäori" w:cs="Arial Mäori"/>
          <w:color w:val="000000"/>
          <w:sz w:val="22"/>
        </w:rPr>
        <w:t>sinus rhythm</w:t>
      </w:r>
      <w:r w:rsidR="00FD0607" w:rsidRPr="00FE7190">
        <w:rPr>
          <w:rFonts w:ascii="Arial Mäori" w:hAnsi="Arial Mäori" w:cs="Arial Mäori"/>
          <w:color w:val="000000"/>
          <w:sz w:val="22"/>
        </w:rPr>
        <w:t>,</w:t>
      </w:r>
      <w:r w:rsidRPr="00FE7190">
        <w:rPr>
          <w:rFonts w:ascii="Arial Mäori" w:hAnsi="Arial Mäori" w:cs="Arial Mäori"/>
          <w:color w:val="000000"/>
          <w:sz w:val="22"/>
        </w:rPr>
        <w:t xml:space="preserve"> but it is only moderately successful.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Traditional surgical techniques, thoracoscopic surgery and percutaneous catheter ablation of AF have emerged as options for the maintenance of sinus rhythm. </w:t>
      </w:r>
      <w:r w:rsidR="00163629" w:rsidRPr="00FE7190">
        <w:rPr>
          <w:rFonts w:ascii="Arial Mäori" w:hAnsi="Arial Mäori" w:cs="Arial Mäori"/>
          <w:color w:val="000000"/>
          <w:sz w:val="22"/>
        </w:rPr>
        <w:t xml:space="preserve"> </w:t>
      </w:r>
      <w:r w:rsidRPr="00FE7190">
        <w:rPr>
          <w:rFonts w:ascii="Arial Mäori" w:hAnsi="Arial Mäori" w:cs="Arial Mäori"/>
          <w:color w:val="000000"/>
          <w:sz w:val="22"/>
        </w:rPr>
        <w:t xml:space="preserve">If AF becomes permanent then heart rate control and anticoagulation </w:t>
      </w:r>
      <w:r w:rsidR="00FD0607" w:rsidRPr="00FE7190">
        <w:rPr>
          <w:rFonts w:ascii="Arial Mäori" w:hAnsi="Arial Mäori" w:cs="Arial Mäori"/>
          <w:color w:val="000000"/>
          <w:sz w:val="22"/>
        </w:rPr>
        <w:t>therapy are</w:t>
      </w:r>
      <w:r w:rsidRPr="00FE7190">
        <w:rPr>
          <w:rFonts w:ascii="Arial Mäori" w:hAnsi="Arial Mäori" w:cs="Arial Mäori"/>
          <w:color w:val="000000"/>
          <w:sz w:val="22"/>
        </w:rPr>
        <w:t xml:space="preserve"> instituted. </w:t>
      </w:r>
      <w:r w:rsidR="00163629" w:rsidRPr="00FE7190">
        <w:rPr>
          <w:rFonts w:ascii="Arial Mäori" w:hAnsi="Arial Mäori" w:cs="Arial Mäori"/>
          <w:color w:val="000000"/>
          <w:sz w:val="22"/>
        </w:rPr>
        <w:t xml:space="preserve"> </w:t>
      </w:r>
      <w:r w:rsidR="00FD0607" w:rsidRPr="00FE7190">
        <w:rPr>
          <w:rFonts w:ascii="Arial Mäori" w:hAnsi="Arial Mäori" w:cs="Arial Mäori"/>
          <w:color w:val="000000"/>
          <w:sz w:val="22"/>
        </w:rPr>
        <w:t xml:space="preserve">Newer invasive procedures </w:t>
      </w:r>
      <w:r w:rsidRPr="00FE7190">
        <w:rPr>
          <w:rFonts w:ascii="Arial Mäori" w:hAnsi="Arial Mäori" w:cs="Arial Mäori"/>
          <w:color w:val="000000"/>
          <w:sz w:val="22"/>
        </w:rPr>
        <w:t xml:space="preserve">such as percutaneous </w:t>
      </w:r>
      <w:r w:rsidR="00FD0607" w:rsidRPr="00FE7190">
        <w:rPr>
          <w:rFonts w:ascii="Arial Mäori" w:hAnsi="Arial Mäori" w:cs="Arial Mäori"/>
          <w:color w:val="000000"/>
          <w:sz w:val="22"/>
        </w:rPr>
        <w:t>left atrial appendage occlusion</w:t>
      </w:r>
      <w:r w:rsidRPr="00FE7190">
        <w:rPr>
          <w:rFonts w:ascii="Arial Mäori" w:hAnsi="Arial Mäori" w:cs="Arial Mäori"/>
          <w:color w:val="000000"/>
          <w:sz w:val="22"/>
        </w:rPr>
        <w:t xml:space="preserve"> have been trialled and are beginning to </w:t>
      </w:r>
      <w:r w:rsidR="00163629" w:rsidRPr="00FE7190">
        <w:rPr>
          <w:rFonts w:ascii="Arial Mäori" w:hAnsi="Arial Mäori" w:cs="Arial Mäori"/>
          <w:color w:val="000000"/>
          <w:sz w:val="22"/>
        </w:rPr>
        <w:t>diffuse internationally</w:t>
      </w:r>
      <w:r w:rsidRPr="00FE7190">
        <w:rPr>
          <w:rFonts w:ascii="Arial Mäori" w:hAnsi="Arial Mäori" w:cs="Arial Mäori"/>
          <w:color w:val="000000"/>
          <w:sz w:val="22"/>
        </w:rPr>
        <w:t>.</w:t>
      </w:r>
    </w:p>
    <w:p w:rsidR="00927C7E" w:rsidRDefault="009F6B0D" w:rsidP="00927C7E">
      <w:pPr>
        <w:pStyle w:val="Heading2"/>
      </w:pPr>
      <w:bookmarkStart w:id="145" w:name="_Toc360641410"/>
      <w:bookmarkStart w:id="146" w:name="_Toc360714616"/>
      <w:bookmarkStart w:id="147" w:name="_Toc363122552"/>
      <w:bookmarkStart w:id="148" w:name="_Toc365276909"/>
      <w:r>
        <w:t>Prevalence and Incidence</w:t>
      </w:r>
      <w:bookmarkEnd w:id="145"/>
      <w:bookmarkEnd w:id="146"/>
      <w:bookmarkEnd w:id="147"/>
      <w:bookmarkEnd w:id="148"/>
    </w:p>
    <w:p w:rsidR="00533D09" w:rsidRPr="0060049D" w:rsidRDefault="00533D09" w:rsidP="0060049D">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 xml:space="preserve">AF is the  most common sustained cardiac dysrhythmia </w:t>
      </w:r>
      <w:r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&lt;EndNote&gt;&lt;Cite&gt;&lt;Author&gt;Prystowsky&lt;/Author&gt;&lt;Year&gt;2000&lt;/Year&gt;&lt;RecNum&gt;742&lt;/RecNum&gt;&lt;DisplayText&gt;&lt;style face="superscript"&gt;(20)&lt;/style&gt;&lt;/DisplayText&gt;&lt;record&gt;&lt;rec-number&gt;742&lt;/rec-number&gt;&lt;foreign-keys&gt;&lt;key app="EN" db-id="paxef0v91tx5e7eaev8xxf2xd92zvrfrv592"&gt;742&lt;/key&gt;&lt;/foreign-keys&gt;&lt;ref-type name="Journal Article"&gt;17&lt;/ref-type&gt;&lt;contributors&gt;&lt;authors&gt;&lt;author&gt;Prystowsky, E.N.&lt;/author&gt;&lt;/authors&gt;&lt;/contributors&gt;&lt;titles&gt;&lt;title&gt;Management of atrial fibrillation: therapeutic options and clinical decisions&lt;/title&gt;&lt;secondary-title&gt;The American Journal of Cardiology&lt;/secondary-title&gt;&lt;/titles&gt;&lt;periodical&gt;&lt;full-title&gt;The American Journal of Cardiology&lt;/full-title&gt;&lt;/periodical&gt;&lt;pages&gt;3-11&lt;/pages&gt;&lt;volume&gt;85&lt;/volume&gt;&lt;number&gt;10&lt;/number&gt;&lt;dates&gt;&lt;year&gt;2000&lt;/year&gt;&lt;/dates&gt;&lt;isbn&gt;0002-9149&lt;/isbn&gt;&lt;urls&gt;&lt;/urls&gt;&lt;/record&gt;&lt;/Cite&gt;&lt;/EndNote&gt;</w:instrText>
      </w:r>
      <w:r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20" w:tooltip="Prystowsky, 2000 #742" w:history="1">
        <w:r w:rsidR="001418E1" w:rsidRPr="00E96985">
          <w:rPr>
            <w:rFonts w:ascii="Arial Mäori" w:hAnsi="Arial Mäori" w:cs="Arial Mäori"/>
            <w:noProof/>
            <w:color w:val="000000"/>
            <w:sz w:val="22"/>
            <w:vertAlign w:val="superscript"/>
          </w:rPr>
          <w:t>20</w:t>
        </w:r>
      </w:hyperlink>
      <w:r w:rsidR="00E96985" w:rsidRPr="00E96985">
        <w:rPr>
          <w:rFonts w:ascii="Arial Mäori" w:hAnsi="Arial Mäori" w:cs="Arial Mäori"/>
          <w:noProof/>
          <w:color w:val="000000"/>
          <w:sz w:val="22"/>
          <w:vertAlign w:val="superscript"/>
        </w:rPr>
        <w:t>)</w:t>
      </w:r>
      <w:r w:rsidRPr="0060049D">
        <w:rPr>
          <w:rFonts w:ascii="Arial Mäori" w:hAnsi="Arial Mäori" w:cs="Arial Mäori"/>
          <w:color w:val="000000"/>
          <w:sz w:val="22"/>
        </w:rPr>
        <w:fldChar w:fldCharType="end"/>
      </w:r>
      <w:r w:rsidRPr="0060049D">
        <w:rPr>
          <w:rFonts w:ascii="Arial Mäori" w:hAnsi="Arial Mäori" w:cs="Arial Mäori"/>
          <w:color w:val="000000"/>
          <w:sz w:val="22"/>
        </w:rPr>
        <w:t xml:space="preserve">. </w:t>
      </w:r>
      <w:r w:rsidR="00163629" w:rsidRPr="0060049D">
        <w:rPr>
          <w:rFonts w:ascii="Arial Mäori" w:hAnsi="Arial Mäori" w:cs="Arial Mäori"/>
          <w:color w:val="000000"/>
          <w:sz w:val="22"/>
        </w:rPr>
        <w:t xml:space="preserve"> </w:t>
      </w:r>
      <w:r w:rsidRPr="0060049D">
        <w:rPr>
          <w:rFonts w:ascii="Arial Mäori" w:hAnsi="Arial Mäori" w:cs="Arial Mäori"/>
          <w:color w:val="000000"/>
          <w:sz w:val="22"/>
        </w:rPr>
        <w:t xml:space="preserve">In New Zealand in 2011 </w:t>
      </w:r>
      <w:r w:rsidR="001E0145" w:rsidRPr="0060049D">
        <w:rPr>
          <w:rFonts w:ascii="Arial Mäori" w:hAnsi="Arial Mäori" w:cs="Arial Mäori"/>
          <w:color w:val="000000"/>
          <w:sz w:val="22"/>
        </w:rPr>
        <w:t>(with a look back period to 1988)</w:t>
      </w:r>
      <w:r w:rsidR="00415A6F" w:rsidRPr="0060049D">
        <w:rPr>
          <w:rFonts w:ascii="Arial Mäori" w:hAnsi="Arial Mäori" w:cs="Arial Mäori"/>
          <w:color w:val="000000"/>
          <w:sz w:val="22"/>
        </w:rPr>
        <w:t xml:space="preserve"> </w:t>
      </w:r>
      <w:r w:rsidRPr="0060049D">
        <w:rPr>
          <w:rFonts w:ascii="Arial Mäori" w:hAnsi="Arial Mäori" w:cs="Arial Mäori"/>
          <w:color w:val="000000"/>
          <w:sz w:val="22"/>
        </w:rPr>
        <w:t xml:space="preserve">prevalence of AF </w:t>
      </w:r>
      <w:r w:rsidR="00616C37" w:rsidRPr="0060049D">
        <w:rPr>
          <w:rFonts w:ascii="Arial Mäori" w:hAnsi="Arial Mäori" w:cs="Arial Mäori"/>
          <w:color w:val="000000"/>
          <w:sz w:val="22"/>
        </w:rPr>
        <w:t>was</w:t>
      </w:r>
      <w:r w:rsidRPr="0060049D">
        <w:rPr>
          <w:rFonts w:ascii="Arial Mäori" w:hAnsi="Arial Mäori" w:cs="Arial Mäori"/>
          <w:color w:val="000000"/>
          <w:sz w:val="22"/>
        </w:rPr>
        <w:t xml:space="preserve"> 3.2% (</w:t>
      </w:r>
      <w:r w:rsidR="00616C37" w:rsidRPr="0060049D">
        <w:rPr>
          <w:rFonts w:ascii="Arial Mäori" w:hAnsi="Arial Mäori" w:cs="Arial Mäori"/>
          <w:color w:val="000000"/>
          <w:sz w:val="22"/>
        </w:rPr>
        <w:t xml:space="preserve">approximately </w:t>
      </w:r>
      <w:r w:rsidR="00FD0607" w:rsidRPr="0060049D">
        <w:rPr>
          <w:rFonts w:ascii="Arial Mäori" w:hAnsi="Arial Mäori" w:cs="Arial Mäori"/>
          <w:color w:val="000000"/>
          <w:sz w:val="22"/>
        </w:rPr>
        <w:t>141,</w:t>
      </w:r>
      <w:r w:rsidR="0010588B">
        <w:rPr>
          <w:rFonts w:ascii="Arial Mäori" w:hAnsi="Arial Mäori" w:cs="Arial Mäori"/>
          <w:color w:val="000000"/>
          <w:sz w:val="22"/>
        </w:rPr>
        <w:t>0</w:t>
      </w:r>
      <w:r w:rsidR="00FD0607" w:rsidRPr="0060049D">
        <w:rPr>
          <w:rFonts w:ascii="Arial Mäori" w:hAnsi="Arial Mäori" w:cs="Arial Mäori"/>
          <w:color w:val="000000"/>
          <w:sz w:val="22"/>
        </w:rPr>
        <w:t>5</w:t>
      </w:r>
      <w:r w:rsidR="00616C37" w:rsidRPr="0060049D">
        <w:rPr>
          <w:rFonts w:ascii="Arial Mäori" w:hAnsi="Arial Mäori" w:cs="Arial Mäori"/>
          <w:color w:val="000000"/>
          <w:sz w:val="22"/>
        </w:rPr>
        <w:t>0</w:t>
      </w:r>
      <w:r w:rsidRPr="0060049D">
        <w:rPr>
          <w:rFonts w:ascii="Arial Mäori" w:hAnsi="Arial Mäori" w:cs="Arial Mäori"/>
          <w:color w:val="000000"/>
          <w:sz w:val="22"/>
        </w:rPr>
        <w:t xml:space="preserve"> people). </w:t>
      </w:r>
      <w:r w:rsidR="00163629" w:rsidRPr="0060049D">
        <w:rPr>
          <w:rFonts w:ascii="Arial Mäori" w:hAnsi="Arial Mäori" w:cs="Arial Mäori"/>
          <w:color w:val="000000"/>
          <w:sz w:val="22"/>
        </w:rPr>
        <w:t xml:space="preserve"> </w:t>
      </w:r>
      <w:r w:rsidR="00616C37" w:rsidRPr="0060049D">
        <w:rPr>
          <w:rFonts w:ascii="Arial Mäori" w:hAnsi="Arial Mäori" w:cs="Arial Mäori"/>
          <w:color w:val="000000"/>
          <w:sz w:val="22"/>
        </w:rPr>
        <w:t>P</w:t>
      </w:r>
      <w:r w:rsidRPr="0060049D">
        <w:rPr>
          <w:rFonts w:ascii="Arial Mäori" w:hAnsi="Arial Mäori" w:cs="Arial Mäori"/>
          <w:color w:val="000000"/>
          <w:sz w:val="22"/>
        </w:rPr>
        <w:t>revalence estimates rose steeply from 1.9% of 50</w:t>
      </w:r>
      <w:r w:rsidR="00616C37" w:rsidRPr="0060049D">
        <w:rPr>
          <w:rFonts w:ascii="Arial Mäori" w:hAnsi="Arial Mäori" w:cs="Arial Mäori"/>
          <w:color w:val="000000"/>
          <w:sz w:val="22"/>
        </w:rPr>
        <w:t>–</w:t>
      </w:r>
      <w:r w:rsidRPr="0060049D">
        <w:rPr>
          <w:rFonts w:ascii="Arial Mäori" w:hAnsi="Arial Mäori" w:cs="Arial Mäori"/>
          <w:color w:val="000000"/>
          <w:sz w:val="22"/>
        </w:rPr>
        <w:t xml:space="preserve">54 year olds to 33% of 85+ year olds. The effect of New Zealand’s aging population and aforementioned gradient of life-time prevalence with increasing age is </w:t>
      </w:r>
      <w:r w:rsidR="003566DA" w:rsidRPr="0060049D">
        <w:rPr>
          <w:rFonts w:ascii="Arial Mäori" w:hAnsi="Arial Mäori" w:cs="Arial Mäori"/>
          <w:color w:val="000000"/>
          <w:sz w:val="22"/>
        </w:rPr>
        <w:t xml:space="preserve">expected </w:t>
      </w:r>
      <w:r w:rsidRPr="0060049D">
        <w:rPr>
          <w:rFonts w:ascii="Arial Mäori" w:hAnsi="Arial Mäori" w:cs="Arial Mäori"/>
          <w:color w:val="000000"/>
          <w:sz w:val="22"/>
        </w:rPr>
        <w:t xml:space="preserve">to see life-time prevalence of AF reaching 5% (288,558 people) by 2026. </w:t>
      </w:r>
      <w:r w:rsidR="00163629" w:rsidRPr="0060049D">
        <w:rPr>
          <w:rFonts w:ascii="Arial Mäori" w:hAnsi="Arial Mäori" w:cs="Arial Mäori"/>
          <w:color w:val="000000"/>
          <w:sz w:val="22"/>
        </w:rPr>
        <w:t xml:space="preserve"> </w:t>
      </w:r>
      <w:r w:rsidRPr="0060049D">
        <w:rPr>
          <w:rFonts w:ascii="Arial Mäori" w:hAnsi="Arial Mäori" w:cs="Arial Mäori"/>
          <w:color w:val="000000"/>
          <w:sz w:val="22"/>
        </w:rPr>
        <w:t>Half of these people (145,906 people) will be over the age of 60</w:t>
      </w:r>
      <w:r w:rsidR="0010588B">
        <w:rPr>
          <w:rFonts w:ascii="Arial Mäori" w:hAnsi="Arial Mäori" w:cs="Arial Mäori"/>
          <w:color w:val="000000"/>
          <w:sz w:val="22"/>
        </w:rPr>
        <w:t xml:space="preserve"> (Figure 8)</w:t>
      </w:r>
      <w:r w:rsidRPr="0060049D">
        <w:rPr>
          <w:rFonts w:ascii="Arial Mäori" w:hAnsi="Arial Mäori" w:cs="Arial Mäori"/>
          <w:color w:val="000000"/>
          <w:sz w:val="22"/>
        </w:rPr>
        <w:t xml:space="preserve">. </w:t>
      </w:r>
    </w:p>
    <w:p w:rsidR="00FD0607" w:rsidRDefault="0010588B" w:rsidP="00FD0607">
      <w:pPr>
        <w:pStyle w:val="Figure"/>
      </w:pPr>
      <w:r>
        <w:lastRenderedPageBreak/>
        <w:t>Figure 8</w:t>
      </w:r>
      <w:r w:rsidR="00FD0607">
        <w:t>: Projected AF Prevalence by Age and Year</w:t>
      </w:r>
    </w:p>
    <w:p w:rsidR="00FD0607" w:rsidRPr="00FD0607" w:rsidRDefault="00FD0607" w:rsidP="00FD0607">
      <w:pPr>
        <w:rPr>
          <w:lang w:eastAsia="en-GB"/>
        </w:rPr>
      </w:pPr>
      <w:r>
        <w:rPr>
          <w:rFonts w:ascii="Arial Mäori" w:hAnsi="Arial Mäori"/>
          <w:noProof/>
          <w:sz w:val="22"/>
          <w:lang w:eastAsia="en-NZ"/>
        </w:rPr>
        <w:drawing>
          <wp:inline distT="0" distB="0" distL="0" distR="0" wp14:anchorId="5A5971EC" wp14:editId="34745A14">
            <wp:extent cx="5725160" cy="2746375"/>
            <wp:effectExtent l="0" t="0" r="889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D0607" w:rsidRDefault="00FD0607" w:rsidP="00365A3A">
      <w:pPr>
        <w:pStyle w:val="Caption"/>
      </w:pPr>
      <w:r>
        <w:t xml:space="preserve">Source: </w:t>
      </w:r>
      <w:r w:rsidR="00F4171A">
        <w:t>2012 NHC Executive Analysis of 2006–2011 New Zealand Health Tracker data</w:t>
      </w:r>
    </w:p>
    <w:p w:rsidR="00533D09" w:rsidRPr="0060049D" w:rsidRDefault="00533D09" w:rsidP="00A63BA1">
      <w:pPr>
        <w:spacing w:before="120" w:after="120" w:line="360" w:lineRule="auto"/>
        <w:jc w:val="both"/>
        <w:rPr>
          <w:rFonts w:ascii="Arial Mäori" w:hAnsi="Arial Mäori" w:cs="Arial Mäori"/>
          <w:color w:val="000000"/>
          <w:sz w:val="22"/>
        </w:rPr>
      </w:pPr>
      <w:r w:rsidRPr="0060049D">
        <w:rPr>
          <w:rFonts w:ascii="Arial Mäori" w:hAnsi="Arial Mäori" w:cs="Arial Mäori"/>
          <w:color w:val="000000"/>
          <w:sz w:val="22"/>
        </w:rPr>
        <w:t>There is a higher percentage of Europeans with AF</w:t>
      </w:r>
      <w:r w:rsidR="001418E1">
        <w:rPr>
          <w:rFonts w:ascii="Arial Mäori" w:hAnsi="Arial Mäori" w:cs="Arial Mäori"/>
          <w:color w:val="000000"/>
          <w:sz w:val="22"/>
        </w:rPr>
        <w:t xml:space="preserve"> than in the general population</w:t>
      </w:r>
      <w:r w:rsidRPr="0060049D">
        <w:rPr>
          <w:rFonts w:ascii="Arial Mäori" w:hAnsi="Arial Mäori" w:cs="Arial Mäori"/>
          <w:color w:val="000000"/>
          <w:sz w:val="22"/>
        </w:rPr>
        <w:t xml:space="preserve"> and a lower percentage of Pacific and M</w:t>
      </w:r>
      <w:r w:rsidR="00616C37" w:rsidRPr="0060049D">
        <w:rPr>
          <w:rFonts w:ascii="Arial Mäori" w:hAnsi="Arial Mäori" w:cs="Arial Mäori"/>
          <w:color w:val="000000"/>
          <w:sz w:val="22"/>
        </w:rPr>
        <w:t>ā</w:t>
      </w:r>
      <w:r w:rsidRPr="0060049D">
        <w:rPr>
          <w:rFonts w:ascii="Arial Mäori" w:hAnsi="Arial Mäori" w:cs="Arial Mäori"/>
          <w:color w:val="000000"/>
          <w:sz w:val="22"/>
        </w:rPr>
        <w:t>ori peoples with AF, possibly attributed to European New Zealanders living longer than M</w:t>
      </w:r>
      <w:r w:rsidR="00616C37" w:rsidRPr="0060049D">
        <w:rPr>
          <w:rFonts w:ascii="Arial Mäori" w:hAnsi="Arial Mäori" w:cs="Arial Mäori"/>
          <w:color w:val="000000"/>
          <w:sz w:val="22"/>
        </w:rPr>
        <w:t>ā</w:t>
      </w:r>
      <w:r w:rsidRPr="0060049D">
        <w:rPr>
          <w:rFonts w:ascii="Arial Mäori" w:hAnsi="Arial Mäori" w:cs="Arial Mäori"/>
          <w:color w:val="000000"/>
          <w:sz w:val="22"/>
        </w:rPr>
        <w:t>ori and Pacific peoples and</w:t>
      </w:r>
      <w:r w:rsidR="001418E1">
        <w:rPr>
          <w:rFonts w:ascii="Arial Mäori" w:hAnsi="Arial Mäori" w:cs="Arial Mäori"/>
          <w:color w:val="000000"/>
          <w:sz w:val="22"/>
        </w:rPr>
        <w:t>,</w:t>
      </w:r>
      <w:r w:rsidRPr="0060049D">
        <w:rPr>
          <w:rFonts w:ascii="Arial Mäori" w:hAnsi="Arial Mäori" w:cs="Arial Mäori"/>
          <w:color w:val="000000"/>
          <w:sz w:val="22"/>
        </w:rPr>
        <w:t xml:space="preserve"> therefore, more likely to have a diagnosis of AF. However, in those </w:t>
      </w:r>
      <w:r w:rsidR="001418E1">
        <w:rPr>
          <w:rFonts w:ascii="Arial Mäori" w:hAnsi="Arial Mäori" w:cs="Arial Mäori"/>
          <w:color w:val="000000"/>
          <w:sz w:val="22"/>
        </w:rPr>
        <w:t xml:space="preserve">individuals </w:t>
      </w:r>
      <w:r w:rsidRPr="0060049D">
        <w:rPr>
          <w:rFonts w:ascii="Arial Mäori" w:hAnsi="Arial Mäori" w:cs="Arial Mäori"/>
          <w:color w:val="000000"/>
          <w:sz w:val="22"/>
        </w:rPr>
        <w:t>aged less than 65 years, AF is present in a larger proportion of M</w:t>
      </w:r>
      <w:r w:rsidR="00616C37" w:rsidRPr="0060049D">
        <w:rPr>
          <w:rFonts w:ascii="Arial Mäori" w:hAnsi="Arial Mäori" w:cs="Arial Mäori"/>
          <w:color w:val="000000"/>
          <w:sz w:val="22"/>
        </w:rPr>
        <w:t>ā</w:t>
      </w:r>
      <w:r w:rsidRPr="0060049D">
        <w:rPr>
          <w:rFonts w:ascii="Arial Mäori" w:hAnsi="Arial Mäori" w:cs="Arial Mäori"/>
          <w:color w:val="000000"/>
          <w:sz w:val="22"/>
        </w:rPr>
        <w:t>ori and Pacific peoples than in the general population, reflecting the earlier age at which M</w:t>
      </w:r>
      <w:r w:rsidR="00616C37" w:rsidRPr="0060049D">
        <w:rPr>
          <w:rFonts w:ascii="Arial Mäori" w:hAnsi="Arial Mäori" w:cs="Arial Mäori"/>
          <w:color w:val="000000"/>
          <w:sz w:val="22"/>
        </w:rPr>
        <w:t>ā</w:t>
      </w:r>
      <w:r w:rsidRPr="0060049D">
        <w:rPr>
          <w:rFonts w:ascii="Arial Mäori" w:hAnsi="Arial Mäori" w:cs="Arial Mäori"/>
          <w:color w:val="000000"/>
          <w:sz w:val="22"/>
        </w:rPr>
        <w:t xml:space="preserve">ori  and Pacific peoples are diagnosed with AF </w:t>
      </w:r>
      <w:r w:rsidRPr="0060049D">
        <w:rPr>
          <w:rFonts w:ascii="Arial Mäori" w:hAnsi="Arial Mäori" w:cs="Arial Mäori"/>
          <w:color w:val="000000"/>
          <w:sz w:val="22"/>
        </w:rPr>
        <w:fldChar w:fldCharType="begin"/>
      </w:r>
      <w:r w:rsidR="001418E1">
        <w:rPr>
          <w:rFonts w:ascii="Arial Mäori" w:hAnsi="Arial Mäori" w:cs="Arial Mäori"/>
          <w:color w:val="000000"/>
          <w:sz w:val="22"/>
        </w:rPr>
        <w:instrText xml:space="preserve"> ADDIN EN.CITE &lt;EndNote&gt;&lt;Cite ExcludeAuth="1"&gt;&lt;Author&gt;New Zealand Guidelines Group&lt;/Author&gt;&lt;Year&gt;2005&lt;/Year&gt;&lt;RecNum&gt;743&lt;/RecNum&gt;&lt;Suffix&gt; &lt;/Suffix&gt;&lt;DisplayText&gt;&lt;style face="superscript"&gt;(21 )&lt;/style&gt;&lt;/DisplayText&gt;&lt;record&gt;&lt;rec-number&gt;743&lt;/rec-number&gt;&lt;foreign-keys&gt;&lt;key app="EN" db-id="paxef0v91tx5e7eaev8xxf2xd92zvrfrv592"&gt;743&lt;/key&gt;&lt;/foreign-keys&gt;&lt;ref-type name="Report"&gt;27&lt;/ref-type&gt;&lt;contributors&gt;&lt;authors&gt;&lt;author&gt;New Zealand Guidelines Group,&lt;/author&gt;&lt;/authors&gt;&lt;/contributors&gt;&lt;titles&gt;&lt;title&gt;The Management of People with Atrial Fibrillation and Flutter&lt;/title&gt;&lt;tertiary-title&gt;yo&amp;#xD;www.nzgg.org.nz&lt;/tertiary-title&gt;&lt;/titles&gt;&lt;edition&gt;Review Date: 2008&lt;/edition&gt;&lt;dates&gt;&lt;year&gt;2005&lt;/year&gt;&lt;/dates&gt;&lt;pub-location&gt;Wellington&lt;/pub-location&gt;&lt;publisher&gt;New Zealand Guidelines Group&lt;/publisher&gt;&lt;isbn&gt;0-476-01460-3&lt;/isbn&gt;&lt;urls&gt;&lt;/urls&gt;&lt;/record&gt;&lt;/Cite&gt;&lt;/EndNote&gt;</w:instrText>
      </w:r>
      <w:r w:rsidRPr="0060049D">
        <w:rPr>
          <w:rFonts w:ascii="Arial Mäori" w:hAnsi="Arial Mäori" w:cs="Arial Mäori"/>
          <w:color w:val="000000"/>
          <w:sz w:val="22"/>
        </w:rPr>
        <w:fldChar w:fldCharType="separate"/>
      </w:r>
      <w:r w:rsidR="001418E1" w:rsidRPr="001418E1">
        <w:rPr>
          <w:rFonts w:ascii="Arial Mäori" w:hAnsi="Arial Mäori" w:cs="Arial Mäori"/>
          <w:noProof/>
          <w:color w:val="000000"/>
          <w:sz w:val="22"/>
          <w:vertAlign w:val="superscript"/>
        </w:rPr>
        <w:t>(</w:t>
      </w:r>
      <w:hyperlink w:anchor="_ENREF_21" w:tooltip="New Zealand Guidelines Group, 2005 #743" w:history="1">
        <w:r w:rsidR="001418E1" w:rsidRPr="001418E1">
          <w:rPr>
            <w:rFonts w:ascii="Arial Mäori" w:hAnsi="Arial Mäori" w:cs="Arial Mäori"/>
            <w:noProof/>
            <w:color w:val="000000"/>
            <w:sz w:val="22"/>
            <w:vertAlign w:val="superscript"/>
          </w:rPr>
          <w:t xml:space="preserve">21 </w:t>
        </w:r>
      </w:hyperlink>
      <w:r w:rsidR="001418E1" w:rsidRPr="001418E1">
        <w:rPr>
          <w:rFonts w:ascii="Arial Mäori" w:hAnsi="Arial Mäori" w:cs="Arial Mäori"/>
          <w:noProof/>
          <w:color w:val="000000"/>
          <w:sz w:val="22"/>
          <w:vertAlign w:val="superscript"/>
        </w:rPr>
        <w:t>)</w:t>
      </w:r>
      <w:r w:rsidRPr="0060049D">
        <w:rPr>
          <w:rFonts w:ascii="Arial Mäori" w:hAnsi="Arial Mäori" w:cs="Arial Mäori"/>
          <w:color w:val="000000"/>
          <w:sz w:val="22"/>
        </w:rPr>
        <w:fldChar w:fldCharType="end"/>
      </w:r>
      <w:r w:rsidRPr="0060049D">
        <w:rPr>
          <w:rFonts w:ascii="Arial Mäori" w:hAnsi="Arial Mäori" w:cs="Arial Mäori"/>
          <w:color w:val="000000"/>
          <w:sz w:val="22"/>
        </w:rPr>
        <w:t>.</w:t>
      </w:r>
    </w:p>
    <w:p w:rsidR="00927C7E" w:rsidRDefault="00927C7E" w:rsidP="00927C7E">
      <w:pPr>
        <w:pStyle w:val="Heading2"/>
      </w:pPr>
      <w:bookmarkStart w:id="149" w:name="_Toc358124611"/>
      <w:bookmarkStart w:id="150" w:name="_Toc360641411"/>
      <w:bookmarkStart w:id="151" w:name="_Toc360714617"/>
      <w:bookmarkStart w:id="152" w:name="_Toc363122553"/>
      <w:bookmarkStart w:id="153" w:name="_Toc365276910"/>
      <w:r>
        <w:t>Health Outcomes</w:t>
      </w:r>
      <w:bookmarkEnd w:id="149"/>
      <w:bookmarkEnd w:id="150"/>
      <w:bookmarkEnd w:id="151"/>
      <w:bookmarkEnd w:id="152"/>
      <w:bookmarkEnd w:id="153"/>
    </w:p>
    <w:p w:rsidR="00AE5209" w:rsidRPr="0060049D" w:rsidRDefault="00C34BCA" w:rsidP="0060049D">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A</w:t>
      </w:r>
      <w:r w:rsidR="00FD0607" w:rsidRPr="0060049D">
        <w:rPr>
          <w:rFonts w:ascii="Arial Mäori" w:hAnsi="Arial Mäori" w:cs="Arial Mäori"/>
          <w:color w:val="000000"/>
          <w:sz w:val="22"/>
        </w:rPr>
        <w:t>F contributed to</w:t>
      </w:r>
      <w:r w:rsidR="00403D3B" w:rsidRPr="0060049D">
        <w:rPr>
          <w:rFonts w:ascii="Arial Mäori" w:hAnsi="Arial Mäori" w:cs="Arial Mäori"/>
          <w:color w:val="000000"/>
          <w:sz w:val="22"/>
        </w:rPr>
        <w:t>189 deaths and 4,385</w:t>
      </w:r>
      <w:r w:rsidR="00AE5209" w:rsidRPr="0060049D">
        <w:rPr>
          <w:rFonts w:ascii="Arial Mäori" w:hAnsi="Arial Mäori" w:cs="Arial Mäori"/>
          <w:color w:val="000000"/>
          <w:sz w:val="22"/>
        </w:rPr>
        <w:t xml:space="preserve"> DALYs</w:t>
      </w:r>
      <w:r w:rsidR="000533FE" w:rsidRPr="0060049D">
        <w:rPr>
          <w:rFonts w:ascii="Arial Mäori" w:hAnsi="Arial Mäori" w:cs="Arial Mäori"/>
          <w:color w:val="000000"/>
          <w:sz w:val="22"/>
        </w:rPr>
        <w:t xml:space="preserve"> in 2006</w:t>
      </w:r>
      <w:r w:rsidR="00403D3B" w:rsidRPr="0060049D">
        <w:rPr>
          <w:rFonts w:ascii="Arial Mäori" w:hAnsi="Arial Mäori" w:cs="Arial Mäori"/>
          <w:color w:val="000000"/>
          <w:sz w:val="22"/>
        </w:rPr>
        <w:t xml:space="preserve"> (2% and 3% of </w:t>
      </w:r>
      <w:r w:rsidR="00613127" w:rsidRPr="0060049D">
        <w:rPr>
          <w:rFonts w:ascii="Arial Mäori" w:hAnsi="Arial Mäori" w:cs="Arial Mäori"/>
          <w:color w:val="000000"/>
          <w:sz w:val="22"/>
        </w:rPr>
        <w:t>cardiovascular</w:t>
      </w:r>
      <w:r w:rsidR="00403D3B" w:rsidRPr="0060049D">
        <w:rPr>
          <w:rFonts w:ascii="Arial Mäori" w:hAnsi="Arial Mäori" w:cs="Arial Mäori"/>
          <w:color w:val="000000"/>
          <w:sz w:val="22"/>
        </w:rPr>
        <w:t xml:space="preserve"> deaths and DALYs, respectively)</w:t>
      </w:r>
      <w:r w:rsidR="00AE5209" w:rsidRPr="0060049D">
        <w:rPr>
          <w:rFonts w:ascii="Arial Mäori" w:hAnsi="Arial Mäori" w:cs="Arial Mäori"/>
          <w:color w:val="000000"/>
          <w:sz w:val="22"/>
        </w:rPr>
        <w:t>.  Most AF deaths occurred in individuals aged over 85</w:t>
      </w:r>
      <w:r w:rsidR="001418E1">
        <w:rPr>
          <w:rFonts w:ascii="Arial Mäori" w:hAnsi="Arial Mäori" w:cs="Arial Mäori"/>
          <w:color w:val="000000"/>
          <w:sz w:val="22"/>
        </w:rPr>
        <w:t xml:space="preserve"> years</w:t>
      </w:r>
      <w:r w:rsidR="00AE5209" w:rsidRPr="0060049D">
        <w:rPr>
          <w:rFonts w:ascii="Arial Mäori" w:hAnsi="Arial Mäori" w:cs="Arial Mäori"/>
          <w:color w:val="000000"/>
          <w:sz w:val="22"/>
        </w:rPr>
        <w:t xml:space="preserve">, but the DALY burden was </w:t>
      </w:r>
      <w:r w:rsidR="00DC4E50" w:rsidRPr="0060049D">
        <w:rPr>
          <w:rFonts w:ascii="Arial Mäori" w:hAnsi="Arial Mäori" w:cs="Arial Mäori"/>
          <w:color w:val="000000"/>
          <w:sz w:val="22"/>
        </w:rPr>
        <w:t>higher</w:t>
      </w:r>
      <w:r w:rsidR="00AE5209" w:rsidRPr="0060049D">
        <w:rPr>
          <w:rFonts w:ascii="Arial Mäori" w:hAnsi="Arial Mäori" w:cs="Arial Mäori"/>
          <w:color w:val="000000"/>
          <w:sz w:val="22"/>
        </w:rPr>
        <w:t xml:space="preserve"> in younger individuals (60</w:t>
      </w:r>
      <w:r w:rsidRPr="0060049D">
        <w:rPr>
          <w:rFonts w:ascii="Arial Mäori" w:hAnsi="Arial Mäori" w:cs="Arial Mäori"/>
          <w:color w:val="000000"/>
          <w:sz w:val="22"/>
        </w:rPr>
        <w:t>–64</w:t>
      </w:r>
      <w:r w:rsidR="00AE5209" w:rsidRPr="0060049D">
        <w:rPr>
          <w:rFonts w:ascii="Arial Mäori" w:hAnsi="Arial Mäori" w:cs="Arial Mäori"/>
          <w:color w:val="000000"/>
          <w:sz w:val="22"/>
        </w:rPr>
        <w:t xml:space="preserve"> years) and steadily increased with age.  </w:t>
      </w:r>
      <w:r w:rsidRPr="0060049D">
        <w:rPr>
          <w:rFonts w:ascii="Arial Mäori" w:hAnsi="Arial Mäori" w:cs="Arial Mäori"/>
          <w:color w:val="000000"/>
          <w:sz w:val="22"/>
        </w:rPr>
        <w:t>W</w:t>
      </w:r>
      <w:r w:rsidR="00AE5209" w:rsidRPr="0060049D">
        <w:rPr>
          <w:rFonts w:ascii="Arial Mäori" w:hAnsi="Arial Mäori" w:cs="Arial Mäori"/>
          <w:color w:val="000000"/>
          <w:sz w:val="22"/>
        </w:rPr>
        <w:t>hilst AF does not necessarily place a significant</w:t>
      </w:r>
      <w:r w:rsidR="0095046C">
        <w:rPr>
          <w:rFonts w:ascii="Arial Mäori" w:hAnsi="Arial Mäori" w:cs="Arial Mäori"/>
          <w:color w:val="000000"/>
          <w:sz w:val="22"/>
        </w:rPr>
        <w:t xml:space="preserve"> direct</w:t>
      </w:r>
      <w:r w:rsidR="00AE5209" w:rsidRPr="0060049D">
        <w:rPr>
          <w:rFonts w:ascii="Arial Mäori" w:hAnsi="Arial Mäori" w:cs="Arial Mäori"/>
          <w:color w:val="000000"/>
          <w:sz w:val="22"/>
        </w:rPr>
        <w:t xml:space="preserve"> mortality burden on society, it is responsible for impaired quality of life, especially in </w:t>
      </w:r>
      <w:r w:rsidRPr="0060049D">
        <w:rPr>
          <w:rFonts w:ascii="Arial Mäori" w:hAnsi="Arial Mäori" w:cs="Arial Mäori"/>
          <w:color w:val="000000"/>
          <w:sz w:val="22"/>
        </w:rPr>
        <w:t>older people</w:t>
      </w:r>
      <w:r w:rsidR="00AE5209" w:rsidRPr="0060049D">
        <w:rPr>
          <w:rFonts w:ascii="Arial Mäori" w:hAnsi="Arial Mäori" w:cs="Arial Mäori"/>
          <w:color w:val="000000"/>
          <w:sz w:val="22"/>
        </w:rPr>
        <w:t>.</w:t>
      </w:r>
      <w:r w:rsidR="0095046C">
        <w:rPr>
          <w:rFonts w:ascii="Arial Mäori" w:hAnsi="Arial Mäori" w:cs="Arial Mäori"/>
          <w:color w:val="000000"/>
          <w:sz w:val="22"/>
        </w:rPr>
        <w:t xml:space="preserve">  As a risk factor for ischaemic stroke, it contributes to about 4,000 DALYs.</w:t>
      </w:r>
    </w:p>
    <w:p w:rsidR="00927C7E" w:rsidRDefault="00927C7E" w:rsidP="00927C7E">
      <w:pPr>
        <w:pStyle w:val="Heading2"/>
      </w:pPr>
      <w:bookmarkStart w:id="154" w:name="_Toc358124612"/>
      <w:bookmarkStart w:id="155" w:name="_Toc360641412"/>
      <w:bookmarkStart w:id="156" w:name="_Toc360714618"/>
      <w:bookmarkStart w:id="157" w:name="_Toc363122554"/>
      <w:bookmarkStart w:id="158" w:name="_Toc365276911"/>
      <w:r>
        <w:t>Health Utilisation and Cost</w:t>
      </w:r>
      <w:bookmarkEnd w:id="154"/>
      <w:bookmarkEnd w:id="155"/>
      <w:bookmarkEnd w:id="156"/>
      <w:bookmarkEnd w:id="157"/>
      <w:bookmarkEnd w:id="158"/>
    </w:p>
    <w:p w:rsidR="00653959" w:rsidRPr="0060049D" w:rsidRDefault="00DC4E50" w:rsidP="0060049D">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In 2011/12 a</w:t>
      </w:r>
      <w:r w:rsidR="00653959" w:rsidRPr="0060049D">
        <w:rPr>
          <w:rFonts w:ascii="Arial Mäori" w:hAnsi="Arial Mäori" w:cs="Arial Mäori"/>
          <w:color w:val="000000"/>
          <w:sz w:val="22"/>
        </w:rPr>
        <w:t>bout 7,700 individuals experienced about 9,600 hospitalisations</w:t>
      </w:r>
      <w:r w:rsidR="00C34BCA" w:rsidRPr="0060049D">
        <w:rPr>
          <w:rFonts w:ascii="Arial Mäori" w:hAnsi="Arial Mäori" w:cs="Arial Mäori"/>
          <w:color w:val="000000"/>
          <w:sz w:val="22"/>
        </w:rPr>
        <w:t xml:space="preserve"> for AF</w:t>
      </w:r>
      <w:r w:rsidR="00653959" w:rsidRPr="0060049D">
        <w:rPr>
          <w:rFonts w:ascii="Arial Mäori" w:hAnsi="Arial Mäori" w:cs="Arial Mäori"/>
          <w:color w:val="000000"/>
          <w:sz w:val="22"/>
        </w:rPr>
        <w:t xml:space="preserve"> (1.2 hospitalisations per person) at an average cost of $3,800.  Each hospital stay lasted an average of 2 days; all </w:t>
      </w:r>
      <w:r w:rsidR="00C34BCA" w:rsidRPr="0060049D">
        <w:rPr>
          <w:rFonts w:ascii="Arial Mäori" w:hAnsi="Arial Mäori" w:cs="Arial Mäori"/>
          <w:color w:val="000000"/>
          <w:sz w:val="22"/>
        </w:rPr>
        <w:t xml:space="preserve">AF </w:t>
      </w:r>
      <w:r w:rsidR="00653959" w:rsidRPr="0060049D">
        <w:rPr>
          <w:rFonts w:ascii="Arial Mäori" w:hAnsi="Arial Mäori" w:cs="Arial Mäori"/>
          <w:color w:val="000000"/>
          <w:sz w:val="22"/>
        </w:rPr>
        <w:t>hospitalisations totalled $30 million.</w:t>
      </w:r>
    </w:p>
    <w:p w:rsidR="00A63BA1" w:rsidRDefault="00A63BA1" w:rsidP="009F3F4E">
      <w:pPr>
        <w:pStyle w:val="Heading1"/>
      </w:pPr>
      <w:bookmarkStart w:id="159" w:name="_Toc365276912"/>
      <w:r>
        <w:lastRenderedPageBreak/>
        <w:t>Cardiomyopathies</w:t>
      </w:r>
      <w:bookmarkEnd w:id="159"/>
    </w:p>
    <w:p w:rsidR="00A63BA1" w:rsidRDefault="00A63BA1" w:rsidP="00A63BA1">
      <w:pPr>
        <w:pStyle w:val="Heading2"/>
      </w:pPr>
      <w:bookmarkStart w:id="160" w:name="_Toc358124619"/>
      <w:bookmarkStart w:id="161" w:name="_Toc360641419"/>
      <w:bookmarkStart w:id="162" w:name="_Toc360714620"/>
      <w:bookmarkStart w:id="163" w:name="_Toc363122556"/>
      <w:bookmarkStart w:id="164" w:name="_Toc365276913"/>
      <w:r>
        <w:t>Disease Description</w:t>
      </w:r>
      <w:bookmarkEnd w:id="160"/>
      <w:bookmarkEnd w:id="161"/>
      <w:bookmarkEnd w:id="162"/>
      <w:bookmarkEnd w:id="163"/>
      <w:bookmarkEnd w:id="164"/>
    </w:p>
    <w:p w:rsidR="00A63BA1" w:rsidRPr="00164F8C" w:rsidRDefault="00A63BA1" w:rsidP="00A63BA1">
      <w:pPr>
        <w:spacing w:after="120" w:line="360" w:lineRule="auto"/>
        <w:jc w:val="both"/>
        <w:rPr>
          <w:rFonts w:ascii="Arial Mäori" w:hAnsi="Arial Mäori" w:cs="Arial Mäori"/>
          <w:color w:val="000000"/>
          <w:sz w:val="22"/>
        </w:rPr>
      </w:pPr>
      <w:r w:rsidRPr="00164F8C">
        <w:rPr>
          <w:rFonts w:ascii="Arial Mäori" w:hAnsi="Arial Mäori" w:cs="Arial Mäori"/>
          <w:color w:val="000000"/>
          <w:sz w:val="22"/>
        </w:rPr>
        <w:t>Cardiomyopathies are diseases of the heart muscle that impair proper function.  It excludes cardiac dysfunction from structural abnormalities, coronary heart disease or severe hypertension.  The impairment of cardiac muscle function caused by widespread coronary artery disease is, however, commonly called ischaemic cardiomyopathy.  The classification of cardiomyopathies is complex but can broadly be divided into primary (disease primarily of myocardium) or secondary (myocardial involvement as part of a systemic disease).  Primary cardiomyopathies can be genetic, acquired (e.g. inflammatory, stress-related, peripartum) or mixed.  There are a significant number of secondary causes of cardiomyopathy including infiltrative disease (e.g. amyloid), storage disease (e.g. hemochromatosis), autoimmune disease, nutritional deficiency and medications.</w:t>
      </w:r>
    </w:p>
    <w:p w:rsidR="00A63BA1" w:rsidRPr="00164F8C" w:rsidRDefault="00A63BA1" w:rsidP="00A63BA1">
      <w:pPr>
        <w:spacing w:after="120" w:line="360" w:lineRule="auto"/>
        <w:jc w:val="both"/>
        <w:rPr>
          <w:rFonts w:ascii="Arial Mäori" w:hAnsi="Arial Mäori" w:cs="Arial Mäori"/>
          <w:color w:val="000000"/>
          <w:sz w:val="22"/>
        </w:rPr>
      </w:pPr>
      <w:r w:rsidRPr="00164F8C">
        <w:rPr>
          <w:rFonts w:ascii="Arial Mäori" w:hAnsi="Arial Mäori" w:cs="Arial Mäori"/>
          <w:color w:val="000000"/>
          <w:sz w:val="22"/>
        </w:rPr>
        <w:t>Cardiomyopathies are initially asymptomatic but can subsequently present with a wide variety of symptoms from exercise intolerance, fatigue and breathlessness to heart failure and sudden death.  Treatment is aimed at the underlying disease process where possible (for example, ablation of abnormally enlarged myocardium in hypertrophic cardiomyopathy), reducing symptoms of heart failure or prevention of complications (for example, insertion of an implantable cardioverter/defibrillator in arrhythmogenic right ventricular dysplasia).  Prognosis is extremely variable and depends on the exact nature of the disease in question.</w:t>
      </w:r>
      <w:r w:rsidR="00692C4B">
        <w:rPr>
          <w:rFonts w:ascii="Arial Mäori" w:hAnsi="Arial Mäori" w:cs="Arial Mäori"/>
          <w:color w:val="000000"/>
          <w:sz w:val="22"/>
        </w:rPr>
        <w:t xml:space="preserve">  Heart transplant is a treatment option for certain severe cases.</w:t>
      </w:r>
    </w:p>
    <w:p w:rsidR="00A63BA1" w:rsidRDefault="00A63BA1" w:rsidP="00A63BA1">
      <w:pPr>
        <w:pStyle w:val="Heading2"/>
      </w:pPr>
      <w:bookmarkStart w:id="165" w:name="_Toc360641420"/>
      <w:bookmarkStart w:id="166" w:name="_Toc360714621"/>
      <w:bookmarkStart w:id="167" w:name="_Toc363122557"/>
      <w:bookmarkStart w:id="168" w:name="_Toc365276914"/>
      <w:r>
        <w:t>Prevalence and Incidence</w:t>
      </w:r>
      <w:bookmarkEnd w:id="165"/>
      <w:bookmarkEnd w:id="166"/>
      <w:bookmarkEnd w:id="167"/>
      <w:bookmarkEnd w:id="168"/>
    </w:p>
    <w:p w:rsidR="00A63BA1" w:rsidRPr="00164F8C" w:rsidRDefault="00A63BA1" w:rsidP="00A63BA1">
      <w:pPr>
        <w:spacing w:after="120" w:line="360" w:lineRule="auto"/>
        <w:jc w:val="both"/>
        <w:rPr>
          <w:rFonts w:ascii="Arial Mäori" w:hAnsi="Arial Mäori" w:cs="Arial Mäori"/>
          <w:color w:val="000000"/>
          <w:sz w:val="22"/>
        </w:rPr>
      </w:pPr>
      <w:r w:rsidRPr="00164F8C">
        <w:rPr>
          <w:rFonts w:ascii="Arial Mäori" w:hAnsi="Arial Mäori" w:cs="Arial Mäori"/>
          <w:color w:val="000000"/>
          <w:sz w:val="22"/>
        </w:rPr>
        <w:t xml:space="preserve">In 2008, New Zealand cardiomyopathy prevalence (with a look back period of ten years) was 148 per 100,000 </w:t>
      </w:r>
      <w:r w:rsidRPr="00164F8C">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&lt;EndNote&gt;&lt;Cite&gt;&lt;Author&gt;Ministry of Health&lt;/Author&gt;&lt;Year&gt;2013&lt;/Year&gt;&lt;RecNum&gt;739&lt;/RecNum&gt;&lt;DisplayText&gt;&lt;style face="superscript"&gt;(15)&lt;/style&gt;&lt;/DisplayText&gt;&lt;record&gt;&lt;rec-number&gt;739&lt;/rec-number&gt;&lt;foreign-keys&gt;&lt;key app="EN" db-id="paxef0v91tx5e7eaev8xxf2xd92zvrfrv592"&gt;739&lt;/key&gt;&lt;/foreign-keys&gt;&lt;ref-type name="Dataset"&gt;59&lt;/ref-type&gt;&lt;contributors&gt;&lt;authors&gt;&lt;author&gt;Ministry of Health,&lt;/author&gt;&lt;/authors&gt;&lt;secondary-authors&gt;&lt;author&gt;Ministry of Health,&lt;/author&gt;&lt;/secondary-authors&gt;&lt;/contributors&gt;&lt;titles&gt;&lt;title&gt;Health Tracker&lt;/title&gt;&lt;/titles&gt;&lt;dates&gt;&lt;year&gt;2013&lt;/year&gt;&lt;/dates&gt;&lt;pub-location&gt;Wellington&lt;/pub-location&gt;&lt;urls&gt;&lt;/urls&gt;&lt;/record&gt;&lt;/Cite&gt;&lt;/EndNote&gt;</w:instrText>
      </w:r>
      <w:r w:rsidRPr="00164F8C">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15" w:tooltip="Ministry of Health, 2013 #739" w:history="1">
        <w:r w:rsidR="001418E1" w:rsidRPr="00E96985">
          <w:rPr>
            <w:rFonts w:ascii="Arial Mäori" w:hAnsi="Arial Mäori" w:cs="Arial Mäori"/>
            <w:noProof/>
            <w:color w:val="000000"/>
            <w:sz w:val="22"/>
            <w:vertAlign w:val="superscript"/>
          </w:rPr>
          <w:t>15</w:t>
        </w:r>
      </w:hyperlink>
      <w:r w:rsidR="00E96985" w:rsidRPr="00E96985">
        <w:rPr>
          <w:rFonts w:ascii="Arial Mäori" w:hAnsi="Arial Mäori" w:cs="Arial Mäori"/>
          <w:noProof/>
          <w:color w:val="000000"/>
          <w:sz w:val="22"/>
          <w:vertAlign w:val="superscript"/>
        </w:rPr>
        <w:t>)</w:t>
      </w:r>
      <w:r w:rsidRPr="00164F8C">
        <w:rPr>
          <w:rFonts w:ascii="Arial Mäori" w:hAnsi="Arial Mäori" w:cs="Arial Mäori"/>
          <w:color w:val="000000"/>
          <w:sz w:val="22"/>
        </w:rPr>
        <w:fldChar w:fldCharType="end"/>
      </w:r>
      <w:r w:rsidRPr="00164F8C">
        <w:rPr>
          <w:rFonts w:ascii="Arial Mäori" w:hAnsi="Arial Mäori" w:cs="Arial Mäori"/>
          <w:color w:val="000000"/>
          <w:sz w:val="22"/>
        </w:rPr>
        <w:t>.  This equated to about 6,700 individuals.  Prevalence for men (201 per 100,000) was double that for women (98 per 100,000) with prevalence for both groups increasing from the age of twenty. Prevalence of cardiomyopathies in Māori (283 per 100,000) was more than twice that in non-Māori (128 per 100,000).</w:t>
      </w:r>
    </w:p>
    <w:p w:rsidR="00A63BA1" w:rsidRDefault="00A63BA1" w:rsidP="00A63BA1">
      <w:pPr>
        <w:pStyle w:val="Heading2"/>
      </w:pPr>
      <w:bookmarkStart w:id="169" w:name="_Toc358124621"/>
      <w:bookmarkStart w:id="170" w:name="_Toc360641421"/>
      <w:bookmarkStart w:id="171" w:name="_Toc360714622"/>
      <w:bookmarkStart w:id="172" w:name="_Toc363122558"/>
      <w:bookmarkStart w:id="173" w:name="_Toc365276915"/>
      <w:r>
        <w:t>Health Outcomes</w:t>
      </w:r>
      <w:bookmarkEnd w:id="169"/>
      <w:bookmarkEnd w:id="170"/>
      <w:bookmarkEnd w:id="171"/>
      <w:bookmarkEnd w:id="172"/>
      <w:bookmarkEnd w:id="173"/>
    </w:p>
    <w:p w:rsidR="00A63BA1" w:rsidRPr="00164F8C" w:rsidRDefault="00A63BA1" w:rsidP="00A63BA1">
      <w:pPr>
        <w:spacing w:after="120" w:line="360" w:lineRule="auto"/>
        <w:jc w:val="both"/>
        <w:rPr>
          <w:rFonts w:ascii="Arial Mäori" w:hAnsi="Arial Mäori" w:cs="Arial Mäori"/>
          <w:color w:val="000000"/>
          <w:sz w:val="22"/>
        </w:rPr>
      </w:pPr>
      <w:r w:rsidRPr="00164F8C">
        <w:rPr>
          <w:rFonts w:ascii="Arial Mäori" w:hAnsi="Arial Mäori" w:cs="Arial Mäori"/>
          <w:color w:val="000000"/>
          <w:sz w:val="22"/>
        </w:rPr>
        <w:t>In 2006 nearly 175 deaths occurred as the result of a cardiomyopathy coupled with 4,824 DALYs (2% and 3% of deaths and DALYs, respectively).  Both the death and DALY burden is borne pretty evenly regardless of age with individuals aged over 40 years comprising the majority of deaths and DALYs lost.</w:t>
      </w:r>
    </w:p>
    <w:p w:rsidR="00A63BA1" w:rsidRDefault="00A63BA1" w:rsidP="00A63BA1">
      <w:pPr>
        <w:pStyle w:val="Heading2"/>
      </w:pPr>
      <w:bookmarkStart w:id="174" w:name="_Toc358124622"/>
      <w:bookmarkStart w:id="175" w:name="_Toc360641422"/>
      <w:bookmarkStart w:id="176" w:name="_Toc360714623"/>
      <w:bookmarkStart w:id="177" w:name="_Toc363122559"/>
      <w:bookmarkStart w:id="178" w:name="_Toc365276916"/>
      <w:r>
        <w:t>Health Utilisation and Cost</w:t>
      </w:r>
      <w:bookmarkEnd w:id="174"/>
      <w:bookmarkEnd w:id="175"/>
      <w:bookmarkEnd w:id="176"/>
      <w:bookmarkEnd w:id="177"/>
      <w:bookmarkEnd w:id="178"/>
    </w:p>
    <w:p w:rsidR="00A63BA1" w:rsidRPr="00164F8C" w:rsidRDefault="00A63BA1" w:rsidP="00A63BA1">
      <w:pPr>
        <w:spacing w:after="120" w:line="360" w:lineRule="auto"/>
        <w:jc w:val="both"/>
        <w:rPr>
          <w:rFonts w:ascii="Arial Mäori" w:hAnsi="Arial Mäori" w:cs="Arial Mäori"/>
          <w:color w:val="000000"/>
          <w:sz w:val="22"/>
        </w:rPr>
      </w:pPr>
      <w:r w:rsidRPr="00164F8C">
        <w:rPr>
          <w:rFonts w:ascii="Arial Mäori" w:hAnsi="Arial Mäori" w:cs="Arial Mäori"/>
          <w:color w:val="000000"/>
          <w:sz w:val="22"/>
        </w:rPr>
        <w:t>In 20011/12 there were 826 hospital discharges for 683 individuals suffering from cardiomyopathy (1.2 hospitalisations per person) at an average cost of $12,100 per hospitalised individual.  At an average length of stay of 6.7 days, these hospitalisations aggregated to $8 million.</w:t>
      </w:r>
    </w:p>
    <w:p w:rsidR="00927C7E" w:rsidRDefault="001B31A2" w:rsidP="009F3F4E">
      <w:pPr>
        <w:pStyle w:val="Heading1"/>
      </w:pPr>
      <w:bookmarkStart w:id="179" w:name="_Toc365276917"/>
      <w:r>
        <w:lastRenderedPageBreak/>
        <w:t>Inflammatory Heart Disease</w:t>
      </w:r>
      <w:bookmarkEnd w:id="179"/>
    </w:p>
    <w:p w:rsidR="00927C7E" w:rsidRDefault="00927C7E" w:rsidP="00927C7E">
      <w:pPr>
        <w:pStyle w:val="Heading2"/>
      </w:pPr>
      <w:bookmarkStart w:id="180" w:name="_Toc358124614"/>
      <w:bookmarkStart w:id="181" w:name="_Toc360641414"/>
      <w:bookmarkStart w:id="182" w:name="_Toc360714625"/>
      <w:bookmarkStart w:id="183" w:name="_Toc363122561"/>
      <w:bookmarkStart w:id="184" w:name="_Toc365276918"/>
      <w:r>
        <w:t>Disease Description</w:t>
      </w:r>
      <w:bookmarkEnd w:id="180"/>
      <w:bookmarkEnd w:id="181"/>
      <w:bookmarkEnd w:id="182"/>
      <w:bookmarkEnd w:id="183"/>
      <w:bookmarkEnd w:id="184"/>
    </w:p>
    <w:p w:rsidR="00C84DE1" w:rsidRPr="0060049D" w:rsidRDefault="00C84DE1" w:rsidP="0060049D">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 xml:space="preserve">Inflammatory heart disease includes any disease that inflames a part of the heart.  </w:t>
      </w:r>
      <w:r w:rsidR="00FD0607" w:rsidRPr="0060049D">
        <w:rPr>
          <w:rFonts w:ascii="Arial Mäori" w:hAnsi="Arial Mäori" w:cs="Arial Mäori"/>
          <w:color w:val="000000"/>
          <w:sz w:val="22"/>
        </w:rPr>
        <w:t>Myocarditis, endocarditis and</w:t>
      </w:r>
      <w:r w:rsidRPr="0060049D">
        <w:rPr>
          <w:rFonts w:ascii="Arial Mäori" w:hAnsi="Arial Mäori" w:cs="Arial Mäori"/>
          <w:color w:val="000000"/>
          <w:sz w:val="22"/>
        </w:rPr>
        <w:t xml:space="preserve"> pericarditis are the main inflammatory conditions included</w:t>
      </w:r>
      <w:r w:rsidR="00FD0607" w:rsidRPr="0060049D">
        <w:rPr>
          <w:rFonts w:ascii="Arial Mäori" w:hAnsi="Arial Mäori" w:cs="Arial Mäori"/>
          <w:color w:val="000000"/>
          <w:sz w:val="22"/>
        </w:rPr>
        <w:t>.</w:t>
      </w:r>
    </w:p>
    <w:p w:rsidR="003B174C" w:rsidRPr="0060049D" w:rsidRDefault="003B174C" w:rsidP="0060049D">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Myocarditis is an inflammatory process, most commonly attributed to infectious organisms that can invade the myocardium</w:t>
      </w:r>
      <w:r w:rsidR="00FD0607" w:rsidRPr="0060049D">
        <w:rPr>
          <w:rFonts w:ascii="Arial Mäori" w:hAnsi="Arial Mäori" w:cs="Arial Mäori"/>
          <w:color w:val="000000"/>
          <w:sz w:val="22"/>
        </w:rPr>
        <w:t xml:space="preserve"> (heart muscle)</w:t>
      </w:r>
      <w:r w:rsidRPr="0060049D">
        <w:rPr>
          <w:rFonts w:ascii="Arial Mäori" w:hAnsi="Arial Mäori" w:cs="Arial Mäori"/>
          <w:color w:val="000000"/>
          <w:sz w:val="22"/>
        </w:rPr>
        <w:t xml:space="preserve"> directly, produce </w:t>
      </w:r>
      <w:r w:rsidR="0060049D" w:rsidRPr="0060049D">
        <w:rPr>
          <w:rFonts w:ascii="Arial Mäori" w:hAnsi="Arial Mäori" w:cs="Arial Mäori"/>
          <w:color w:val="000000"/>
          <w:sz w:val="22"/>
        </w:rPr>
        <w:t>cardio</w:t>
      </w:r>
      <w:r w:rsidR="0060049D">
        <w:rPr>
          <w:rFonts w:ascii="Arial Mäori" w:hAnsi="Arial Mäori" w:cs="Arial Mäori"/>
          <w:color w:val="000000"/>
          <w:sz w:val="22"/>
        </w:rPr>
        <w:t>-</w:t>
      </w:r>
      <w:r w:rsidR="0060049D" w:rsidRPr="0060049D">
        <w:rPr>
          <w:rFonts w:ascii="Arial Mäori" w:hAnsi="Arial Mäori" w:cs="Arial Mäori"/>
          <w:color w:val="000000"/>
          <w:sz w:val="22"/>
        </w:rPr>
        <w:t>toxins</w:t>
      </w:r>
      <w:r w:rsidRPr="0060049D">
        <w:rPr>
          <w:rFonts w:ascii="Arial Mäori" w:hAnsi="Arial Mäori" w:cs="Arial Mäori"/>
          <w:color w:val="000000"/>
          <w:sz w:val="22"/>
        </w:rPr>
        <w:t>, and trigger chronic inflammatory responses.</w:t>
      </w:r>
      <w:r w:rsidR="00DC4E50" w:rsidRPr="0060049D">
        <w:rPr>
          <w:rFonts w:ascii="Arial Mäori" w:hAnsi="Arial Mäori" w:cs="Arial Mäori"/>
          <w:color w:val="000000"/>
          <w:sz w:val="22"/>
        </w:rPr>
        <w:t xml:space="preserve"> </w:t>
      </w:r>
      <w:r w:rsidRPr="0060049D">
        <w:rPr>
          <w:rFonts w:ascii="Arial Mäori" w:hAnsi="Arial Mäori" w:cs="Arial Mäori"/>
          <w:color w:val="000000"/>
          <w:sz w:val="22"/>
        </w:rPr>
        <w:t xml:space="preserve"> Infective myocarditis has been reported with almost all types of infectious agents but is most commonly associated with viral infections </w:t>
      </w:r>
      <w:r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4" w:tooltip="Fauci, 2008 #678" w:history="1">
        <w:r w:rsidR="001418E1" w:rsidRPr="00E96985">
          <w:rPr>
            <w:rFonts w:ascii="Arial Mäori" w:hAnsi="Arial Mäori" w:cs="Arial Mäori"/>
            <w:noProof/>
            <w:color w:val="000000"/>
            <w:sz w:val="22"/>
            <w:vertAlign w:val="superscript"/>
          </w:rPr>
          <w:t>4</w:t>
        </w:r>
      </w:hyperlink>
      <w:r w:rsidR="00E96985" w:rsidRPr="00E96985">
        <w:rPr>
          <w:rFonts w:ascii="Arial Mäori" w:hAnsi="Arial Mäori" w:cs="Arial Mäori"/>
          <w:noProof/>
          <w:color w:val="000000"/>
          <w:sz w:val="22"/>
          <w:vertAlign w:val="superscript"/>
        </w:rPr>
        <w:t>)</w:t>
      </w:r>
      <w:r w:rsidRPr="0060049D">
        <w:rPr>
          <w:rFonts w:ascii="Arial Mäori" w:hAnsi="Arial Mäori" w:cs="Arial Mäori"/>
          <w:color w:val="000000"/>
          <w:sz w:val="22"/>
        </w:rPr>
        <w:fldChar w:fldCharType="end"/>
      </w:r>
      <w:r w:rsidRPr="0060049D">
        <w:rPr>
          <w:rFonts w:ascii="Arial Mäori" w:hAnsi="Arial Mäori" w:cs="Arial Mäori"/>
          <w:color w:val="000000"/>
          <w:sz w:val="22"/>
        </w:rPr>
        <w:t>.  Although viral myocarditis is generally considered to be an acquired cardiomyopathy, families have been reported whose clinical disease appeared after a syndrome consistent with viral myocarditis</w:t>
      </w:r>
      <w:r w:rsidR="003566DA" w:rsidRPr="0060049D">
        <w:rPr>
          <w:rFonts w:ascii="Arial Mäori" w:hAnsi="Arial Mäori" w:cs="Arial Mäori"/>
          <w:color w:val="000000"/>
          <w:sz w:val="22"/>
        </w:rPr>
        <w:t xml:space="preserve"> suggesting a possible hereditary component</w:t>
      </w:r>
      <w:r w:rsidRPr="0060049D">
        <w:rPr>
          <w:rFonts w:ascii="Arial Mäori" w:hAnsi="Arial Mäori" w:cs="Arial Mäori"/>
          <w:color w:val="000000"/>
          <w:sz w:val="22"/>
        </w:rPr>
        <w:t>.  Young adults tend to present more frequently than other age groups with progressive dyspnoea (difficulty breathing) a</w:t>
      </w:r>
      <w:r w:rsidR="00FD0607" w:rsidRPr="0060049D">
        <w:rPr>
          <w:rFonts w:ascii="Arial Mäori" w:hAnsi="Arial Mäori" w:cs="Arial Mäori"/>
          <w:color w:val="000000"/>
          <w:sz w:val="22"/>
        </w:rPr>
        <w:t>fter a recent viral infection.</w:t>
      </w:r>
      <w:r w:rsidR="00CA12B4" w:rsidRPr="0060049D">
        <w:rPr>
          <w:rFonts w:ascii="Arial Mäori" w:hAnsi="Arial Mäori" w:cs="Arial Mäori"/>
          <w:color w:val="000000"/>
          <w:sz w:val="22"/>
        </w:rPr>
        <w:t xml:space="preserve">  The true prognosis of viral myocarditis </w:t>
      </w:r>
      <w:r w:rsidR="00FD0607" w:rsidRPr="0060049D">
        <w:rPr>
          <w:rFonts w:ascii="Arial Mäori" w:hAnsi="Arial Mäori" w:cs="Arial Mäori"/>
          <w:color w:val="000000"/>
          <w:sz w:val="22"/>
        </w:rPr>
        <w:t>is not known, as most unrecognis</w:t>
      </w:r>
      <w:r w:rsidR="00CA12B4" w:rsidRPr="0060049D">
        <w:rPr>
          <w:rFonts w:ascii="Arial Mäori" w:hAnsi="Arial Mäori" w:cs="Arial Mäori"/>
          <w:color w:val="000000"/>
          <w:sz w:val="22"/>
        </w:rPr>
        <w:t>ed cases probably resolve spontaneously, while others progress to cardiomyopathy</w:t>
      </w:r>
      <w:r w:rsidR="00FD0607" w:rsidRPr="0060049D">
        <w:rPr>
          <w:rFonts w:ascii="Arial Mäori" w:hAnsi="Arial Mäori" w:cs="Arial Mäori"/>
          <w:color w:val="000000"/>
          <w:sz w:val="22"/>
        </w:rPr>
        <w:t xml:space="preserve"> (heart muscle death)</w:t>
      </w:r>
      <w:r w:rsidR="00CA12B4" w:rsidRPr="0060049D">
        <w:rPr>
          <w:rFonts w:ascii="Arial Mäori" w:hAnsi="Arial Mäori" w:cs="Arial Mäori"/>
          <w:color w:val="000000"/>
          <w:sz w:val="22"/>
        </w:rPr>
        <w:t xml:space="preserve"> without other obvious cause. </w:t>
      </w:r>
      <w:r w:rsidR="00DC4E50" w:rsidRPr="0060049D">
        <w:rPr>
          <w:rFonts w:ascii="Arial Mäori" w:hAnsi="Arial Mäori" w:cs="Arial Mäori"/>
          <w:color w:val="000000"/>
          <w:sz w:val="22"/>
        </w:rPr>
        <w:t xml:space="preserve"> </w:t>
      </w:r>
      <w:r w:rsidR="00FD0607" w:rsidRPr="0060049D">
        <w:rPr>
          <w:rFonts w:ascii="Arial Mäori" w:hAnsi="Arial Mäori" w:cs="Arial Mäori"/>
          <w:color w:val="000000"/>
          <w:sz w:val="22"/>
        </w:rPr>
        <w:t xml:space="preserve">MRI is used to detect.  </w:t>
      </w:r>
      <w:r w:rsidR="00CA12B4" w:rsidRPr="0060049D">
        <w:rPr>
          <w:rFonts w:ascii="Arial Mäori" w:hAnsi="Arial Mäori" w:cs="Arial Mäori"/>
          <w:color w:val="000000"/>
          <w:sz w:val="22"/>
        </w:rPr>
        <w:t xml:space="preserve">Neurohormonal antagonist therapy is usually continued indefinitely as tolerated, with dose adjustments to avoid side effects </w:t>
      </w:r>
      <w:r w:rsidR="00CA12B4"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00CA12B4"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4" w:tooltip="Fauci, 2008 #678" w:history="1">
        <w:r w:rsidR="001418E1" w:rsidRPr="00E96985">
          <w:rPr>
            <w:rFonts w:ascii="Arial Mäori" w:hAnsi="Arial Mäori" w:cs="Arial Mäori"/>
            <w:noProof/>
            <w:color w:val="000000"/>
            <w:sz w:val="22"/>
            <w:vertAlign w:val="superscript"/>
          </w:rPr>
          <w:t>4</w:t>
        </w:r>
      </w:hyperlink>
      <w:r w:rsidR="00E96985" w:rsidRPr="00E96985">
        <w:rPr>
          <w:rFonts w:ascii="Arial Mäori" w:hAnsi="Arial Mäori" w:cs="Arial Mäori"/>
          <w:noProof/>
          <w:color w:val="000000"/>
          <w:sz w:val="22"/>
          <w:vertAlign w:val="superscript"/>
        </w:rPr>
        <w:t>)</w:t>
      </w:r>
      <w:r w:rsidR="00CA12B4" w:rsidRPr="0060049D">
        <w:rPr>
          <w:rFonts w:ascii="Arial Mäori" w:hAnsi="Arial Mäori" w:cs="Arial Mäori"/>
          <w:color w:val="000000"/>
          <w:sz w:val="22"/>
        </w:rPr>
        <w:fldChar w:fldCharType="end"/>
      </w:r>
      <w:r w:rsidR="00CA12B4" w:rsidRPr="0060049D">
        <w:rPr>
          <w:rFonts w:ascii="Arial Mäori" w:hAnsi="Arial Mäori" w:cs="Arial Mäori"/>
          <w:color w:val="000000"/>
          <w:sz w:val="22"/>
        </w:rPr>
        <w:t>.</w:t>
      </w:r>
    </w:p>
    <w:p w:rsidR="00FD0607" w:rsidRPr="0060049D" w:rsidRDefault="00FD0607" w:rsidP="0060049D">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 xml:space="preserve">Endocarditis is the inflammation of the endocardium (inner lining of the heart and valves).  A few bacterial species cause the majority of cases </w:t>
      </w:r>
      <w:r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4" w:tooltip="Fauci, 2008 #678" w:history="1">
        <w:r w:rsidR="001418E1" w:rsidRPr="00E96985">
          <w:rPr>
            <w:rFonts w:ascii="Arial Mäori" w:hAnsi="Arial Mäori" w:cs="Arial Mäori"/>
            <w:noProof/>
            <w:color w:val="000000"/>
            <w:sz w:val="22"/>
            <w:vertAlign w:val="superscript"/>
          </w:rPr>
          <w:t>4</w:t>
        </w:r>
      </w:hyperlink>
      <w:r w:rsidR="00E96985" w:rsidRPr="00E96985">
        <w:rPr>
          <w:rFonts w:ascii="Arial Mäori" w:hAnsi="Arial Mäori" w:cs="Arial Mäori"/>
          <w:noProof/>
          <w:color w:val="000000"/>
          <w:sz w:val="22"/>
          <w:vertAlign w:val="superscript"/>
        </w:rPr>
        <w:t>)</w:t>
      </w:r>
      <w:r w:rsidRPr="0060049D">
        <w:rPr>
          <w:rFonts w:ascii="Arial Mäori" w:hAnsi="Arial Mäori" w:cs="Arial Mäori"/>
          <w:color w:val="000000"/>
          <w:sz w:val="22"/>
        </w:rPr>
        <w:fldChar w:fldCharType="end"/>
      </w:r>
      <w:r w:rsidRPr="0060049D">
        <w:rPr>
          <w:rFonts w:ascii="Arial Mäori" w:hAnsi="Arial Mäori" w:cs="Arial Mäori"/>
          <w:color w:val="000000"/>
          <w:sz w:val="22"/>
        </w:rPr>
        <w:t xml:space="preserve">.  The clinical features of endocarditis are nonspecific. However, these symptoms in a febrile patient with valvular abnormalities or a behaviour pattern that predisposes </w:t>
      </w:r>
      <w:r w:rsidR="001418E1">
        <w:rPr>
          <w:rFonts w:ascii="Arial Mäori" w:hAnsi="Arial Mäori" w:cs="Arial Mäori"/>
          <w:color w:val="000000"/>
          <w:sz w:val="22"/>
        </w:rPr>
        <w:t xml:space="preserve">him or her </w:t>
      </w:r>
      <w:r w:rsidRPr="0060049D">
        <w:rPr>
          <w:rFonts w:ascii="Arial Mäori" w:hAnsi="Arial Mäori" w:cs="Arial Mäori"/>
          <w:color w:val="000000"/>
          <w:sz w:val="22"/>
        </w:rPr>
        <w:t xml:space="preserve">to endocarditis (e.g., injection drug use) suggest the diagnosis, as do </w:t>
      </w:r>
      <w:r w:rsidR="0060049D" w:rsidRPr="0060049D">
        <w:rPr>
          <w:rFonts w:ascii="Arial Mäori" w:hAnsi="Arial Mäori" w:cs="Arial Mäori"/>
          <w:color w:val="000000"/>
          <w:sz w:val="22"/>
        </w:rPr>
        <w:t>bacteraemia</w:t>
      </w:r>
      <w:r w:rsidRPr="0060049D">
        <w:rPr>
          <w:rFonts w:ascii="Arial Mäori" w:hAnsi="Arial Mäori" w:cs="Arial Mäori"/>
          <w:color w:val="000000"/>
          <w:sz w:val="22"/>
        </w:rPr>
        <w:t xml:space="preserve"> with organisms that frequently cause endocarditis, otherwise-unexplained arterial emboli, and progressive cardiac valvular incompetence. In patients with sub-acute presentations, fever is typically low-grade and rarely exceeds 39.4°C; in contrast, temperatures of 39.4°–</w:t>
      </w:r>
      <w:r w:rsidR="001418E1">
        <w:rPr>
          <w:rFonts w:ascii="Arial Mäori" w:hAnsi="Arial Mäori" w:cs="Arial Mäori"/>
          <w:color w:val="000000"/>
          <w:sz w:val="22"/>
        </w:rPr>
        <w:t xml:space="preserve"> </w:t>
      </w:r>
      <w:r w:rsidRPr="0060049D">
        <w:rPr>
          <w:rFonts w:ascii="Arial Mäori" w:hAnsi="Arial Mäori" w:cs="Arial Mäori"/>
          <w:color w:val="000000"/>
          <w:sz w:val="22"/>
        </w:rPr>
        <w:t xml:space="preserve">40°C are often noted in acute endocarditis </w:t>
      </w:r>
      <w:r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4" w:tooltip="Fauci, 2008 #678" w:history="1">
        <w:r w:rsidR="001418E1" w:rsidRPr="00E96985">
          <w:rPr>
            <w:rFonts w:ascii="Arial Mäori" w:hAnsi="Arial Mäori" w:cs="Arial Mäori"/>
            <w:noProof/>
            <w:color w:val="000000"/>
            <w:sz w:val="22"/>
            <w:vertAlign w:val="superscript"/>
          </w:rPr>
          <w:t>4</w:t>
        </w:r>
      </w:hyperlink>
      <w:r w:rsidR="00E96985" w:rsidRPr="00E96985">
        <w:rPr>
          <w:rFonts w:ascii="Arial Mäori" w:hAnsi="Arial Mäori" w:cs="Arial Mäori"/>
          <w:noProof/>
          <w:color w:val="000000"/>
          <w:sz w:val="22"/>
          <w:vertAlign w:val="superscript"/>
        </w:rPr>
        <w:t>)</w:t>
      </w:r>
      <w:r w:rsidRPr="0060049D">
        <w:rPr>
          <w:rFonts w:ascii="Arial Mäori" w:hAnsi="Arial Mäori" w:cs="Arial Mäori"/>
          <w:color w:val="000000"/>
          <w:sz w:val="22"/>
        </w:rPr>
        <w:fldChar w:fldCharType="end"/>
      </w:r>
      <w:r w:rsidRPr="0060049D">
        <w:rPr>
          <w:rFonts w:ascii="Arial Mäori" w:hAnsi="Arial Mäori" w:cs="Arial Mäori"/>
          <w:color w:val="000000"/>
          <w:sz w:val="22"/>
        </w:rPr>
        <w:t xml:space="preserve">. Fever may be blunted or absent in patients who are elderly or severely debilitated or who have marked cardiac or renal failure.  In acute endocarditis involving a normal valve, murmurs may be absent initially but ultimately are detected in 85% of cases. Congestive heart failure (CHF) develops in 30–40% of patients; it is usually a consequence of valvular dysfunction but occasionally is due to endocarditis-associated myocarditis or an intracardiac fistula. Emboli to a coronary artery occur in 2% of patients and may result in myocardial infarction.  Echocardiography and blood cultures confirm diagnosis whilst treatment comprises anti-microbial treatment or surgical intervention </w:t>
      </w:r>
      <w:r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4" w:tooltip="Fauci, 2008 #678" w:history="1">
        <w:r w:rsidR="001418E1" w:rsidRPr="00E96985">
          <w:rPr>
            <w:rFonts w:ascii="Arial Mäori" w:hAnsi="Arial Mäori" w:cs="Arial Mäori"/>
            <w:noProof/>
            <w:color w:val="000000"/>
            <w:sz w:val="22"/>
            <w:vertAlign w:val="superscript"/>
          </w:rPr>
          <w:t>4</w:t>
        </w:r>
      </w:hyperlink>
      <w:r w:rsidR="00E96985" w:rsidRPr="00E96985">
        <w:rPr>
          <w:rFonts w:ascii="Arial Mäori" w:hAnsi="Arial Mäori" w:cs="Arial Mäori"/>
          <w:noProof/>
          <w:color w:val="000000"/>
          <w:sz w:val="22"/>
          <w:vertAlign w:val="superscript"/>
        </w:rPr>
        <w:t>)</w:t>
      </w:r>
      <w:r w:rsidRPr="0060049D">
        <w:rPr>
          <w:rFonts w:ascii="Arial Mäori" w:hAnsi="Arial Mäori" w:cs="Arial Mäori"/>
          <w:color w:val="000000"/>
          <w:sz w:val="22"/>
        </w:rPr>
        <w:fldChar w:fldCharType="end"/>
      </w:r>
      <w:r w:rsidRPr="0060049D">
        <w:rPr>
          <w:rFonts w:ascii="Arial Mäori" w:hAnsi="Arial Mäori" w:cs="Arial Mäori"/>
          <w:color w:val="000000"/>
          <w:sz w:val="22"/>
        </w:rPr>
        <w:t>.</w:t>
      </w:r>
    </w:p>
    <w:p w:rsidR="00FD0607" w:rsidRPr="0060049D" w:rsidRDefault="00FD0607" w:rsidP="0060049D">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Pericarditis is the inflammation of the pericardium (sac enclosing the heart).  Pericarditis may present as acute or chronic and usually involves chest pain which may</w:t>
      </w:r>
      <w:r w:rsidR="001418E1">
        <w:rPr>
          <w:rFonts w:ascii="Arial Mäori" w:hAnsi="Arial Mäori" w:cs="Arial Mäori"/>
          <w:color w:val="000000"/>
          <w:sz w:val="22"/>
        </w:rPr>
        <w:t xml:space="preserve"> lead to pericardial effusion or</w:t>
      </w:r>
      <w:r w:rsidRPr="0060049D">
        <w:rPr>
          <w:rFonts w:ascii="Arial Mäori" w:hAnsi="Arial Mäori" w:cs="Arial Mäori"/>
          <w:color w:val="000000"/>
          <w:sz w:val="22"/>
        </w:rPr>
        <w:t xml:space="preserve"> cardiac tamponade </w:t>
      </w:r>
      <w:r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4" w:tooltip="Fauci, 2008 #678" w:history="1">
        <w:r w:rsidR="001418E1" w:rsidRPr="00E96985">
          <w:rPr>
            <w:rFonts w:ascii="Arial Mäori" w:hAnsi="Arial Mäori" w:cs="Arial Mäori"/>
            <w:noProof/>
            <w:color w:val="000000"/>
            <w:sz w:val="22"/>
            <w:vertAlign w:val="superscript"/>
          </w:rPr>
          <w:t>4</w:t>
        </w:r>
      </w:hyperlink>
      <w:r w:rsidR="00E96985" w:rsidRPr="00E96985">
        <w:rPr>
          <w:rFonts w:ascii="Arial Mäori" w:hAnsi="Arial Mäori" w:cs="Arial Mäori"/>
          <w:noProof/>
          <w:color w:val="000000"/>
          <w:sz w:val="22"/>
          <w:vertAlign w:val="superscript"/>
        </w:rPr>
        <w:t>)</w:t>
      </w:r>
      <w:r w:rsidRPr="0060049D">
        <w:rPr>
          <w:rFonts w:ascii="Arial Mäori" w:hAnsi="Arial Mäori" w:cs="Arial Mäori"/>
          <w:color w:val="000000"/>
          <w:sz w:val="22"/>
        </w:rPr>
        <w:fldChar w:fldCharType="end"/>
      </w:r>
      <w:r w:rsidRPr="0060049D">
        <w:rPr>
          <w:rFonts w:ascii="Arial Mäori" w:hAnsi="Arial Mäori" w:cs="Arial Mäori"/>
          <w:color w:val="000000"/>
          <w:sz w:val="22"/>
        </w:rPr>
        <w:t xml:space="preserve">.  Weakness, fatigue, weight gain, increased abdominal girth, abdominal discomfort, a protuberant abdomen and oedema are common with chronic patients.  The condition is detected with MRI or echocardiography and treatment may include surgical intervention </w:t>
      </w:r>
      <w:r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4" w:tooltip="Fauci, 2008 #678" w:history="1">
        <w:r w:rsidR="001418E1" w:rsidRPr="00E96985">
          <w:rPr>
            <w:rFonts w:ascii="Arial Mäori" w:hAnsi="Arial Mäori" w:cs="Arial Mäori"/>
            <w:noProof/>
            <w:color w:val="000000"/>
            <w:sz w:val="22"/>
            <w:vertAlign w:val="superscript"/>
          </w:rPr>
          <w:t>4</w:t>
        </w:r>
      </w:hyperlink>
      <w:r w:rsidR="00E96985" w:rsidRPr="00E96985">
        <w:rPr>
          <w:rFonts w:ascii="Arial Mäori" w:hAnsi="Arial Mäori" w:cs="Arial Mäori"/>
          <w:noProof/>
          <w:color w:val="000000"/>
          <w:sz w:val="22"/>
          <w:vertAlign w:val="superscript"/>
        </w:rPr>
        <w:t>)</w:t>
      </w:r>
      <w:r w:rsidRPr="0060049D">
        <w:rPr>
          <w:rFonts w:ascii="Arial Mäori" w:hAnsi="Arial Mäori" w:cs="Arial Mäori"/>
          <w:color w:val="000000"/>
          <w:sz w:val="22"/>
        </w:rPr>
        <w:fldChar w:fldCharType="end"/>
      </w:r>
      <w:r w:rsidRPr="0060049D">
        <w:rPr>
          <w:rFonts w:ascii="Arial Mäori" w:hAnsi="Arial Mäori" w:cs="Arial Mäori"/>
          <w:color w:val="000000"/>
          <w:sz w:val="22"/>
        </w:rPr>
        <w:t>.</w:t>
      </w:r>
    </w:p>
    <w:p w:rsidR="00535840" w:rsidRDefault="009F6B0D" w:rsidP="00FD0607">
      <w:pPr>
        <w:pStyle w:val="Heading2"/>
      </w:pPr>
      <w:bookmarkStart w:id="185" w:name="_Toc360641415"/>
      <w:bookmarkStart w:id="186" w:name="_Toc360714626"/>
      <w:bookmarkStart w:id="187" w:name="_Toc363122562"/>
      <w:bookmarkStart w:id="188" w:name="_Toc365276919"/>
      <w:r>
        <w:lastRenderedPageBreak/>
        <w:t>Prevalence and Incidence</w:t>
      </w:r>
      <w:bookmarkEnd w:id="185"/>
      <w:bookmarkEnd w:id="186"/>
      <w:bookmarkEnd w:id="187"/>
      <w:bookmarkEnd w:id="188"/>
    </w:p>
    <w:p w:rsidR="00F134A9" w:rsidRPr="0060049D" w:rsidRDefault="00F134A9" w:rsidP="0060049D">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In 2008</w:t>
      </w:r>
      <w:r w:rsidR="00FD0607" w:rsidRPr="0060049D">
        <w:rPr>
          <w:rFonts w:ascii="Arial Mäori" w:hAnsi="Arial Mäori" w:cs="Arial Mäori"/>
          <w:color w:val="000000"/>
          <w:sz w:val="22"/>
        </w:rPr>
        <w:t>,</w:t>
      </w:r>
      <w:r w:rsidRPr="0060049D">
        <w:rPr>
          <w:rFonts w:ascii="Arial Mäori" w:hAnsi="Arial Mäori" w:cs="Arial Mäori"/>
          <w:color w:val="000000"/>
          <w:sz w:val="22"/>
        </w:rPr>
        <w:t xml:space="preserve"> New Zealand prevalence</w:t>
      </w:r>
      <w:r w:rsidR="00FD0607" w:rsidRPr="0060049D">
        <w:rPr>
          <w:rFonts w:ascii="Arial Mäori" w:hAnsi="Arial Mäori" w:cs="Arial Mäori"/>
          <w:color w:val="000000"/>
          <w:sz w:val="22"/>
        </w:rPr>
        <w:t xml:space="preserve"> of inflammatory heart disease</w:t>
      </w:r>
      <w:r w:rsidRPr="0060049D">
        <w:rPr>
          <w:rFonts w:ascii="Arial Mäori" w:hAnsi="Arial Mäori" w:cs="Arial Mäori"/>
          <w:color w:val="000000"/>
          <w:sz w:val="22"/>
        </w:rPr>
        <w:t xml:space="preserve"> (with a look back period of ten years) was 212 per 100,000 </w:t>
      </w:r>
      <w:r w:rsidR="00FD0607" w:rsidRPr="0060049D">
        <w:rPr>
          <w:rFonts w:ascii="Arial Mäori" w:hAnsi="Arial Mäori" w:cs="Arial Mäori"/>
          <w:color w:val="000000"/>
          <w:sz w:val="22"/>
        </w:rPr>
        <w:fldChar w:fldCharType="begin"/>
      </w:r>
      <w:r w:rsidR="00E96985">
        <w:rPr>
          <w:rFonts w:ascii="Arial Mäori" w:hAnsi="Arial Mäori" w:cs="Arial Mäori"/>
          <w:color w:val="000000"/>
          <w:sz w:val="22"/>
        </w:rPr>
        <w:instrText xml:space="preserve"> ADDIN EN.CITE &lt;EndNote&gt;&lt;Cite&gt;&lt;Author&gt;Ministry of Health&lt;/Author&gt;&lt;Year&gt;2013&lt;/Year&gt;&lt;RecNum&gt;739&lt;/RecNum&gt;&lt;DisplayText&gt;&lt;style face="superscript"&gt;(15)&lt;/style&gt;&lt;/DisplayText&gt;&lt;record&gt;&lt;rec-number&gt;739&lt;/rec-number&gt;&lt;foreign-keys&gt;&lt;key app="EN" db-id="paxef0v91tx5e7eaev8xxf2xd92zvrfrv592"&gt;739&lt;/key&gt;&lt;/foreign-keys&gt;&lt;ref-type name="Dataset"&gt;59&lt;/ref-type&gt;&lt;contributors&gt;&lt;authors&gt;&lt;author&gt;Ministry of Health,&lt;/author&gt;&lt;/authors&gt;&lt;secondary-authors&gt;&lt;author&gt;Ministry of Health,&lt;/author&gt;&lt;/secondary-authors&gt;&lt;/contributors&gt;&lt;titles&gt;&lt;title&gt;Health Tracker&lt;/title&gt;&lt;/titles&gt;&lt;dates&gt;&lt;year&gt;2013&lt;/year&gt;&lt;/dates&gt;&lt;pub-location&gt;Wellington&lt;/pub-location&gt;&lt;urls&gt;&lt;/urls&gt;&lt;/record&gt;&lt;/Cite&gt;&lt;/EndNote&gt;</w:instrText>
      </w:r>
      <w:r w:rsidR="00FD0607" w:rsidRPr="0060049D">
        <w:rPr>
          <w:rFonts w:ascii="Arial Mäori" w:hAnsi="Arial Mäori" w:cs="Arial Mäori"/>
          <w:color w:val="000000"/>
          <w:sz w:val="22"/>
        </w:rPr>
        <w:fldChar w:fldCharType="separate"/>
      </w:r>
      <w:r w:rsidR="00E96985" w:rsidRPr="00E96985">
        <w:rPr>
          <w:rFonts w:ascii="Arial Mäori" w:hAnsi="Arial Mäori" w:cs="Arial Mäori"/>
          <w:noProof/>
          <w:color w:val="000000"/>
          <w:sz w:val="22"/>
          <w:vertAlign w:val="superscript"/>
        </w:rPr>
        <w:t>(</w:t>
      </w:r>
      <w:hyperlink w:anchor="_ENREF_15" w:tooltip="Ministry of Health, 2013 #739" w:history="1">
        <w:r w:rsidR="001418E1" w:rsidRPr="00E96985">
          <w:rPr>
            <w:rFonts w:ascii="Arial Mäori" w:hAnsi="Arial Mäori" w:cs="Arial Mäori"/>
            <w:noProof/>
            <w:color w:val="000000"/>
            <w:sz w:val="22"/>
            <w:vertAlign w:val="superscript"/>
          </w:rPr>
          <w:t>15</w:t>
        </w:r>
      </w:hyperlink>
      <w:r w:rsidR="00E96985" w:rsidRPr="00E96985">
        <w:rPr>
          <w:rFonts w:ascii="Arial Mäori" w:hAnsi="Arial Mäori" w:cs="Arial Mäori"/>
          <w:noProof/>
          <w:color w:val="000000"/>
          <w:sz w:val="22"/>
          <w:vertAlign w:val="superscript"/>
        </w:rPr>
        <w:t>)</w:t>
      </w:r>
      <w:r w:rsidR="00FD0607" w:rsidRPr="0060049D">
        <w:rPr>
          <w:rFonts w:ascii="Arial Mäori" w:hAnsi="Arial Mäori" w:cs="Arial Mäori"/>
          <w:color w:val="000000"/>
          <w:sz w:val="22"/>
        </w:rPr>
        <w:fldChar w:fldCharType="end"/>
      </w:r>
      <w:r w:rsidR="00FD0607" w:rsidRPr="0060049D">
        <w:rPr>
          <w:rFonts w:ascii="Arial Mäori" w:hAnsi="Arial Mäori" w:cs="Arial Mäori"/>
          <w:color w:val="000000"/>
          <w:sz w:val="22"/>
        </w:rPr>
        <w:t>.</w:t>
      </w:r>
      <w:r w:rsidRPr="0060049D">
        <w:rPr>
          <w:rFonts w:ascii="Arial Mäori" w:hAnsi="Arial Mäori" w:cs="Arial Mäori"/>
          <w:color w:val="000000"/>
          <w:sz w:val="22"/>
        </w:rPr>
        <w:t xml:space="preserve">  This equated to about 9,000 individuals.  Prevalence was higher for men than women (276 and 152 per 100,000 respectively) with prevalence for both groups increasing from the age of forty-five. Prevalence of inflammatory heart disease in Māori was 194 per 100,000 compared with 215 per 100,000 for non-Māori.</w:t>
      </w:r>
    </w:p>
    <w:p w:rsidR="00927C7E" w:rsidRDefault="00927C7E" w:rsidP="00927C7E">
      <w:pPr>
        <w:pStyle w:val="Heading2"/>
      </w:pPr>
      <w:bookmarkStart w:id="189" w:name="_Toc358124616"/>
      <w:bookmarkStart w:id="190" w:name="_Toc360641416"/>
      <w:bookmarkStart w:id="191" w:name="_Toc360714627"/>
      <w:bookmarkStart w:id="192" w:name="_Toc363122563"/>
      <w:bookmarkStart w:id="193" w:name="_Toc365276920"/>
      <w:r>
        <w:t>Health Outcomes</w:t>
      </w:r>
      <w:bookmarkEnd w:id="189"/>
      <w:bookmarkEnd w:id="190"/>
      <w:bookmarkEnd w:id="191"/>
      <w:bookmarkEnd w:id="192"/>
      <w:bookmarkEnd w:id="193"/>
    </w:p>
    <w:p w:rsidR="00AE5209" w:rsidRPr="0060049D" w:rsidRDefault="00403D3B" w:rsidP="0060049D">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This disease contributed to 43 deaths and 1,351</w:t>
      </w:r>
      <w:r w:rsidR="000533FE" w:rsidRPr="0060049D">
        <w:rPr>
          <w:rFonts w:ascii="Arial Mäori" w:hAnsi="Arial Mäori" w:cs="Arial Mäori"/>
          <w:color w:val="000000"/>
          <w:sz w:val="22"/>
        </w:rPr>
        <w:t xml:space="preserve"> DALYs in 2006</w:t>
      </w:r>
      <w:r w:rsidRPr="0060049D">
        <w:rPr>
          <w:rFonts w:ascii="Arial Mäori" w:hAnsi="Arial Mäori" w:cs="Arial Mäori"/>
          <w:color w:val="000000"/>
          <w:sz w:val="22"/>
        </w:rPr>
        <w:t xml:space="preserve"> (less than 1</w:t>
      </w:r>
      <w:r w:rsidR="004C7E01" w:rsidRPr="0060049D">
        <w:rPr>
          <w:rFonts w:ascii="Arial Mäori" w:hAnsi="Arial Mäori" w:cs="Arial Mäori"/>
          <w:color w:val="000000"/>
          <w:sz w:val="22"/>
        </w:rPr>
        <w:t>.0</w:t>
      </w:r>
      <w:r w:rsidRPr="0060049D">
        <w:rPr>
          <w:rFonts w:ascii="Arial Mäori" w:hAnsi="Arial Mäori" w:cs="Arial Mäori"/>
          <w:color w:val="000000"/>
          <w:sz w:val="22"/>
        </w:rPr>
        <w:t>% of deaths and DALYs</w:t>
      </w:r>
      <w:r w:rsidR="00FD0607" w:rsidRPr="0060049D">
        <w:rPr>
          <w:rFonts w:ascii="Arial Mäori" w:hAnsi="Arial Mäori" w:cs="Arial Mäori"/>
          <w:color w:val="000000"/>
          <w:sz w:val="22"/>
        </w:rPr>
        <w:t xml:space="preserve">).  </w:t>
      </w:r>
      <w:r w:rsidR="00AE5209" w:rsidRPr="0060049D">
        <w:rPr>
          <w:rFonts w:ascii="Arial Mäori" w:hAnsi="Arial Mäori" w:cs="Arial Mäori"/>
          <w:color w:val="000000"/>
          <w:sz w:val="22"/>
        </w:rPr>
        <w:t xml:space="preserve">Noteworthy is that patients aged </w:t>
      </w:r>
      <w:proofErr w:type="gramStart"/>
      <w:r w:rsidR="00AE5209" w:rsidRPr="0060049D">
        <w:rPr>
          <w:rFonts w:ascii="Arial Mäori" w:hAnsi="Arial Mäori" w:cs="Arial Mäori"/>
          <w:color w:val="000000"/>
          <w:sz w:val="22"/>
        </w:rPr>
        <w:t>under</w:t>
      </w:r>
      <w:proofErr w:type="gramEnd"/>
      <w:r w:rsidR="00AE5209" w:rsidRPr="0060049D">
        <w:rPr>
          <w:rFonts w:ascii="Arial Mäori" w:hAnsi="Arial Mäori" w:cs="Arial Mäori"/>
          <w:color w:val="000000"/>
          <w:sz w:val="22"/>
        </w:rPr>
        <w:t xml:space="preserve"> </w:t>
      </w:r>
      <w:r w:rsidR="000B3E5D" w:rsidRPr="0060049D">
        <w:rPr>
          <w:rFonts w:ascii="Arial Mäori" w:hAnsi="Arial Mäori" w:cs="Arial Mäori"/>
          <w:color w:val="000000"/>
          <w:sz w:val="22"/>
        </w:rPr>
        <w:t xml:space="preserve">4 years made up </w:t>
      </w:r>
      <w:r w:rsidR="00FD0607" w:rsidRPr="0060049D">
        <w:rPr>
          <w:rFonts w:ascii="Arial Mäori" w:hAnsi="Arial Mäori" w:cs="Arial Mäori"/>
          <w:color w:val="000000"/>
          <w:sz w:val="22"/>
        </w:rPr>
        <w:t>the largest proportion</w:t>
      </w:r>
      <w:r w:rsidR="000B3E5D" w:rsidRPr="0060049D">
        <w:rPr>
          <w:rFonts w:ascii="Arial Mäori" w:hAnsi="Arial Mäori" w:cs="Arial Mäori"/>
          <w:color w:val="000000"/>
          <w:sz w:val="22"/>
        </w:rPr>
        <w:t xml:space="preserve"> of DALYs lost (13.4%).</w:t>
      </w:r>
    </w:p>
    <w:p w:rsidR="00927C7E" w:rsidRDefault="00927C7E" w:rsidP="00927C7E">
      <w:pPr>
        <w:pStyle w:val="Heading2"/>
      </w:pPr>
      <w:bookmarkStart w:id="194" w:name="_Toc358124617"/>
      <w:bookmarkStart w:id="195" w:name="_Toc360641417"/>
      <w:bookmarkStart w:id="196" w:name="_Toc360714628"/>
      <w:bookmarkStart w:id="197" w:name="_Toc363122564"/>
      <w:bookmarkStart w:id="198" w:name="_Toc365276921"/>
      <w:r>
        <w:t>Health Utilisation and Cost</w:t>
      </w:r>
      <w:bookmarkEnd w:id="194"/>
      <w:bookmarkEnd w:id="195"/>
      <w:bookmarkEnd w:id="196"/>
      <w:bookmarkEnd w:id="197"/>
      <w:bookmarkEnd w:id="198"/>
    </w:p>
    <w:p w:rsidR="00653959" w:rsidRPr="0060049D" w:rsidRDefault="004D6A1E" w:rsidP="0060049D">
      <w:pPr>
        <w:spacing w:after="120" w:line="360" w:lineRule="auto"/>
        <w:jc w:val="both"/>
        <w:rPr>
          <w:rFonts w:ascii="Arial Mäori" w:hAnsi="Arial Mäori" w:cs="Arial Mäori"/>
          <w:color w:val="000000"/>
          <w:sz w:val="22"/>
        </w:rPr>
      </w:pPr>
      <w:r w:rsidRPr="0060049D">
        <w:rPr>
          <w:rFonts w:ascii="Arial Mäori" w:hAnsi="Arial Mäori" w:cs="Arial Mäori"/>
          <w:color w:val="000000"/>
          <w:sz w:val="22"/>
        </w:rPr>
        <w:t xml:space="preserve">In terms of </w:t>
      </w:r>
      <w:r w:rsidR="00DC4E50" w:rsidRPr="0060049D">
        <w:rPr>
          <w:rFonts w:ascii="Arial Mäori" w:hAnsi="Arial Mäori" w:cs="Arial Mäori"/>
          <w:color w:val="000000"/>
          <w:sz w:val="22"/>
        </w:rPr>
        <w:t xml:space="preserve">2011/12 </w:t>
      </w:r>
      <w:r w:rsidRPr="0060049D">
        <w:rPr>
          <w:rFonts w:ascii="Arial Mäori" w:hAnsi="Arial Mäori" w:cs="Arial Mäori"/>
          <w:color w:val="000000"/>
          <w:sz w:val="22"/>
        </w:rPr>
        <w:t>hospitalisations</w:t>
      </w:r>
      <w:r w:rsidR="0060049D">
        <w:rPr>
          <w:rFonts w:ascii="Arial Mäori" w:hAnsi="Arial Mäori" w:cs="Arial Mäori"/>
          <w:color w:val="000000"/>
          <w:sz w:val="22"/>
        </w:rPr>
        <w:t>,</w:t>
      </w:r>
      <w:r w:rsidRPr="0060049D">
        <w:rPr>
          <w:rFonts w:ascii="Arial Mäori" w:hAnsi="Arial Mäori" w:cs="Arial Mäori"/>
          <w:color w:val="000000"/>
          <w:sz w:val="22"/>
        </w:rPr>
        <w:t xml:space="preserve"> </w:t>
      </w:r>
      <w:r w:rsidR="00FD0607" w:rsidRPr="0060049D">
        <w:rPr>
          <w:rFonts w:ascii="Arial Mäori" w:hAnsi="Arial Mäori" w:cs="Arial Mäori"/>
          <w:color w:val="000000"/>
          <w:sz w:val="22"/>
        </w:rPr>
        <w:t>i</w:t>
      </w:r>
      <w:r w:rsidR="00653959" w:rsidRPr="0060049D">
        <w:rPr>
          <w:rFonts w:ascii="Arial Mäori" w:hAnsi="Arial Mäori" w:cs="Arial Mäori"/>
          <w:color w:val="000000"/>
          <w:sz w:val="22"/>
        </w:rPr>
        <w:t>nflammatory heart disease</w:t>
      </w:r>
      <w:r w:rsidR="001418E1">
        <w:rPr>
          <w:rFonts w:ascii="Arial Mäori" w:hAnsi="Arial Mäori" w:cs="Arial Mäori"/>
          <w:color w:val="000000"/>
          <w:sz w:val="22"/>
        </w:rPr>
        <w:t>s</w:t>
      </w:r>
      <w:r w:rsidR="00653959" w:rsidRPr="0060049D">
        <w:rPr>
          <w:rFonts w:ascii="Arial Mäori" w:hAnsi="Arial Mäori" w:cs="Arial Mäori"/>
          <w:color w:val="000000"/>
          <w:sz w:val="22"/>
        </w:rPr>
        <w:t xml:space="preserve"> cost the health system $7 million.  This cost comprised 523 hospitalisations involving 419 individuals (1.2 hospitalisations per person) at an average cost of $16,000.  Average length of stay was 8.4 days.</w:t>
      </w:r>
    </w:p>
    <w:p w:rsidR="00927C7E" w:rsidRDefault="001B31A2" w:rsidP="009F3F4E">
      <w:pPr>
        <w:pStyle w:val="Heading1"/>
      </w:pPr>
      <w:bookmarkStart w:id="199" w:name="_Toc365276922"/>
      <w:r>
        <w:t>Peripheral Vascular Disease</w:t>
      </w:r>
      <w:r w:rsidR="009F6B0D">
        <w:t xml:space="preserve"> (PVD)</w:t>
      </w:r>
      <w:bookmarkEnd w:id="199"/>
    </w:p>
    <w:p w:rsidR="00927C7E" w:rsidRDefault="00927C7E" w:rsidP="00927C7E">
      <w:pPr>
        <w:pStyle w:val="Heading2"/>
      </w:pPr>
      <w:bookmarkStart w:id="200" w:name="_Toc358124629"/>
      <w:bookmarkStart w:id="201" w:name="_Toc360641429"/>
      <w:bookmarkStart w:id="202" w:name="_Toc360714630"/>
      <w:bookmarkStart w:id="203" w:name="_Toc363122566"/>
      <w:bookmarkStart w:id="204" w:name="_Toc365276923"/>
      <w:r>
        <w:t>Disease Description</w:t>
      </w:r>
      <w:bookmarkEnd w:id="200"/>
      <w:bookmarkEnd w:id="201"/>
      <w:bookmarkEnd w:id="202"/>
      <w:bookmarkEnd w:id="203"/>
      <w:bookmarkEnd w:id="204"/>
    </w:p>
    <w:p w:rsidR="00DC178D" w:rsidRPr="00164F8C" w:rsidRDefault="00DC178D"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Peripheral vascular disease </w:t>
      </w:r>
      <w:r w:rsidR="00025690" w:rsidRPr="00164F8C">
        <w:rPr>
          <w:rFonts w:ascii="Arial" w:hAnsi="Arial" w:cs="Arial"/>
          <w:sz w:val="22"/>
        </w:rPr>
        <w:t xml:space="preserve">(PVD) </w:t>
      </w:r>
      <w:r w:rsidRPr="00164F8C">
        <w:rPr>
          <w:rFonts w:ascii="Arial" w:hAnsi="Arial" w:cs="Arial"/>
          <w:sz w:val="22"/>
        </w:rPr>
        <w:t>refers to all diseases of the arter</w:t>
      </w:r>
      <w:r w:rsidR="009F6B0D" w:rsidRPr="00164F8C">
        <w:rPr>
          <w:rFonts w:ascii="Arial" w:hAnsi="Arial" w:cs="Arial"/>
          <w:sz w:val="22"/>
        </w:rPr>
        <w:t>ies, veins and lymphatic system</w:t>
      </w:r>
      <w:r w:rsidR="00C22D87" w:rsidRPr="00164F8C">
        <w:rPr>
          <w:rFonts w:ascii="Arial" w:hAnsi="Arial" w:cs="Arial"/>
          <w:sz w:val="22"/>
        </w:rPr>
        <w:t xml:space="preserve"> </w:t>
      </w:r>
      <w:r w:rsidR="00C22D87" w:rsidRPr="00164F8C">
        <w:rPr>
          <w:rFonts w:ascii="Arial" w:hAnsi="Arial" w:cs="Arial"/>
          <w:sz w:val="22"/>
        </w:rPr>
        <w:fldChar w:fldCharType="begin"/>
      </w:r>
      <w:r w:rsidR="00E96985">
        <w:rPr>
          <w:rFonts w:ascii="Arial" w:hAnsi="Arial" w:cs="Arial"/>
          <w:sz w:val="22"/>
        </w:rPr>
        <w:instrText xml:space="preserve"> ADDIN EN.CITE &lt;EndNote&gt;&lt;Cite&gt;&lt;Author&gt;Creager&lt;/Author&gt;&lt;Year&gt;2008&lt;/Year&gt;&lt;RecNum&gt;724&lt;/RecNum&gt;&lt;DisplayText&gt;&lt;style face="superscript"&gt;(22)&lt;/style&gt;&lt;/DisplayText&gt;&lt;record&gt;&lt;rec-number&gt;724&lt;/rec-number&gt;&lt;foreign-keys&gt;&lt;key app="EN" db-id="paxef0v91tx5e7eaev8xxf2xd92zvrfrv592"&gt;724&lt;/key&gt;&lt;/foreign-keys&gt;&lt;ref-type name="Journal Article"&gt;17&lt;/ref-type&gt;&lt;contributors&gt;&lt;authors&gt;&lt;author&gt;Creager, Mark A&lt;/author&gt;&lt;author&gt;White, Christopher J&lt;/author&gt;&lt;author&gt;Hiatt, William R&lt;/author&gt;&lt;author&gt;Criqui, Michael H&lt;/author&gt;&lt;author&gt;Josephs, Shellie C&lt;/author&gt;&lt;author&gt;Alberts, Mark J&lt;/author&gt;&lt;author&gt;Pearce, William H&lt;/author&gt;&lt;author&gt;Gray, Bruce H&lt;/author&gt;&lt;author&gt;Rocha-Singh, Krishna J&lt;/author&gt;&lt;/authors&gt;&lt;/contributors&gt;&lt;titles&gt;&lt;title&gt;Atherosclerotic Peripheral Vascular Disease Symposium II&lt;/title&gt;&lt;secondary-title&gt;Circulation&lt;/secondary-title&gt;&lt;/titles&gt;&lt;periodical&gt;&lt;full-title&gt;Circulation&lt;/full-title&gt;&lt;/periodical&gt;&lt;pages&gt;2811-2825&lt;/pages&gt;&lt;volume&gt;118&lt;/volume&gt;&lt;number&gt;25&lt;/number&gt;&lt;dates&gt;&lt;year&gt;2008&lt;/year&gt;&lt;/dates&gt;&lt;isbn&gt;0009-7322&lt;/isbn&gt;&lt;urls&gt;&lt;/urls&gt;&lt;/record&gt;&lt;/Cite&gt;&lt;/EndNote&gt;</w:instrText>
      </w:r>
      <w:r w:rsidR="00C22D87" w:rsidRPr="00164F8C">
        <w:rPr>
          <w:rFonts w:ascii="Arial" w:hAnsi="Arial" w:cs="Arial"/>
          <w:sz w:val="22"/>
        </w:rPr>
        <w:fldChar w:fldCharType="separate"/>
      </w:r>
      <w:r w:rsidR="00E96985" w:rsidRPr="00E96985">
        <w:rPr>
          <w:rFonts w:ascii="Arial" w:hAnsi="Arial" w:cs="Arial"/>
          <w:noProof/>
          <w:sz w:val="22"/>
          <w:vertAlign w:val="superscript"/>
        </w:rPr>
        <w:t>(</w:t>
      </w:r>
      <w:hyperlink w:anchor="_ENREF_22" w:tooltip="Creager, 2008 #724" w:history="1">
        <w:r w:rsidR="001418E1" w:rsidRPr="00E96985">
          <w:rPr>
            <w:rFonts w:ascii="Arial" w:hAnsi="Arial" w:cs="Arial"/>
            <w:noProof/>
            <w:sz w:val="22"/>
            <w:vertAlign w:val="superscript"/>
          </w:rPr>
          <w:t>22</w:t>
        </w:r>
      </w:hyperlink>
      <w:r w:rsidR="00E96985" w:rsidRPr="00E96985">
        <w:rPr>
          <w:rFonts w:ascii="Arial" w:hAnsi="Arial" w:cs="Arial"/>
          <w:noProof/>
          <w:sz w:val="22"/>
          <w:vertAlign w:val="superscript"/>
        </w:rPr>
        <w:t>)</w:t>
      </w:r>
      <w:r w:rsidR="00C22D87" w:rsidRPr="00164F8C">
        <w:rPr>
          <w:rFonts w:ascii="Arial" w:hAnsi="Arial" w:cs="Arial"/>
          <w:sz w:val="22"/>
        </w:rPr>
        <w:fldChar w:fldCharType="end"/>
      </w:r>
      <w:r w:rsidRPr="00164F8C">
        <w:rPr>
          <w:rFonts w:ascii="Arial" w:hAnsi="Arial" w:cs="Arial"/>
          <w:sz w:val="22"/>
        </w:rPr>
        <w:t xml:space="preserve">. </w:t>
      </w:r>
      <w:r w:rsidR="00D57A1F" w:rsidRPr="00164F8C">
        <w:rPr>
          <w:rFonts w:ascii="Arial" w:hAnsi="Arial" w:cs="Arial"/>
          <w:sz w:val="22"/>
        </w:rPr>
        <w:t xml:space="preserve"> </w:t>
      </w:r>
      <w:r w:rsidRPr="00164F8C">
        <w:rPr>
          <w:rFonts w:ascii="Arial" w:hAnsi="Arial" w:cs="Arial"/>
          <w:sz w:val="22"/>
        </w:rPr>
        <w:t>The most significant group of disorders are those classified as peripheral artery disease</w:t>
      </w:r>
      <w:r w:rsidR="00025690" w:rsidRPr="00164F8C">
        <w:rPr>
          <w:rFonts w:ascii="Arial" w:hAnsi="Arial" w:cs="Arial"/>
          <w:sz w:val="22"/>
        </w:rPr>
        <w:t xml:space="preserve"> (PAD)</w:t>
      </w:r>
      <w:r w:rsidRPr="00164F8C">
        <w:rPr>
          <w:rFonts w:ascii="Arial" w:hAnsi="Arial" w:cs="Arial"/>
          <w:sz w:val="22"/>
        </w:rPr>
        <w:t xml:space="preserve">. </w:t>
      </w:r>
      <w:r w:rsidR="00D57A1F" w:rsidRPr="00164F8C">
        <w:rPr>
          <w:rFonts w:ascii="Arial" w:hAnsi="Arial" w:cs="Arial"/>
          <w:sz w:val="22"/>
        </w:rPr>
        <w:t xml:space="preserve"> </w:t>
      </w:r>
      <w:r w:rsidRPr="00164F8C">
        <w:rPr>
          <w:rFonts w:ascii="Arial" w:hAnsi="Arial" w:cs="Arial"/>
          <w:sz w:val="22"/>
        </w:rPr>
        <w:t xml:space="preserve">This is a clinical disorder in which there is stenosis, occlusion or dilatation of either the aorta or the peripheral arteries. </w:t>
      </w:r>
      <w:r w:rsidR="00D57A1F" w:rsidRPr="00164F8C">
        <w:rPr>
          <w:rFonts w:ascii="Arial" w:hAnsi="Arial" w:cs="Arial"/>
          <w:sz w:val="22"/>
        </w:rPr>
        <w:t xml:space="preserve"> </w:t>
      </w:r>
      <w:r w:rsidRPr="00164F8C">
        <w:rPr>
          <w:rFonts w:ascii="Arial" w:hAnsi="Arial" w:cs="Arial"/>
          <w:sz w:val="22"/>
        </w:rPr>
        <w:t xml:space="preserve">Diseases of the peripheral veins include superficial venous thrombosis, varicose venous and chronic venous insufficiency. </w:t>
      </w:r>
      <w:r w:rsidR="00D57A1F" w:rsidRPr="00164F8C">
        <w:rPr>
          <w:rFonts w:ascii="Arial" w:hAnsi="Arial" w:cs="Arial"/>
          <w:sz w:val="22"/>
        </w:rPr>
        <w:t xml:space="preserve"> </w:t>
      </w:r>
      <w:r w:rsidRPr="00164F8C">
        <w:rPr>
          <w:rFonts w:ascii="Arial" w:hAnsi="Arial" w:cs="Arial"/>
          <w:sz w:val="22"/>
        </w:rPr>
        <w:t xml:space="preserve">Diseases of the peripheral lymphatic system are the least common and the most significant is </w:t>
      </w:r>
      <w:r w:rsidR="00164F8C" w:rsidRPr="00164F8C">
        <w:rPr>
          <w:rFonts w:ascii="Arial" w:hAnsi="Arial" w:cs="Arial"/>
          <w:sz w:val="22"/>
        </w:rPr>
        <w:t>lymphedema</w:t>
      </w:r>
      <w:r w:rsidRPr="00164F8C">
        <w:rPr>
          <w:rFonts w:ascii="Arial" w:hAnsi="Arial" w:cs="Arial"/>
          <w:sz w:val="22"/>
        </w:rPr>
        <w:t xml:space="preserve"> which has a number of primary and secondary causes</w:t>
      </w:r>
      <w:r w:rsidR="00C22D87" w:rsidRPr="00164F8C">
        <w:rPr>
          <w:rFonts w:ascii="Arial" w:hAnsi="Arial" w:cs="Arial"/>
          <w:sz w:val="22"/>
        </w:rPr>
        <w:t xml:space="preserve"> </w:t>
      </w:r>
      <w:r w:rsidR="00C22D87" w:rsidRPr="00164F8C">
        <w:rPr>
          <w:rFonts w:ascii="Arial" w:hAnsi="Arial" w:cs="Arial"/>
          <w:sz w:val="22"/>
        </w:rPr>
        <w:fldChar w:fldCharType="begin"/>
      </w:r>
      <w:r w:rsidR="00E96985">
        <w:rPr>
          <w:rFonts w:ascii="Arial" w:hAnsi="Arial" w:cs="Arial"/>
          <w:sz w:val="22"/>
        </w:rPr>
        <w:instrText xml:space="preserve"> ADDIN EN.CITE &lt;EndNote&gt;&lt;Cite&gt;&lt;Author&gt;Creager&lt;/Author&gt;&lt;Year&gt;2008&lt;/Year&gt;&lt;RecNum&gt;724&lt;/RecNum&gt;&lt;DisplayText&gt;&lt;style face="superscript"&gt;(22)&lt;/style&gt;&lt;/DisplayText&gt;&lt;record&gt;&lt;rec-number&gt;724&lt;/rec-number&gt;&lt;foreign-keys&gt;&lt;key app="EN" db-id="paxef0v91tx5e7eaev8xxf2xd92zvrfrv592"&gt;724&lt;/key&gt;&lt;/foreign-keys&gt;&lt;ref-type name="Journal Article"&gt;17&lt;/ref-type&gt;&lt;contributors&gt;&lt;authors&gt;&lt;author&gt;Creager, Mark A&lt;/author&gt;&lt;author&gt;White, Christopher J&lt;/author&gt;&lt;author&gt;Hiatt, William R&lt;/author&gt;&lt;author&gt;Criqui, Michael H&lt;/author&gt;&lt;author&gt;Josephs, Shellie C&lt;/author&gt;&lt;author&gt;Alberts, Mark J&lt;/author&gt;&lt;author&gt;Pearce, William H&lt;/author&gt;&lt;author&gt;Gray, Bruce H&lt;/author&gt;&lt;author&gt;Rocha-Singh, Krishna J&lt;/author&gt;&lt;/authors&gt;&lt;/contributors&gt;&lt;titles&gt;&lt;title&gt;Atherosclerotic Peripheral Vascular Disease Symposium II&lt;/title&gt;&lt;secondary-title&gt;Circulation&lt;/secondary-title&gt;&lt;/titles&gt;&lt;periodical&gt;&lt;full-title&gt;Circulation&lt;/full-title&gt;&lt;/periodical&gt;&lt;pages&gt;2811-2825&lt;/pages&gt;&lt;volume&gt;118&lt;/volume&gt;&lt;number&gt;25&lt;/number&gt;&lt;dates&gt;&lt;year&gt;2008&lt;/year&gt;&lt;/dates&gt;&lt;isbn&gt;0009-7322&lt;/isbn&gt;&lt;urls&gt;&lt;/urls&gt;&lt;/record&gt;&lt;/Cite&gt;&lt;/EndNote&gt;</w:instrText>
      </w:r>
      <w:r w:rsidR="00C22D87" w:rsidRPr="00164F8C">
        <w:rPr>
          <w:rFonts w:ascii="Arial" w:hAnsi="Arial" w:cs="Arial"/>
          <w:sz w:val="22"/>
        </w:rPr>
        <w:fldChar w:fldCharType="separate"/>
      </w:r>
      <w:r w:rsidR="00E96985" w:rsidRPr="00E96985">
        <w:rPr>
          <w:rFonts w:ascii="Arial" w:hAnsi="Arial" w:cs="Arial"/>
          <w:noProof/>
          <w:sz w:val="22"/>
          <w:vertAlign w:val="superscript"/>
        </w:rPr>
        <w:t>(</w:t>
      </w:r>
      <w:hyperlink w:anchor="_ENREF_22" w:tooltip="Creager, 2008 #724" w:history="1">
        <w:r w:rsidR="001418E1" w:rsidRPr="00E96985">
          <w:rPr>
            <w:rFonts w:ascii="Arial" w:hAnsi="Arial" w:cs="Arial"/>
            <w:noProof/>
            <w:sz w:val="22"/>
            <w:vertAlign w:val="superscript"/>
          </w:rPr>
          <w:t>22</w:t>
        </w:r>
      </w:hyperlink>
      <w:r w:rsidR="00E96985" w:rsidRPr="00E96985">
        <w:rPr>
          <w:rFonts w:ascii="Arial" w:hAnsi="Arial" w:cs="Arial"/>
          <w:noProof/>
          <w:sz w:val="22"/>
          <w:vertAlign w:val="superscript"/>
        </w:rPr>
        <w:t>)</w:t>
      </w:r>
      <w:r w:rsidR="00C22D87" w:rsidRPr="00164F8C">
        <w:rPr>
          <w:rFonts w:ascii="Arial" w:hAnsi="Arial" w:cs="Arial"/>
          <w:sz w:val="22"/>
        </w:rPr>
        <w:fldChar w:fldCharType="end"/>
      </w:r>
      <w:r w:rsidRPr="00164F8C">
        <w:rPr>
          <w:rFonts w:ascii="Arial" w:hAnsi="Arial" w:cs="Arial"/>
          <w:sz w:val="22"/>
        </w:rPr>
        <w:t>.</w:t>
      </w:r>
    </w:p>
    <w:p w:rsidR="00927C7E" w:rsidRDefault="009F6B0D" w:rsidP="00927C7E">
      <w:pPr>
        <w:pStyle w:val="Heading2"/>
      </w:pPr>
      <w:bookmarkStart w:id="205" w:name="_Toc360641430"/>
      <w:bookmarkStart w:id="206" w:name="_Toc360714631"/>
      <w:bookmarkStart w:id="207" w:name="_Toc363122567"/>
      <w:bookmarkStart w:id="208" w:name="_Toc365276924"/>
      <w:r>
        <w:t>Prevalence and Incidence</w:t>
      </w:r>
      <w:bookmarkEnd w:id="205"/>
      <w:bookmarkEnd w:id="206"/>
      <w:bookmarkEnd w:id="207"/>
      <w:bookmarkEnd w:id="208"/>
    </w:p>
    <w:p w:rsidR="00E60E8E" w:rsidRPr="00164F8C" w:rsidRDefault="00E60E8E"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In 2008 New Zealand prevalence (with a look back period of ten years) of PVD was 416 per 100,000</w:t>
      </w:r>
      <w:r w:rsidR="00FD0607" w:rsidRPr="00164F8C">
        <w:rPr>
          <w:rFonts w:ascii="Arial" w:hAnsi="Arial" w:cs="Arial"/>
          <w:sz w:val="22"/>
        </w:rPr>
        <w:t xml:space="preserve"> </w:t>
      </w:r>
      <w:r w:rsidR="00FD0607" w:rsidRPr="00164F8C">
        <w:rPr>
          <w:rFonts w:ascii="Arial" w:hAnsi="Arial" w:cs="Arial"/>
          <w:sz w:val="22"/>
        </w:rPr>
        <w:fldChar w:fldCharType="begin"/>
      </w:r>
      <w:r w:rsidR="00E96985">
        <w:rPr>
          <w:rFonts w:ascii="Arial" w:hAnsi="Arial" w:cs="Arial"/>
          <w:sz w:val="22"/>
        </w:rPr>
        <w:instrText xml:space="preserve"> ADDIN EN.CITE &lt;EndNote&gt;&lt;Cite&gt;&lt;Author&gt;Ministry of Health&lt;/Author&gt;&lt;Year&gt;2013&lt;/Year&gt;&lt;RecNum&gt;739&lt;/RecNum&gt;&lt;DisplayText&gt;&lt;style face="superscript"&gt;(15)&lt;/style&gt;&lt;/DisplayText&gt;&lt;record&gt;&lt;rec-number&gt;739&lt;/rec-number&gt;&lt;foreign-keys&gt;&lt;key app="EN" db-id="paxef0v91tx5e7eaev8xxf2xd92zvrfrv592"&gt;739&lt;/key&gt;&lt;/foreign-keys&gt;&lt;ref-type name="Dataset"&gt;59&lt;/ref-type&gt;&lt;contributors&gt;&lt;authors&gt;&lt;author&gt;Ministry of Health,&lt;/author&gt;&lt;/authors&gt;&lt;secondary-authors&gt;&lt;author&gt;Ministry of Health,&lt;/author&gt;&lt;/secondary-authors&gt;&lt;/contributors&gt;&lt;titles&gt;&lt;title&gt;Health Tracker&lt;/title&gt;&lt;/titles&gt;&lt;dates&gt;&lt;year&gt;2013&lt;/year&gt;&lt;/dates&gt;&lt;pub-location&gt;Wellington&lt;/pub-location&gt;&lt;urls&gt;&lt;/urls&gt;&lt;/record&gt;&lt;/Cite&gt;&lt;/EndNote&gt;</w:instrText>
      </w:r>
      <w:r w:rsidR="00FD0607" w:rsidRPr="00164F8C">
        <w:rPr>
          <w:rFonts w:ascii="Arial" w:hAnsi="Arial" w:cs="Arial"/>
          <w:sz w:val="22"/>
        </w:rPr>
        <w:fldChar w:fldCharType="separate"/>
      </w:r>
      <w:r w:rsidR="00E96985" w:rsidRPr="00E96985">
        <w:rPr>
          <w:rFonts w:ascii="Arial" w:hAnsi="Arial" w:cs="Arial"/>
          <w:noProof/>
          <w:sz w:val="22"/>
          <w:vertAlign w:val="superscript"/>
        </w:rPr>
        <w:t>(</w:t>
      </w:r>
      <w:hyperlink w:anchor="_ENREF_15" w:tooltip="Ministry of Health, 2013 #739" w:history="1">
        <w:r w:rsidR="001418E1" w:rsidRPr="00E96985">
          <w:rPr>
            <w:rFonts w:ascii="Arial" w:hAnsi="Arial" w:cs="Arial"/>
            <w:noProof/>
            <w:sz w:val="22"/>
            <w:vertAlign w:val="superscript"/>
          </w:rPr>
          <w:t>15</w:t>
        </w:r>
      </w:hyperlink>
      <w:r w:rsidR="00E96985" w:rsidRPr="00E96985">
        <w:rPr>
          <w:rFonts w:ascii="Arial" w:hAnsi="Arial" w:cs="Arial"/>
          <w:noProof/>
          <w:sz w:val="22"/>
          <w:vertAlign w:val="superscript"/>
        </w:rPr>
        <w:t>)</w:t>
      </w:r>
      <w:r w:rsidR="00FD0607" w:rsidRPr="00164F8C">
        <w:rPr>
          <w:rFonts w:ascii="Arial" w:hAnsi="Arial" w:cs="Arial"/>
          <w:sz w:val="22"/>
        </w:rPr>
        <w:fldChar w:fldCharType="end"/>
      </w:r>
      <w:r w:rsidR="00FD0607" w:rsidRPr="00164F8C">
        <w:rPr>
          <w:rFonts w:ascii="Arial" w:hAnsi="Arial" w:cs="Arial"/>
          <w:sz w:val="22"/>
        </w:rPr>
        <w:t xml:space="preserve">.  </w:t>
      </w:r>
      <w:r w:rsidRPr="00164F8C">
        <w:rPr>
          <w:rFonts w:ascii="Arial" w:hAnsi="Arial" w:cs="Arial"/>
          <w:sz w:val="22"/>
        </w:rPr>
        <w:t>This equated to about 17,000 individuals.  Prevalence was higher for men than women (491 and 347 per 100,000 respectively) with prevalence for both groups increasing with age. Prevalence of PVD in non-Māori (438 per 100,000) was higher than that in Māori (269 per 100,000).</w:t>
      </w:r>
    </w:p>
    <w:p w:rsidR="00927C7E" w:rsidRDefault="00927C7E" w:rsidP="00927C7E">
      <w:pPr>
        <w:pStyle w:val="Heading2"/>
      </w:pPr>
      <w:bookmarkStart w:id="209" w:name="_Toc358124631"/>
      <w:bookmarkStart w:id="210" w:name="_Toc360641431"/>
      <w:bookmarkStart w:id="211" w:name="_Toc360714632"/>
      <w:bookmarkStart w:id="212" w:name="_Toc363122568"/>
      <w:bookmarkStart w:id="213" w:name="_Toc365276925"/>
      <w:r>
        <w:lastRenderedPageBreak/>
        <w:t>Health Outcomes</w:t>
      </w:r>
      <w:bookmarkEnd w:id="209"/>
      <w:bookmarkEnd w:id="210"/>
      <w:bookmarkEnd w:id="211"/>
      <w:bookmarkEnd w:id="212"/>
      <w:bookmarkEnd w:id="213"/>
    </w:p>
    <w:p w:rsidR="002F0B9D" w:rsidRPr="00164F8C" w:rsidRDefault="00403D3B"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Over 100 deaths and 1,300</w:t>
      </w:r>
      <w:r w:rsidR="002F0B9D" w:rsidRPr="00164F8C">
        <w:rPr>
          <w:rFonts w:ascii="Arial" w:hAnsi="Arial" w:cs="Arial"/>
          <w:sz w:val="22"/>
        </w:rPr>
        <w:t xml:space="preserve"> DALYs were associated with </w:t>
      </w:r>
      <w:r w:rsidR="00025690" w:rsidRPr="00164F8C">
        <w:rPr>
          <w:rFonts w:ascii="Arial" w:hAnsi="Arial" w:cs="Arial"/>
          <w:sz w:val="22"/>
        </w:rPr>
        <w:t>PVD</w:t>
      </w:r>
      <w:r w:rsidR="00164F8C">
        <w:rPr>
          <w:rFonts w:ascii="Arial" w:hAnsi="Arial" w:cs="Arial"/>
          <w:sz w:val="22"/>
        </w:rPr>
        <w:t xml:space="preserve"> </w:t>
      </w:r>
      <w:r w:rsidR="000533FE" w:rsidRPr="00164F8C">
        <w:rPr>
          <w:rFonts w:ascii="Arial" w:hAnsi="Arial" w:cs="Arial"/>
          <w:sz w:val="22"/>
        </w:rPr>
        <w:t>in 2006</w:t>
      </w:r>
      <w:r w:rsidRPr="00164F8C">
        <w:rPr>
          <w:rFonts w:ascii="Arial" w:hAnsi="Arial" w:cs="Arial"/>
          <w:sz w:val="22"/>
        </w:rPr>
        <w:t xml:space="preserve"> (1% of both deaths and DALYs)</w:t>
      </w:r>
      <w:r w:rsidR="002F0B9D" w:rsidRPr="00164F8C">
        <w:rPr>
          <w:rFonts w:ascii="Arial" w:hAnsi="Arial" w:cs="Arial"/>
          <w:sz w:val="22"/>
        </w:rPr>
        <w:t xml:space="preserve">.    </w:t>
      </w:r>
      <w:r w:rsidR="00FD0607" w:rsidRPr="00164F8C">
        <w:rPr>
          <w:rFonts w:ascii="Arial" w:hAnsi="Arial" w:cs="Arial"/>
          <w:sz w:val="22"/>
        </w:rPr>
        <w:t>Individuals aged over 85</w:t>
      </w:r>
      <w:r w:rsidR="002F0B9D" w:rsidRPr="00164F8C">
        <w:rPr>
          <w:rFonts w:ascii="Arial" w:hAnsi="Arial" w:cs="Arial"/>
          <w:sz w:val="22"/>
        </w:rPr>
        <w:t xml:space="preserve"> comprised over half of all deaths and about 22% of DALYs.</w:t>
      </w:r>
    </w:p>
    <w:p w:rsidR="00927C7E" w:rsidRDefault="00927C7E" w:rsidP="00927C7E">
      <w:pPr>
        <w:pStyle w:val="Heading2"/>
      </w:pPr>
      <w:bookmarkStart w:id="214" w:name="_Toc358124632"/>
      <w:bookmarkStart w:id="215" w:name="_Toc360641432"/>
      <w:bookmarkStart w:id="216" w:name="_Toc360714633"/>
      <w:bookmarkStart w:id="217" w:name="_Toc363122569"/>
      <w:bookmarkStart w:id="218" w:name="_Toc365276926"/>
      <w:r>
        <w:t>Health Utilisation and Cost</w:t>
      </w:r>
      <w:bookmarkEnd w:id="214"/>
      <w:bookmarkEnd w:id="215"/>
      <w:bookmarkEnd w:id="216"/>
      <w:bookmarkEnd w:id="217"/>
      <w:bookmarkEnd w:id="218"/>
    </w:p>
    <w:p w:rsidR="009440B1" w:rsidRPr="00164F8C" w:rsidRDefault="009440B1"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PVD cost $26 million in total (average cost per hospitalised individual of $14,100)</w:t>
      </w:r>
      <w:r w:rsidR="00D57A1F" w:rsidRPr="00164F8C">
        <w:rPr>
          <w:rFonts w:ascii="Arial" w:hAnsi="Arial" w:cs="Arial"/>
          <w:sz w:val="22"/>
        </w:rPr>
        <w:t xml:space="preserve"> in 2011/12</w:t>
      </w:r>
      <w:r w:rsidRPr="00164F8C">
        <w:rPr>
          <w:rFonts w:ascii="Arial" w:hAnsi="Arial" w:cs="Arial"/>
          <w:sz w:val="22"/>
        </w:rPr>
        <w:t>.  There were 2,409 hospitalisations for 1,859 individuals (1.3 hospitalisations per person) lasting an average of 1.7 days.</w:t>
      </w:r>
    </w:p>
    <w:p w:rsidR="00927C7E" w:rsidRDefault="001B31A2" w:rsidP="009F3F4E">
      <w:pPr>
        <w:pStyle w:val="Heading1"/>
      </w:pPr>
      <w:bookmarkStart w:id="219" w:name="_Toc365276927"/>
      <w:r>
        <w:t>Pulmonary Embolism and Venous Thrombo-Embolism (VTE)</w:t>
      </w:r>
      <w:bookmarkEnd w:id="219"/>
    </w:p>
    <w:p w:rsidR="00927C7E" w:rsidRDefault="00927C7E" w:rsidP="00927C7E">
      <w:pPr>
        <w:pStyle w:val="Heading2"/>
      </w:pPr>
      <w:bookmarkStart w:id="220" w:name="_Toc358124644"/>
      <w:bookmarkStart w:id="221" w:name="_Toc360641444"/>
      <w:bookmarkStart w:id="222" w:name="_Toc360714635"/>
      <w:bookmarkStart w:id="223" w:name="_Toc363122571"/>
      <w:bookmarkStart w:id="224" w:name="_Toc365276928"/>
      <w:r>
        <w:t>Disease Description</w:t>
      </w:r>
      <w:bookmarkEnd w:id="220"/>
      <w:bookmarkEnd w:id="221"/>
      <w:bookmarkEnd w:id="222"/>
      <w:bookmarkEnd w:id="223"/>
      <w:bookmarkEnd w:id="224"/>
    </w:p>
    <w:p w:rsidR="000F5026" w:rsidRPr="00164F8C" w:rsidRDefault="000F5026"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Venous thrombo-embolism (VTE) occur</w:t>
      </w:r>
      <w:r w:rsidR="00FD0607" w:rsidRPr="00164F8C">
        <w:rPr>
          <w:rFonts w:ascii="Arial" w:hAnsi="Arial" w:cs="Arial"/>
          <w:sz w:val="22"/>
        </w:rPr>
        <w:t>s</w:t>
      </w:r>
      <w:r w:rsidRPr="00164F8C">
        <w:rPr>
          <w:rFonts w:ascii="Arial" w:hAnsi="Arial" w:cs="Arial"/>
          <w:sz w:val="22"/>
        </w:rPr>
        <w:t xml:space="preserve"> when a thrombus (clot) forms in a vein</w:t>
      </w:r>
      <w:r w:rsidR="00FD0607" w:rsidRPr="00164F8C">
        <w:rPr>
          <w:rFonts w:ascii="Arial" w:hAnsi="Arial" w:cs="Arial"/>
          <w:sz w:val="22"/>
        </w:rPr>
        <w:t>.  This clot may travel</w:t>
      </w:r>
      <w:r w:rsidRPr="00164F8C">
        <w:rPr>
          <w:rFonts w:ascii="Arial" w:hAnsi="Arial" w:cs="Arial"/>
          <w:sz w:val="22"/>
        </w:rPr>
        <w:t xml:space="preserve"> to the pulmonary</w:t>
      </w:r>
      <w:r w:rsidR="00FD0607" w:rsidRPr="00164F8C">
        <w:rPr>
          <w:rFonts w:ascii="Arial" w:hAnsi="Arial" w:cs="Arial"/>
          <w:sz w:val="22"/>
        </w:rPr>
        <w:t xml:space="preserve"> circulatory system and occlude</w:t>
      </w:r>
      <w:r w:rsidRPr="00164F8C">
        <w:rPr>
          <w:rFonts w:ascii="Arial" w:hAnsi="Arial" w:cs="Arial"/>
          <w:sz w:val="22"/>
        </w:rPr>
        <w:t xml:space="preserve"> blood flow in a pulmonary blood vessel (</w:t>
      </w:r>
      <w:r w:rsidR="00FD0607" w:rsidRPr="00164F8C">
        <w:rPr>
          <w:rFonts w:ascii="Arial" w:hAnsi="Arial" w:cs="Arial"/>
          <w:sz w:val="22"/>
        </w:rPr>
        <w:t xml:space="preserve">pulmonary </w:t>
      </w:r>
      <w:r w:rsidRPr="00164F8C">
        <w:rPr>
          <w:rFonts w:ascii="Arial" w:hAnsi="Arial" w:cs="Arial"/>
          <w:sz w:val="22"/>
        </w:rPr>
        <w:t>emboli</w:t>
      </w:r>
      <w:r w:rsidR="00FD0607" w:rsidRPr="00164F8C">
        <w:rPr>
          <w:rFonts w:ascii="Arial" w:hAnsi="Arial" w:cs="Arial"/>
          <w:sz w:val="22"/>
        </w:rPr>
        <w:t>z</w:t>
      </w:r>
      <w:r w:rsidRPr="00164F8C">
        <w:rPr>
          <w:rFonts w:ascii="Arial" w:hAnsi="Arial" w:cs="Arial"/>
          <w:sz w:val="22"/>
        </w:rPr>
        <w:t xml:space="preserve">ation) </w:t>
      </w:r>
      <w:r w:rsidRPr="00164F8C">
        <w:rPr>
          <w:rFonts w:ascii="Arial" w:hAnsi="Arial" w:cs="Arial"/>
          <w:sz w:val="22"/>
        </w:rPr>
        <w:fldChar w:fldCharType="begin"/>
      </w:r>
      <w:r w:rsidR="00E96985">
        <w:rPr>
          <w:rFonts w:ascii="Arial" w:hAnsi="Arial" w:cs="Arial"/>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164F8C">
        <w:rPr>
          <w:rFonts w:ascii="Arial" w:hAnsi="Arial" w:cs="Arial"/>
          <w:sz w:val="22"/>
        </w:rPr>
        <w:fldChar w:fldCharType="separate"/>
      </w:r>
      <w:r w:rsidR="00E96985" w:rsidRPr="00E96985">
        <w:rPr>
          <w:rFonts w:ascii="Arial" w:hAnsi="Arial" w:cs="Arial"/>
          <w:noProof/>
          <w:sz w:val="22"/>
          <w:vertAlign w:val="superscript"/>
        </w:rPr>
        <w:t>(</w:t>
      </w:r>
      <w:hyperlink w:anchor="_ENREF_4" w:tooltip="Fauci, 2008 #678" w:history="1">
        <w:r w:rsidR="001418E1" w:rsidRPr="00E96985">
          <w:rPr>
            <w:rFonts w:ascii="Arial" w:hAnsi="Arial" w:cs="Arial"/>
            <w:noProof/>
            <w:sz w:val="22"/>
            <w:vertAlign w:val="superscript"/>
          </w:rPr>
          <w:t>4</w:t>
        </w:r>
      </w:hyperlink>
      <w:r w:rsidR="00E96985" w:rsidRPr="00E96985">
        <w:rPr>
          <w:rFonts w:ascii="Arial" w:hAnsi="Arial" w:cs="Arial"/>
          <w:noProof/>
          <w:sz w:val="22"/>
          <w:vertAlign w:val="superscript"/>
        </w:rPr>
        <w:t>)</w:t>
      </w:r>
      <w:r w:rsidRPr="00164F8C">
        <w:rPr>
          <w:rFonts w:ascii="Arial" w:hAnsi="Arial" w:cs="Arial"/>
          <w:sz w:val="22"/>
        </w:rPr>
        <w:fldChar w:fldCharType="end"/>
      </w:r>
      <w:r w:rsidRPr="00164F8C">
        <w:rPr>
          <w:rFonts w:ascii="Arial" w:hAnsi="Arial" w:cs="Arial"/>
          <w:sz w:val="22"/>
        </w:rPr>
        <w:t>.  Thrombi from deep vessels (i.e. in the upper leg) occur as the result of deep vein thrombosis (DVT)</w:t>
      </w:r>
      <w:r w:rsidR="005649E1" w:rsidRPr="00164F8C">
        <w:rPr>
          <w:rFonts w:ascii="Arial" w:hAnsi="Arial" w:cs="Arial"/>
          <w:sz w:val="22"/>
        </w:rPr>
        <w:t>.</w:t>
      </w:r>
      <w:r w:rsidRPr="00164F8C">
        <w:rPr>
          <w:rFonts w:ascii="Arial" w:hAnsi="Arial" w:cs="Arial"/>
          <w:sz w:val="22"/>
        </w:rPr>
        <w:t xml:space="preserve">  The result of </w:t>
      </w:r>
      <w:r w:rsidR="00FD0607" w:rsidRPr="00164F8C">
        <w:rPr>
          <w:rFonts w:ascii="Arial" w:hAnsi="Arial" w:cs="Arial"/>
          <w:sz w:val="22"/>
        </w:rPr>
        <w:t xml:space="preserve">pulmonary </w:t>
      </w:r>
      <w:r w:rsidRPr="00164F8C">
        <w:rPr>
          <w:rFonts w:ascii="Arial" w:hAnsi="Arial" w:cs="Arial"/>
          <w:sz w:val="22"/>
        </w:rPr>
        <w:t>emboli</w:t>
      </w:r>
      <w:r w:rsidR="00FD0607" w:rsidRPr="00164F8C">
        <w:rPr>
          <w:rFonts w:ascii="Arial" w:hAnsi="Arial" w:cs="Arial"/>
          <w:sz w:val="22"/>
        </w:rPr>
        <w:t>z</w:t>
      </w:r>
      <w:r w:rsidRPr="00164F8C">
        <w:rPr>
          <w:rFonts w:ascii="Arial" w:hAnsi="Arial" w:cs="Arial"/>
          <w:sz w:val="22"/>
        </w:rPr>
        <w:t>ation is impaired gas exchange in the lungs which can lead to hypoxia (lack of oxygen in the blood) or the blockage of blood from the right ventricle.  This can cause right ventricular dilatation (stretching) and lead to heart failure.  Difficulty breathing and oedema in the extremities may occur.  Common co-morbidities include heart failure, cancer and stroke.   Detection may include the use of CT and other imaging equipment.  Treatment is with anticoagulation therapy</w:t>
      </w:r>
      <w:r w:rsidR="00692C4B">
        <w:rPr>
          <w:rFonts w:ascii="Arial" w:hAnsi="Arial" w:cs="Arial"/>
          <w:sz w:val="22"/>
        </w:rPr>
        <w:t xml:space="preserve">, </w:t>
      </w:r>
      <w:r w:rsidRPr="00164F8C">
        <w:rPr>
          <w:rFonts w:ascii="Arial" w:hAnsi="Arial" w:cs="Arial"/>
          <w:sz w:val="22"/>
        </w:rPr>
        <w:t>embolectomy to remove the emboli</w:t>
      </w:r>
      <w:r w:rsidR="00692C4B">
        <w:rPr>
          <w:rFonts w:ascii="Arial" w:hAnsi="Arial" w:cs="Arial"/>
          <w:sz w:val="22"/>
        </w:rPr>
        <w:t xml:space="preserve"> and/or clot busting drugs</w:t>
      </w:r>
      <w:r w:rsidRPr="00164F8C">
        <w:rPr>
          <w:rFonts w:ascii="Arial" w:hAnsi="Arial" w:cs="Arial"/>
          <w:sz w:val="22"/>
        </w:rPr>
        <w:t xml:space="preserve"> </w:t>
      </w:r>
      <w:r w:rsidRPr="00164F8C">
        <w:rPr>
          <w:rFonts w:ascii="Arial" w:hAnsi="Arial" w:cs="Arial"/>
          <w:sz w:val="22"/>
        </w:rPr>
        <w:fldChar w:fldCharType="begin"/>
      </w:r>
      <w:r w:rsidR="00E96985">
        <w:rPr>
          <w:rFonts w:ascii="Arial" w:hAnsi="Arial" w:cs="Arial"/>
          <w:sz w:val="22"/>
        </w:rPr>
        <w:instrText xml:space="preserve"> ADDIN EN.CITE &lt;EndNote&gt;&lt;Cite&gt;&lt;Author&gt;Fauci&lt;/Author&gt;&lt;Year&gt;2008&lt;/Year&gt;&lt;RecNum&gt;678&lt;/RecNum&gt;&lt;DisplayText&gt;&lt;style face="superscript"&gt;(4)&lt;/style&gt;&lt;/DisplayText&gt;&lt;record&gt;&lt;rec-number&gt;678&lt;/rec-number&gt;&lt;foreign-keys&gt;&lt;key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164F8C">
        <w:rPr>
          <w:rFonts w:ascii="Arial" w:hAnsi="Arial" w:cs="Arial"/>
          <w:sz w:val="22"/>
        </w:rPr>
        <w:fldChar w:fldCharType="separate"/>
      </w:r>
      <w:r w:rsidR="00E96985" w:rsidRPr="00E96985">
        <w:rPr>
          <w:rFonts w:ascii="Arial" w:hAnsi="Arial" w:cs="Arial"/>
          <w:noProof/>
          <w:sz w:val="22"/>
          <w:vertAlign w:val="superscript"/>
        </w:rPr>
        <w:t>(</w:t>
      </w:r>
      <w:hyperlink w:anchor="_ENREF_4" w:tooltip="Fauci, 2008 #678" w:history="1">
        <w:r w:rsidR="001418E1" w:rsidRPr="00E96985">
          <w:rPr>
            <w:rFonts w:ascii="Arial" w:hAnsi="Arial" w:cs="Arial"/>
            <w:noProof/>
            <w:sz w:val="22"/>
            <w:vertAlign w:val="superscript"/>
          </w:rPr>
          <w:t>4</w:t>
        </w:r>
      </w:hyperlink>
      <w:r w:rsidR="00E96985" w:rsidRPr="00E96985">
        <w:rPr>
          <w:rFonts w:ascii="Arial" w:hAnsi="Arial" w:cs="Arial"/>
          <w:noProof/>
          <w:sz w:val="22"/>
          <w:vertAlign w:val="superscript"/>
        </w:rPr>
        <w:t>)</w:t>
      </w:r>
      <w:r w:rsidRPr="00164F8C">
        <w:rPr>
          <w:rFonts w:ascii="Arial" w:hAnsi="Arial" w:cs="Arial"/>
          <w:sz w:val="22"/>
        </w:rPr>
        <w:fldChar w:fldCharType="end"/>
      </w:r>
      <w:r w:rsidRPr="00164F8C">
        <w:rPr>
          <w:rFonts w:ascii="Arial" w:hAnsi="Arial" w:cs="Arial"/>
          <w:sz w:val="22"/>
        </w:rPr>
        <w:t>.</w:t>
      </w:r>
    </w:p>
    <w:p w:rsidR="00927C7E" w:rsidRDefault="009F6B0D" w:rsidP="00927C7E">
      <w:pPr>
        <w:pStyle w:val="Heading2"/>
      </w:pPr>
      <w:bookmarkStart w:id="225" w:name="_Toc360641445"/>
      <w:bookmarkStart w:id="226" w:name="_Toc360714636"/>
      <w:bookmarkStart w:id="227" w:name="_Toc363122572"/>
      <w:bookmarkStart w:id="228" w:name="_Toc365276929"/>
      <w:r>
        <w:t>Prevalence and Incidence</w:t>
      </w:r>
      <w:bookmarkEnd w:id="225"/>
      <w:bookmarkEnd w:id="226"/>
      <w:bookmarkEnd w:id="227"/>
      <w:bookmarkEnd w:id="228"/>
    </w:p>
    <w:p w:rsidR="00526F41" w:rsidRPr="00164F8C" w:rsidRDefault="00526F41"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The overall incidence of venous thromboembolism was found to be 1.83 per thousand per year </w:t>
      </w:r>
      <w:r w:rsidR="00025690" w:rsidRPr="00164F8C">
        <w:rPr>
          <w:rFonts w:ascii="Arial" w:hAnsi="Arial" w:cs="Arial"/>
          <w:sz w:val="22"/>
        </w:rPr>
        <w:t>in France</w:t>
      </w:r>
      <w:r w:rsidRPr="00164F8C">
        <w:rPr>
          <w:rFonts w:ascii="Arial" w:hAnsi="Arial" w:cs="Arial"/>
          <w:sz w:val="22"/>
        </w:rPr>
        <w:t xml:space="preserve"> </w:t>
      </w:r>
      <w:r w:rsidRPr="00164F8C">
        <w:rPr>
          <w:rFonts w:ascii="Arial" w:hAnsi="Arial" w:cs="Arial"/>
          <w:sz w:val="22"/>
        </w:rPr>
        <w:fldChar w:fldCharType="begin"/>
      </w:r>
      <w:r w:rsidR="00E96985">
        <w:rPr>
          <w:rFonts w:ascii="Arial" w:hAnsi="Arial" w:cs="Arial"/>
          <w:sz w:val="22"/>
        </w:rPr>
        <w:instrText xml:space="preserve"> ADDIN EN.CITE &lt;EndNote&gt;&lt;Cite&gt;&lt;Author&gt;Oger&lt;/Author&gt;&lt;Year&gt;2000&lt;/Year&gt;&lt;RecNum&gt;709&lt;/RecNum&gt;&lt;DisplayText&gt;&lt;style face="superscript"&gt;(23)&lt;/style&gt;&lt;/DisplayText&gt;&lt;record&gt;&lt;rec-number&gt;709&lt;/rec-number&gt;&lt;foreign-keys&gt;&lt;key app="EN" db-id="paxef0v91tx5e7eaev8xxf2xd92zvrfrv592"&gt;709&lt;/key&gt;&lt;/foreign-keys&gt;&lt;ref-type name="Journal Article"&gt;17&lt;/ref-type&gt;&lt;contributors&gt;&lt;authors&gt;&lt;author&gt;Oger, Emmanuel&lt;/author&gt;&lt;/authors&gt;&lt;/contributors&gt;&lt;titles&gt;&lt;title&gt;Incidence of venous thromboembolism: a community-based study in Western France. EPI-GETBP Study Group. Groupe d&amp;apos;Etude de la Thrombose de Bretagne Occidentale&lt;/title&gt;&lt;secondary-title&gt;Thrombosis and haemostasis&lt;/secondary-title&gt;&lt;/titles&gt;&lt;periodical&gt;&lt;full-title&gt;Thrombosis and haemostasis&lt;/full-title&gt;&lt;/periodical&gt;&lt;pages&gt;657&lt;/pages&gt;&lt;volume&gt;83&lt;/volume&gt;&lt;number&gt;5&lt;/number&gt;&lt;dates&gt;&lt;year&gt;2000&lt;/year&gt;&lt;/dates&gt;&lt;isbn&gt;0340-6245&lt;/isbn&gt;&lt;urls&gt;&lt;/urls&gt;&lt;/record&gt;&lt;/Cite&gt;&lt;/EndNote&gt;</w:instrText>
      </w:r>
      <w:r w:rsidRPr="00164F8C">
        <w:rPr>
          <w:rFonts w:ascii="Arial" w:hAnsi="Arial" w:cs="Arial"/>
          <w:sz w:val="22"/>
        </w:rPr>
        <w:fldChar w:fldCharType="separate"/>
      </w:r>
      <w:r w:rsidR="00E96985" w:rsidRPr="00E96985">
        <w:rPr>
          <w:rFonts w:ascii="Arial" w:hAnsi="Arial" w:cs="Arial"/>
          <w:noProof/>
          <w:sz w:val="22"/>
          <w:vertAlign w:val="superscript"/>
        </w:rPr>
        <w:t>(</w:t>
      </w:r>
      <w:hyperlink w:anchor="_ENREF_23" w:tooltip="Oger, 2000 #709" w:history="1">
        <w:r w:rsidR="001418E1" w:rsidRPr="00E96985">
          <w:rPr>
            <w:rFonts w:ascii="Arial" w:hAnsi="Arial" w:cs="Arial"/>
            <w:noProof/>
            <w:sz w:val="22"/>
            <w:vertAlign w:val="superscript"/>
          </w:rPr>
          <w:t>23</w:t>
        </w:r>
      </w:hyperlink>
      <w:r w:rsidR="00E96985" w:rsidRPr="00E96985">
        <w:rPr>
          <w:rFonts w:ascii="Arial" w:hAnsi="Arial" w:cs="Arial"/>
          <w:noProof/>
          <w:sz w:val="22"/>
          <w:vertAlign w:val="superscript"/>
        </w:rPr>
        <w:t>)</w:t>
      </w:r>
      <w:r w:rsidRPr="00164F8C">
        <w:rPr>
          <w:rFonts w:ascii="Arial" w:hAnsi="Arial" w:cs="Arial"/>
          <w:sz w:val="22"/>
        </w:rPr>
        <w:fldChar w:fldCharType="end"/>
      </w:r>
      <w:r w:rsidRPr="00164F8C">
        <w:rPr>
          <w:rFonts w:ascii="Arial" w:hAnsi="Arial" w:cs="Arial"/>
          <w:sz w:val="22"/>
        </w:rPr>
        <w:t xml:space="preserve">. </w:t>
      </w:r>
      <w:r w:rsidR="005649E1" w:rsidRPr="00164F8C">
        <w:rPr>
          <w:rFonts w:ascii="Arial" w:hAnsi="Arial" w:cs="Arial"/>
          <w:sz w:val="22"/>
        </w:rPr>
        <w:t xml:space="preserve"> </w:t>
      </w:r>
      <w:r w:rsidRPr="00164F8C">
        <w:rPr>
          <w:rFonts w:ascii="Arial" w:hAnsi="Arial" w:cs="Arial"/>
          <w:sz w:val="22"/>
        </w:rPr>
        <w:t xml:space="preserve">The incidences of </w:t>
      </w:r>
      <w:r w:rsidR="00025690" w:rsidRPr="00164F8C">
        <w:rPr>
          <w:rFonts w:ascii="Arial" w:hAnsi="Arial" w:cs="Arial"/>
          <w:sz w:val="22"/>
        </w:rPr>
        <w:t>DVT</w:t>
      </w:r>
      <w:r w:rsidRPr="00164F8C">
        <w:rPr>
          <w:rFonts w:ascii="Arial" w:hAnsi="Arial" w:cs="Arial"/>
          <w:sz w:val="22"/>
        </w:rPr>
        <w:t xml:space="preserve"> and pulmonary embolism were 1.24 per thousand per year</w:t>
      </w:r>
      <w:r w:rsidR="00FD0607" w:rsidRPr="00164F8C">
        <w:rPr>
          <w:rFonts w:ascii="Arial" w:hAnsi="Arial" w:cs="Arial"/>
          <w:sz w:val="22"/>
        </w:rPr>
        <w:t xml:space="preserve"> and 0.60 per thousand per year</w:t>
      </w:r>
      <w:r w:rsidRPr="00164F8C">
        <w:rPr>
          <w:rFonts w:ascii="Arial" w:hAnsi="Arial" w:cs="Arial"/>
          <w:sz w:val="22"/>
        </w:rPr>
        <w:t xml:space="preserve">, respectively. </w:t>
      </w:r>
      <w:r w:rsidR="005649E1" w:rsidRPr="00164F8C">
        <w:rPr>
          <w:rFonts w:ascii="Arial" w:hAnsi="Arial" w:cs="Arial"/>
          <w:sz w:val="22"/>
        </w:rPr>
        <w:t xml:space="preserve"> </w:t>
      </w:r>
      <w:r w:rsidRPr="00164F8C">
        <w:rPr>
          <w:rFonts w:ascii="Arial" w:hAnsi="Arial" w:cs="Arial"/>
          <w:sz w:val="22"/>
        </w:rPr>
        <w:t xml:space="preserve">The incidence of </w:t>
      </w:r>
      <w:r w:rsidR="00025690" w:rsidRPr="00164F8C">
        <w:rPr>
          <w:rFonts w:ascii="Arial" w:hAnsi="Arial" w:cs="Arial"/>
          <w:sz w:val="22"/>
        </w:rPr>
        <w:t>VTE</w:t>
      </w:r>
      <w:r w:rsidRPr="00164F8C">
        <w:rPr>
          <w:rFonts w:ascii="Arial" w:hAnsi="Arial" w:cs="Arial"/>
          <w:sz w:val="22"/>
        </w:rPr>
        <w:t xml:space="preserve"> rose markedly with increasing age for both sexes; over the age of 75, the annual incidence reached 1</w:t>
      </w:r>
      <w:r w:rsidR="00351372" w:rsidRPr="00164F8C">
        <w:rPr>
          <w:rFonts w:ascii="Arial" w:hAnsi="Arial" w:cs="Arial"/>
          <w:sz w:val="22"/>
        </w:rPr>
        <w:t>%</w:t>
      </w:r>
      <w:r w:rsidRPr="00164F8C">
        <w:rPr>
          <w:rFonts w:ascii="Arial" w:hAnsi="Arial" w:cs="Arial"/>
          <w:sz w:val="22"/>
        </w:rPr>
        <w:t xml:space="preserve">. </w:t>
      </w:r>
      <w:r w:rsidR="005649E1" w:rsidRPr="00164F8C">
        <w:rPr>
          <w:rFonts w:ascii="Arial" w:hAnsi="Arial" w:cs="Arial"/>
          <w:sz w:val="22"/>
        </w:rPr>
        <w:t xml:space="preserve"> </w:t>
      </w:r>
    </w:p>
    <w:p w:rsidR="00927C7E" w:rsidRDefault="00927C7E" w:rsidP="00927C7E">
      <w:pPr>
        <w:pStyle w:val="Heading2"/>
      </w:pPr>
      <w:bookmarkStart w:id="229" w:name="_Toc358124646"/>
      <w:bookmarkStart w:id="230" w:name="_Toc360641446"/>
      <w:bookmarkStart w:id="231" w:name="_Toc360714637"/>
      <w:bookmarkStart w:id="232" w:name="_Toc363122573"/>
      <w:bookmarkStart w:id="233" w:name="_Toc365276930"/>
      <w:r>
        <w:t>Health Outcomes</w:t>
      </w:r>
      <w:bookmarkEnd w:id="229"/>
      <w:bookmarkEnd w:id="230"/>
      <w:bookmarkEnd w:id="231"/>
      <w:bookmarkEnd w:id="232"/>
      <w:bookmarkEnd w:id="233"/>
    </w:p>
    <w:p w:rsidR="006F3409" w:rsidRPr="00164F8C" w:rsidRDefault="00FD0607"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Pulmonary e</w:t>
      </w:r>
      <w:r w:rsidR="00403D3B" w:rsidRPr="00164F8C">
        <w:rPr>
          <w:rFonts w:ascii="Arial" w:hAnsi="Arial" w:cs="Arial"/>
          <w:sz w:val="22"/>
        </w:rPr>
        <w:t>mbolisms contributed to 44 deaths and 1,084</w:t>
      </w:r>
      <w:r w:rsidR="000533FE" w:rsidRPr="00164F8C">
        <w:rPr>
          <w:rFonts w:ascii="Arial" w:hAnsi="Arial" w:cs="Arial"/>
          <w:sz w:val="22"/>
        </w:rPr>
        <w:t xml:space="preserve"> DALYs in 2006</w:t>
      </w:r>
      <w:r w:rsidR="00403D3B" w:rsidRPr="00164F8C">
        <w:rPr>
          <w:rFonts w:ascii="Arial" w:hAnsi="Arial" w:cs="Arial"/>
          <w:sz w:val="22"/>
        </w:rPr>
        <w:t xml:space="preserve">, both less than 1.0% of total </w:t>
      </w:r>
      <w:r w:rsidR="00613127" w:rsidRPr="00164F8C">
        <w:rPr>
          <w:rFonts w:ascii="Arial" w:hAnsi="Arial" w:cs="Arial"/>
          <w:sz w:val="22"/>
        </w:rPr>
        <w:t>cardiovascular</w:t>
      </w:r>
      <w:r w:rsidR="00403D3B" w:rsidRPr="00164F8C">
        <w:rPr>
          <w:rFonts w:ascii="Arial" w:hAnsi="Arial" w:cs="Arial"/>
          <w:sz w:val="22"/>
        </w:rPr>
        <w:t xml:space="preserve"> deaths and DALYs</w:t>
      </w:r>
      <w:r w:rsidR="006F3409" w:rsidRPr="00164F8C">
        <w:rPr>
          <w:rFonts w:ascii="Arial" w:hAnsi="Arial" w:cs="Arial"/>
          <w:sz w:val="22"/>
        </w:rPr>
        <w:t>.  Individuals aged over 40 years comprised the majority of both deaths and DALYs lost.</w:t>
      </w:r>
    </w:p>
    <w:p w:rsidR="00927C7E" w:rsidRDefault="00927C7E" w:rsidP="00927C7E">
      <w:pPr>
        <w:pStyle w:val="Heading2"/>
      </w:pPr>
      <w:bookmarkStart w:id="234" w:name="_Toc358124647"/>
      <w:bookmarkStart w:id="235" w:name="_Toc360641447"/>
      <w:bookmarkStart w:id="236" w:name="_Toc360714638"/>
      <w:bookmarkStart w:id="237" w:name="_Toc363122574"/>
      <w:bookmarkStart w:id="238" w:name="_Toc365276931"/>
      <w:r w:rsidRPr="00536A0E">
        <w:t>Health Utilisation and Cost</w:t>
      </w:r>
      <w:bookmarkEnd w:id="234"/>
      <w:bookmarkEnd w:id="235"/>
      <w:bookmarkEnd w:id="236"/>
      <w:bookmarkEnd w:id="237"/>
      <w:bookmarkEnd w:id="238"/>
    </w:p>
    <w:p w:rsidR="009440B1" w:rsidRPr="00164F8C" w:rsidRDefault="009440B1"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This condition accounted for </w:t>
      </w:r>
      <w:r w:rsidR="00536A0E" w:rsidRPr="00164F8C">
        <w:rPr>
          <w:rFonts w:ascii="Arial" w:hAnsi="Arial" w:cs="Arial"/>
          <w:sz w:val="22"/>
        </w:rPr>
        <w:t xml:space="preserve">$14 million </w:t>
      </w:r>
      <w:r w:rsidR="00025690" w:rsidRPr="00164F8C">
        <w:rPr>
          <w:rFonts w:ascii="Arial" w:hAnsi="Arial" w:cs="Arial"/>
          <w:sz w:val="22"/>
        </w:rPr>
        <w:t xml:space="preserve">in hospital costs </w:t>
      </w:r>
      <w:r w:rsidR="00536A0E" w:rsidRPr="00164F8C">
        <w:rPr>
          <w:rFonts w:ascii="Arial" w:hAnsi="Arial" w:cs="Arial"/>
          <w:sz w:val="22"/>
        </w:rPr>
        <w:t>(</w:t>
      </w:r>
      <w:r w:rsidR="00351372" w:rsidRPr="00164F8C">
        <w:rPr>
          <w:rFonts w:ascii="Arial" w:hAnsi="Arial" w:cs="Arial"/>
          <w:sz w:val="22"/>
        </w:rPr>
        <w:t xml:space="preserve">average </w:t>
      </w:r>
      <w:r w:rsidR="00536A0E" w:rsidRPr="00164F8C">
        <w:rPr>
          <w:rFonts w:ascii="Arial" w:hAnsi="Arial" w:cs="Arial"/>
          <w:sz w:val="22"/>
        </w:rPr>
        <w:t>price of $5,800 per hospitalised individual)</w:t>
      </w:r>
      <w:r w:rsidR="005649E1" w:rsidRPr="00164F8C">
        <w:rPr>
          <w:rFonts w:ascii="Arial" w:hAnsi="Arial" w:cs="Arial"/>
          <w:sz w:val="22"/>
        </w:rPr>
        <w:t xml:space="preserve"> in 2011/12</w:t>
      </w:r>
      <w:r w:rsidR="00536A0E" w:rsidRPr="00164F8C">
        <w:rPr>
          <w:rFonts w:ascii="Arial" w:hAnsi="Arial" w:cs="Arial"/>
          <w:sz w:val="22"/>
        </w:rPr>
        <w:t xml:space="preserve">.  About 2,500 people experienced 2,779 hospitalisations (1.1 </w:t>
      </w:r>
      <w:r w:rsidR="00536A0E" w:rsidRPr="00164F8C">
        <w:rPr>
          <w:rFonts w:ascii="Arial" w:hAnsi="Arial" w:cs="Arial"/>
          <w:sz w:val="22"/>
        </w:rPr>
        <w:lastRenderedPageBreak/>
        <w:t>hospitalisations, on average) with each hospitalisation lasting an average of 3.4 days.</w:t>
      </w:r>
      <w:r w:rsidR="00523F30">
        <w:rPr>
          <w:rFonts w:ascii="Arial" w:hAnsi="Arial" w:cs="Arial"/>
          <w:sz w:val="22"/>
        </w:rPr>
        <w:t xml:space="preserve">  The total cost may be an underestimate </w:t>
      </w:r>
      <w:r w:rsidR="00F025E7">
        <w:rPr>
          <w:rFonts w:ascii="Arial" w:hAnsi="Arial" w:cs="Arial"/>
          <w:sz w:val="22"/>
        </w:rPr>
        <w:t>since VTE may occur as a complication of another condition.</w:t>
      </w:r>
    </w:p>
    <w:p w:rsidR="00927C7E" w:rsidRDefault="001B31A2" w:rsidP="009F3F4E">
      <w:pPr>
        <w:pStyle w:val="Heading1"/>
      </w:pPr>
      <w:bookmarkStart w:id="239" w:name="_Toc365276932"/>
      <w:r>
        <w:t>Other Cardiovascular Diseases</w:t>
      </w:r>
      <w:bookmarkEnd w:id="239"/>
    </w:p>
    <w:p w:rsidR="00927C7E" w:rsidRDefault="00927C7E" w:rsidP="00927C7E">
      <w:pPr>
        <w:pStyle w:val="Heading2"/>
      </w:pPr>
      <w:bookmarkStart w:id="240" w:name="_Toc358124649"/>
      <w:bookmarkStart w:id="241" w:name="_Toc360641449"/>
      <w:bookmarkStart w:id="242" w:name="_Toc360714640"/>
      <w:bookmarkStart w:id="243" w:name="_Toc363122576"/>
      <w:bookmarkStart w:id="244" w:name="_Toc365276933"/>
      <w:r>
        <w:t>Disease Description</w:t>
      </w:r>
      <w:bookmarkEnd w:id="240"/>
      <w:bookmarkEnd w:id="241"/>
      <w:bookmarkEnd w:id="242"/>
      <w:bookmarkEnd w:id="243"/>
      <w:bookmarkEnd w:id="244"/>
    </w:p>
    <w:p w:rsidR="000F5026" w:rsidRPr="00164F8C" w:rsidRDefault="000F5026"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This category includes a collection of </w:t>
      </w:r>
      <w:r w:rsidR="00C84DE1" w:rsidRPr="00164F8C">
        <w:rPr>
          <w:rFonts w:ascii="Arial" w:hAnsi="Arial" w:cs="Arial"/>
          <w:sz w:val="22"/>
        </w:rPr>
        <w:t>circulatory</w:t>
      </w:r>
      <w:r w:rsidRPr="00164F8C">
        <w:rPr>
          <w:rFonts w:ascii="Arial" w:hAnsi="Arial" w:cs="Arial"/>
          <w:sz w:val="22"/>
        </w:rPr>
        <w:t xml:space="preserve"> conditions such as </w:t>
      </w:r>
      <w:r w:rsidR="00C84DE1" w:rsidRPr="00164F8C">
        <w:rPr>
          <w:rFonts w:ascii="Arial" w:hAnsi="Arial" w:cs="Arial"/>
          <w:sz w:val="22"/>
        </w:rPr>
        <w:t>varicose veins and cardiovascular syphilis.  As such, treatment and diagnosis of these diseases is the most varied and may include the use of pharmaceuticals for treatment and imaging techniques for diagnosis.</w:t>
      </w:r>
    </w:p>
    <w:p w:rsidR="00927C7E" w:rsidRDefault="009F6B0D" w:rsidP="00927C7E">
      <w:pPr>
        <w:pStyle w:val="Heading2"/>
      </w:pPr>
      <w:bookmarkStart w:id="245" w:name="_Toc360641450"/>
      <w:bookmarkStart w:id="246" w:name="_Toc360714641"/>
      <w:bookmarkStart w:id="247" w:name="_Toc363122577"/>
      <w:bookmarkStart w:id="248" w:name="_Toc365276934"/>
      <w:r>
        <w:t>Prevalence and Incidence</w:t>
      </w:r>
      <w:bookmarkEnd w:id="245"/>
      <w:bookmarkEnd w:id="246"/>
      <w:bookmarkEnd w:id="247"/>
      <w:bookmarkEnd w:id="248"/>
    </w:p>
    <w:p w:rsidR="00E1265E" w:rsidRPr="00164F8C" w:rsidRDefault="00E1265E"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As this disease group represents a wide range of diseases, no estimates have been presented.</w:t>
      </w:r>
    </w:p>
    <w:p w:rsidR="00927C7E" w:rsidRDefault="00927C7E" w:rsidP="00927C7E">
      <w:pPr>
        <w:pStyle w:val="Heading2"/>
      </w:pPr>
      <w:bookmarkStart w:id="249" w:name="_Toc358124651"/>
      <w:bookmarkStart w:id="250" w:name="_Toc360641451"/>
      <w:bookmarkStart w:id="251" w:name="_Toc360714642"/>
      <w:bookmarkStart w:id="252" w:name="_Toc363122578"/>
      <w:bookmarkStart w:id="253" w:name="_Toc365276935"/>
      <w:r>
        <w:t>Health Outcomes</w:t>
      </w:r>
      <w:bookmarkEnd w:id="249"/>
      <w:bookmarkEnd w:id="250"/>
      <w:bookmarkEnd w:id="251"/>
      <w:bookmarkEnd w:id="252"/>
      <w:bookmarkEnd w:id="253"/>
    </w:p>
    <w:p w:rsidR="006F3409" w:rsidRDefault="00403D3B"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About 34 deaths and 670</w:t>
      </w:r>
      <w:r w:rsidR="006F3409" w:rsidRPr="00164F8C">
        <w:rPr>
          <w:rFonts w:ascii="Arial" w:hAnsi="Arial" w:cs="Arial"/>
          <w:sz w:val="22"/>
        </w:rPr>
        <w:t xml:space="preserve"> DALYs were attributed to other cardiovascular diseases</w:t>
      </w:r>
      <w:r w:rsidR="005649E1" w:rsidRPr="00164F8C">
        <w:rPr>
          <w:rFonts w:ascii="Arial" w:hAnsi="Arial" w:cs="Arial"/>
          <w:sz w:val="22"/>
        </w:rPr>
        <w:t xml:space="preserve"> in 2006</w:t>
      </w:r>
      <w:r w:rsidR="006F3409" w:rsidRPr="00164F8C">
        <w:rPr>
          <w:rFonts w:ascii="Arial" w:hAnsi="Arial" w:cs="Arial"/>
          <w:sz w:val="22"/>
        </w:rPr>
        <w:t>.</w:t>
      </w:r>
      <w:r w:rsidR="005649E1" w:rsidRPr="00164F8C">
        <w:rPr>
          <w:rFonts w:ascii="Arial" w:hAnsi="Arial" w:cs="Arial"/>
          <w:sz w:val="22"/>
        </w:rPr>
        <w:t xml:space="preserve"> </w:t>
      </w:r>
      <w:r w:rsidR="006F3409" w:rsidRPr="00164F8C">
        <w:rPr>
          <w:rFonts w:ascii="Arial" w:hAnsi="Arial" w:cs="Arial"/>
          <w:sz w:val="22"/>
        </w:rPr>
        <w:t xml:space="preserve"> Individuals aged over 80 years and individuals aged 15</w:t>
      </w:r>
      <w:r w:rsidR="00E147D0" w:rsidRPr="00164F8C">
        <w:rPr>
          <w:rFonts w:ascii="Arial" w:hAnsi="Arial" w:cs="Arial"/>
          <w:sz w:val="22"/>
        </w:rPr>
        <w:t>–</w:t>
      </w:r>
      <w:r w:rsidR="006F3409" w:rsidRPr="00164F8C">
        <w:rPr>
          <w:rFonts w:ascii="Arial" w:hAnsi="Arial" w:cs="Arial"/>
          <w:sz w:val="22"/>
        </w:rPr>
        <w:t xml:space="preserve">19 </w:t>
      </w:r>
      <w:r w:rsidR="000533FE" w:rsidRPr="00164F8C">
        <w:rPr>
          <w:rFonts w:ascii="Arial" w:hAnsi="Arial" w:cs="Arial"/>
          <w:sz w:val="22"/>
        </w:rPr>
        <w:t xml:space="preserve">years </w:t>
      </w:r>
      <w:r w:rsidR="006F3409" w:rsidRPr="00164F8C">
        <w:rPr>
          <w:rFonts w:ascii="Arial" w:hAnsi="Arial" w:cs="Arial"/>
          <w:sz w:val="22"/>
        </w:rPr>
        <w:t>accounted for the most deaths and DALYs lost out of all other age groups.</w:t>
      </w:r>
    </w:p>
    <w:p w:rsidR="00930482" w:rsidRPr="00164F8C" w:rsidRDefault="00930482" w:rsidP="00164F8C">
      <w:pPr>
        <w:pStyle w:val="contentbody"/>
        <w:spacing w:before="0" w:beforeAutospacing="0" w:after="120" w:afterAutospacing="0" w:line="360" w:lineRule="auto"/>
        <w:jc w:val="both"/>
        <w:rPr>
          <w:rFonts w:ascii="Arial" w:hAnsi="Arial" w:cs="Arial"/>
          <w:sz w:val="22"/>
        </w:rPr>
      </w:pPr>
      <w:r>
        <w:rPr>
          <w:rFonts w:ascii="Arial" w:hAnsi="Arial" w:cs="Arial"/>
          <w:sz w:val="22"/>
        </w:rPr>
        <w:t xml:space="preserve">Congenital heart defects were not initially grouped with cardiovascular </w:t>
      </w:r>
      <w:r w:rsidR="00365A3A">
        <w:rPr>
          <w:rFonts w:ascii="Arial" w:hAnsi="Arial" w:cs="Arial"/>
          <w:sz w:val="22"/>
        </w:rPr>
        <w:t>conditions;</w:t>
      </w:r>
      <w:r>
        <w:rPr>
          <w:rFonts w:ascii="Arial" w:hAnsi="Arial" w:cs="Arial"/>
          <w:sz w:val="22"/>
        </w:rPr>
        <w:t xml:space="preserve"> however more recent analysis with further consultation and alignment of the disease groupings to the major diagnostic codes has indicated that the most suitable grouping for congenital heart defects is within cardiovascular disease. Reflecting upon the death (58 in 2006) and DALY (4,295 in 2006) results of congenital heart defects from the NZBDS</w:t>
      </w:r>
      <w:r w:rsidR="001418E1">
        <w:rPr>
          <w:rFonts w:ascii="Arial" w:hAnsi="Arial" w:cs="Arial"/>
          <w:sz w:val="22"/>
        </w:rPr>
        <w:t>,</w:t>
      </w:r>
      <w:r>
        <w:rPr>
          <w:rFonts w:ascii="Arial" w:hAnsi="Arial" w:cs="Arial"/>
          <w:sz w:val="22"/>
        </w:rPr>
        <w:t xml:space="preserve"> further analysis of this group will not been carried out at this stage.</w:t>
      </w:r>
    </w:p>
    <w:p w:rsidR="00927C7E" w:rsidRDefault="00927C7E" w:rsidP="00927C7E">
      <w:pPr>
        <w:pStyle w:val="Heading2"/>
      </w:pPr>
      <w:bookmarkStart w:id="254" w:name="_Toc358124652"/>
      <w:bookmarkStart w:id="255" w:name="_Toc360641452"/>
      <w:bookmarkStart w:id="256" w:name="_Toc360714643"/>
      <w:bookmarkStart w:id="257" w:name="_Toc363122579"/>
      <w:bookmarkStart w:id="258" w:name="_Toc365276936"/>
      <w:r>
        <w:t>Health Utilisation and Cost</w:t>
      </w:r>
      <w:bookmarkEnd w:id="254"/>
      <w:bookmarkEnd w:id="255"/>
      <w:bookmarkEnd w:id="256"/>
      <w:bookmarkEnd w:id="257"/>
      <w:bookmarkEnd w:id="258"/>
    </w:p>
    <w:p w:rsidR="009440B1" w:rsidRPr="00164F8C" w:rsidRDefault="009440B1"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The</w:t>
      </w:r>
      <w:r w:rsidR="005649E1" w:rsidRPr="00164F8C">
        <w:rPr>
          <w:rFonts w:ascii="Arial" w:hAnsi="Arial" w:cs="Arial"/>
          <w:sz w:val="22"/>
        </w:rPr>
        <w:t>se other cardiovascular</w:t>
      </w:r>
      <w:r w:rsidRPr="00164F8C">
        <w:rPr>
          <w:rFonts w:ascii="Arial" w:hAnsi="Arial" w:cs="Arial"/>
          <w:sz w:val="22"/>
        </w:rPr>
        <w:t xml:space="preserve"> diseases hospitalised 9,536 people an average of </w:t>
      </w:r>
      <w:r w:rsidR="005F6BCB" w:rsidRPr="00164F8C">
        <w:rPr>
          <w:rFonts w:ascii="Arial" w:hAnsi="Arial" w:cs="Arial"/>
          <w:sz w:val="22"/>
        </w:rPr>
        <w:t>1.1 times for a total of 10,880 discharges</w:t>
      </w:r>
      <w:r w:rsidR="005649E1" w:rsidRPr="00164F8C">
        <w:rPr>
          <w:rFonts w:ascii="Arial" w:hAnsi="Arial" w:cs="Arial"/>
          <w:sz w:val="22"/>
        </w:rPr>
        <w:t xml:space="preserve"> in 2011/12</w:t>
      </w:r>
      <w:r w:rsidR="005F6BCB" w:rsidRPr="00164F8C">
        <w:rPr>
          <w:rFonts w:ascii="Arial" w:hAnsi="Arial" w:cs="Arial"/>
          <w:sz w:val="22"/>
        </w:rPr>
        <w:t>.  Each hospitalisation lasted 2.4 days, on average, and contributed to $54 million worth of costs ($5,600 per hospitalised individual, on average).</w:t>
      </w:r>
    </w:p>
    <w:p w:rsidR="00927C7E" w:rsidRDefault="00927C7E" w:rsidP="009F3F4E">
      <w:pPr>
        <w:pStyle w:val="Heading1"/>
      </w:pPr>
      <w:bookmarkStart w:id="259" w:name="_Toc365276937"/>
      <w:r>
        <w:t>Public Health</w:t>
      </w:r>
      <w:bookmarkEnd w:id="259"/>
    </w:p>
    <w:p w:rsidR="00D94003" w:rsidRPr="00164F8C" w:rsidRDefault="005649E1" w:rsidP="00365A3A">
      <w:pPr>
        <w:pStyle w:val="contentbody"/>
        <w:spacing w:before="120" w:beforeAutospacing="0" w:after="120" w:afterAutospacing="0" w:line="360" w:lineRule="auto"/>
        <w:jc w:val="both"/>
        <w:rPr>
          <w:rFonts w:ascii="Arial" w:hAnsi="Arial" w:cs="Arial"/>
          <w:sz w:val="22"/>
        </w:rPr>
      </w:pPr>
      <w:r w:rsidRPr="00164F8C">
        <w:rPr>
          <w:rFonts w:ascii="Arial" w:hAnsi="Arial" w:cs="Arial"/>
          <w:sz w:val="22"/>
        </w:rPr>
        <w:t>An important</w:t>
      </w:r>
      <w:r w:rsidR="00D94003" w:rsidRPr="00164F8C">
        <w:rPr>
          <w:rFonts w:ascii="Arial" w:hAnsi="Arial" w:cs="Arial"/>
          <w:sz w:val="22"/>
        </w:rPr>
        <w:t xml:space="preserve"> public health initiative within cardiovascular disease is the national health target to increase heart and diabetes checks</w:t>
      </w:r>
      <w:r w:rsidR="00637321">
        <w:rPr>
          <w:rFonts w:ascii="Arial" w:hAnsi="Arial" w:cs="Arial"/>
          <w:sz w:val="22"/>
        </w:rPr>
        <w:t xml:space="preserve">, </w:t>
      </w:r>
      <w:r w:rsidR="00D94003" w:rsidRPr="00164F8C">
        <w:rPr>
          <w:rFonts w:ascii="Arial" w:hAnsi="Arial" w:cs="Arial"/>
          <w:sz w:val="22"/>
        </w:rPr>
        <w:t xml:space="preserve">with the goal of 90% </w:t>
      </w:r>
      <w:r w:rsidR="00640248">
        <w:rPr>
          <w:rFonts w:ascii="Arial" w:hAnsi="Arial" w:cs="Arial"/>
          <w:sz w:val="22"/>
        </w:rPr>
        <w:t xml:space="preserve">of eligible patients receiving these </w:t>
      </w:r>
      <w:r w:rsidR="00D94003" w:rsidRPr="00164F8C">
        <w:rPr>
          <w:rFonts w:ascii="Arial" w:hAnsi="Arial" w:cs="Arial"/>
          <w:sz w:val="22"/>
        </w:rPr>
        <w:t xml:space="preserve">by 2014.  Working with the Health Promotion Agency (HPA), the Ministry of Health </w:t>
      </w:r>
      <w:r w:rsidR="00F9542A" w:rsidRPr="00164F8C">
        <w:rPr>
          <w:rFonts w:ascii="Arial" w:hAnsi="Arial" w:cs="Arial"/>
          <w:sz w:val="22"/>
        </w:rPr>
        <w:t>aims to increase awareness and importance of receiving blood tests to assess one’s risk for cardiovascular disease.</w:t>
      </w:r>
    </w:p>
    <w:p w:rsidR="00DB6096" w:rsidRPr="00164F8C" w:rsidRDefault="00D94003"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Many</w:t>
      </w:r>
      <w:r w:rsidR="00DB6096" w:rsidRPr="00164F8C">
        <w:rPr>
          <w:rFonts w:ascii="Arial" w:hAnsi="Arial" w:cs="Arial"/>
          <w:sz w:val="22"/>
        </w:rPr>
        <w:t xml:space="preserve"> cardiovascular diseases are associated with smoking.  The</w:t>
      </w:r>
      <w:r w:rsidR="00025690" w:rsidRPr="00164F8C">
        <w:rPr>
          <w:rFonts w:ascii="Arial" w:hAnsi="Arial" w:cs="Arial"/>
          <w:sz w:val="22"/>
        </w:rPr>
        <w:t xml:space="preserve"> </w:t>
      </w:r>
      <w:r w:rsidR="00F9542A" w:rsidRPr="00164F8C">
        <w:rPr>
          <w:rFonts w:ascii="Arial" w:hAnsi="Arial" w:cs="Arial"/>
          <w:sz w:val="22"/>
        </w:rPr>
        <w:t>HPA</w:t>
      </w:r>
      <w:r w:rsidR="00DB6096" w:rsidRPr="00164F8C">
        <w:rPr>
          <w:rFonts w:ascii="Arial" w:hAnsi="Arial" w:cs="Arial"/>
          <w:sz w:val="22"/>
        </w:rPr>
        <w:t xml:space="preserve"> in partnership with the Ministry of Health has created various campaigns and tools to help curb tobacco use and track progress </w:t>
      </w:r>
      <w:r w:rsidR="00DB6096" w:rsidRPr="00164F8C">
        <w:rPr>
          <w:rFonts w:ascii="Arial" w:hAnsi="Arial" w:cs="Arial"/>
          <w:sz w:val="22"/>
        </w:rPr>
        <w:fldChar w:fldCharType="begin"/>
      </w:r>
      <w:r w:rsidR="00E96985">
        <w:rPr>
          <w:rFonts w:ascii="Arial" w:hAnsi="Arial" w:cs="Arial"/>
          <w:sz w:val="22"/>
        </w:rPr>
        <w:instrText xml:space="preserve"> ADDIN EN.CITE &lt;EndNote&gt;&lt;Cite&gt;&lt;Author&gt;Health Promotion Agency&lt;/Author&gt;&lt;Year&gt;2013&lt;/Year&gt;&lt;RecNum&gt;753&lt;/RecNum&gt;&lt;DisplayText&gt;&lt;style face="superscript"&gt;(24)&lt;/style&gt;&lt;/DisplayText&gt;&lt;record&gt;&lt;rec-number&gt;753&lt;/rec-number&gt;&lt;foreign-keys&gt;&lt;key app="EN" db-id="paxef0v91tx5e7eaev8xxf2xd92zvrfrv592"&gt;753&lt;/key&gt;&lt;/foreign-keys&gt;&lt;ref-type name="Web Page"&gt;12&lt;/ref-type&gt;&lt;contributors&gt;&lt;authors&gt;&lt;author&gt;Health Promotion Agency,&lt;/author&gt;&lt;/authors&gt;&lt;/contributors&gt;&lt;titles&gt;&lt;title&gt;Tobacco Control&lt;/title&gt;&lt;/titles&gt;&lt;volume&gt;2013&lt;/volume&gt;&lt;number&gt;1 July&lt;/number&gt;&lt;dates&gt;&lt;year&gt;2013&lt;/year&gt;&lt;/dates&gt;&lt;urls&gt;&lt;related-urls&gt;&lt;url&gt;http://www.hpa.org.nz/what-we-do/tobacco-control&lt;/url&gt;&lt;/related-urls&gt;&lt;/urls&gt;&lt;/record&gt;&lt;/Cite&gt;&lt;/EndNote&gt;</w:instrText>
      </w:r>
      <w:r w:rsidR="00DB6096" w:rsidRPr="00164F8C">
        <w:rPr>
          <w:rFonts w:ascii="Arial" w:hAnsi="Arial" w:cs="Arial"/>
          <w:sz w:val="22"/>
        </w:rPr>
        <w:fldChar w:fldCharType="separate"/>
      </w:r>
      <w:r w:rsidR="00E96985" w:rsidRPr="00E96985">
        <w:rPr>
          <w:rFonts w:ascii="Arial" w:hAnsi="Arial" w:cs="Arial"/>
          <w:noProof/>
          <w:sz w:val="22"/>
          <w:vertAlign w:val="superscript"/>
        </w:rPr>
        <w:t>(</w:t>
      </w:r>
      <w:hyperlink w:anchor="_ENREF_24" w:tooltip="Health Promotion Agency, 2013 #753" w:history="1">
        <w:r w:rsidR="001418E1" w:rsidRPr="00E96985">
          <w:rPr>
            <w:rFonts w:ascii="Arial" w:hAnsi="Arial" w:cs="Arial"/>
            <w:noProof/>
            <w:sz w:val="22"/>
            <w:vertAlign w:val="superscript"/>
          </w:rPr>
          <w:t>24</w:t>
        </w:r>
      </w:hyperlink>
      <w:r w:rsidR="00E96985" w:rsidRPr="00E96985">
        <w:rPr>
          <w:rFonts w:ascii="Arial" w:hAnsi="Arial" w:cs="Arial"/>
          <w:noProof/>
          <w:sz w:val="22"/>
          <w:vertAlign w:val="superscript"/>
        </w:rPr>
        <w:t>)</w:t>
      </w:r>
      <w:r w:rsidR="00DB6096" w:rsidRPr="00164F8C">
        <w:rPr>
          <w:rFonts w:ascii="Arial" w:hAnsi="Arial" w:cs="Arial"/>
          <w:sz w:val="22"/>
        </w:rPr>
        <w:fldChar w:fldCharType="end"/>
      </w:r>
      <w:r w:rsidR="00DB6096" w:rsidRPr="00164F8C">
        <w:rPr>
          <w:rFonts w:ascii="Arial" w:hAnsi="Arial" w:cs="Arial"/>
          <w:sz w:val="22"/>
        </w:rPr>
        <w:t xml:space="preserve">.  </w:t>
      </w:r>
    </w:p>
    <w:p w:rsidR="00DB6096" w:rsidRPr="00164F8C" w:rsidRDefault="00DB6096"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lastRenderedPageBreak/>
        <w:t>Of the smoking cessation programmes, Smokefree 2025 represents the broad overall goal of the smaller, targeted programmes.  The goal is to reach smoking levels of less than 5% of the population by 2025 through a combination of price increases and youth-centred anti-smoking campaigns.</w:t>
      </w:r>
    </w:p>
    <w:p w:rsidR="00112D43" w:rsidRPr="00164F8C" w:rsidRDefault="00DB6096"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These campaigns are primarily focused on Māori youth since smoking disproportionately affects this population.  Through the ‘Smoking Not Our Future’ campaign, smoke free rock concerts and partnerships with schools, the proportion of 14-15 year olds who have never smoked increased from 33% in 2000 to 70% in 2011. </w:t>
      </w:r>
      <w:r w:rsidR="00E147D0" w:rsidRPr="00164F8C">
        <w:rPr>
          <w:rFonts w:ascii="Arial" w:hAnsi="Arial" w:cs="Arial"/>
          <w:sz w:val="22"/>
        </w:rPr>
        <w:t xml:space="preserve">Other tobacco control efforts include </w:t>
      </w:r>
      <w:r w:rsidRPr="00164F8C">
        <w:rPr>
          <w:rFonts w:ascii="Arial" w:hAnsi="Arial" w:cs="Arial"/>
          <w:sz w:val="22"/>
        </w:rPr>
        <w:t xml:space="preserve">tax increases and pictorial warnings. </w:t>
      </w:r>
    </w:p>
    <w:p w:rsidR="00DB6096" w:rsidRPr="00164F8C" w:rsidRDefault="00112D43"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Rheumatic fever, a leading cause of rheumatic </w:t>
      </w:r>
      <w:r w:rsidR="00E147D0" w:rsidRPr="00164F8C">
        <w:rPr>
          <w:rFonts w:ascii="Arial" w:hAnsi="Arial" w:cs="Arial"/>
          <w:sz w:val="22"/>
        </w:rPr>
        <w:t xml:space="preserve">heart </w:t>
      </w:r>
      <w:r w:rsidRPr="00164F8C">
        <w:rPr>
          <w:rFonts w:ascii="Arial" w:hAnsi="Arial" w:cs="Arial"/>
          <w:sz w:val="22"/>
        </w:rPr>
        <w:t xml:space="preserve">disease has been </w:t>
      </w:r>
      <w:r w:rsidR="00025690" w:rsidRPr="00164F8C">
        <w:rPr>
          <w:rFonts w:ascii="Arial" w:hAnsi="Arial" w:cs="Arial"/>
          <w:sz w:val="22"/>
        </w:rPr>
        <w:t xml:space="preserve">identified </w:t>
      </w:r>
      <w:r w:rsidRPr="00164F8C">
        <w:rPr>
          <w:rFonts w:ascii="Arial" w:hAnsi="Arial" w:cs="Arial"/>
          <w:sz w:val="22"/>
        </w:rPr>
        <w:t xml:space="preserve">as a priority area for the Ministry of Health.  The result has been an expansion of throat swabbing in schools for </w:t>
      </w:r>
      <w:r w:rsidR="00025690" w:rsidRPr="00164F8C">
        <w:rPr>
          <w:rFonts w:ascii="Arial" w:hAnsi="Arial" w:cs="Arial"/>
          <w:sz w:val="22"/>
        </w:rPr>
        <w:t>streptococcal throat infections</w:t>
      </w:r>
      <w:r w:rsidR="00FE7190" w:rsidRPr="00164F8C">
        <w:rPr>
          <w:rFonts w:ascii="Arial" w:hAnsi="Arial" w:cs="Arial"/>
          <w:sz w:val="22"/>
        </w:rPr>
        <w:t xml:space="preserve"> </w:t>
      </w:r>
      <w:r w:rsidRPr="00164F8C">
        <w:rPr>
          <w:rFonts w:ascii="Arial" w:hAnsi="Arial" w:cs="Arial"/>
          <w:sz w:val="22"/>
        </w:rPr>
        <w:t xml:space="preserve">with the aim to reduce the incidence </w:t>
      </w:r>
      <w:r w:rsidR="00025690" w:rsidRPr="00164F8C">
        <w:rPr>
          <w:rFonts w:ascii="Arial" w:hAnsi="Arial" w:cs="Arial"/>
          <w:sz w:val="22"/>
        </w:rPr>
        <w:t xml:space="preserve">of rheumatic fever </w:t>
      </w:r>
      <w:r w:rsidRPr="00164F8C">
        <w:rPr>
          <w:rFonts w:ascii="Arial" w:hAnsi="Arial" w:cs="Arial"/>
          <w:sz w:val="22"/>
        </w:rPr>
        <w:t>in children.  This expansion of services has been made possible with a $24 million funding boost over 5 years.</w:t>
      </w:r>
      <w:r w:rsidR="00DB6096" w:rsidRPr="00164F8C">
        <w:rPr>
          <w:rFonts w:ascii="Arial" w:hAnsi="Arial" w:cs="Arial"/>
          <w:sz w:val="22"/>
        </w:rPr>
        <w:t xml:space="preserve">  </w:t>
      </w:r>
    </w:p>
    <w:p w:rsidR="00D94003" w:rsidRPr="00164F8C" w:rsidRDefault="00D94003"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Additional public health initiatives include a commitment to improve nutrition and physical activity, especially among younger individuals.  The work of the HPA in this field includes educational campaigns to increase knowledge about good nutrition in schools, advocating the importance of children eating breakfast and working with the Ministry of Health to produce guidelines about food and nutrition.  These publications include guidelines for parents</w:t>
      </w:r>
      <w:r w:rsidR="00E147D0" w:rsidRPr="00164F8C">
        <w:rPr>
          <w:rFonts w:ascii="Arial" w:hAnsi="Arial" w:cs="Arial"/>
          <w:sz w:val="22"/>
        </w:rPr>
        <w:t xml:space="preserve"> and</w:t>
      </w:r>
      <w:r w:rsidRPr="00164F8C">
        <w:rPr>
          <w:rFonts w:ascii="Arial" w:hAnsi="Arial" w:cs="Arial"/>
          <w:sz w:val="22"/>
        </w:rPr>
        <w:t xml:space="preserve"> health practitioners as well as older people.</w:t>
      </w:r>
    </w:p>
    <w:p w:rsidR="00927C7E" w:rsidRDefault="00927C7E" w:rsidP="009F3F4E">
      <w:pPr>
        <w:pStyle w:val="Heading1"/>
      </w:pPr>
      <w:bookmarkStart w:id="260" w:name="_Toc365276938"/>
      <w:r w:rsidRPr="008432FC">
        <w:t>New and Growing</w:t>
      </w:r>
      <w:bookmarkEnd w:id="260"/>
    </w:p>
    <w:p w:rsidR="00403D3B" w:rsidRPr="00164F8C" w:rsidRDefault="00403D3B" w:rsidP="00365A3A">
      <w:pPr>
        <w:pStyle w:val="contentbody"/>
        <w:spacing w:before="120" w:beforeAutospacing="0" w:after="120" w:afterAutospacing="0" w:line="360" w:lineRule="auto"/>
        <w:jc w:val="both"/>
        <w:rPr>
          <w:rFonts w:ascii="Arial" w:hAnsi="Arial" w:cs="Arial"/>
          <w:sz w:val="22"/>
        </w:rPr>
      </w:pPr>
      <w:r w:rsidRPr="00164F8C">
        <w:rPr>
          <w:rFonts w:ascii="Arial" w:hAnsi="Arial" w:cs="Arial"/>
          <w:sz w:val="22"/>
        </w:rPr>
        <w:t xml:space="preserve">This section highlights the </w:t>
      </w:r>
      <w:r w:rsidR="005649E1" w:rsidRPr="00164F8C">
        <w:rPr>
          <w:rFonts w:ascii="Arial" w:hAnsi="Arial" w:cs="Arial"/>
          <w:sz w:val="22"/>
        </w:rPr>
        <w:t xml:space="preserve">hospitalisation </w:t>
      </w:r>
      <w:r w:rsidRPr="00164F8C">
        <w:rPr>
          <w:rFonts w:ascii="Arial" w:hAnsi="Arial" w:cs="Arial"/>
          <w:sz w:val="22"/>
        </w:rPr>
        <w:t xml:space="preserve">growth pattern in </w:t>
      </w:r>
      <w:r w:rsidR="00613127" w:rsidRPr="00164F8C">
        <w:rPr>
          <w:rFonts w:ascii="Arial" w:hAnsi="Arial" w:cs="Arial"/>
          <w:sz w:val="22"/>
        </w:rPr>
        <w:t>cardiovascular</w:t>
      </w:r>
      <w:r w:rsidR="00E147D0" w:rsidRPr="00164F8C">
        <w:rPr>
          <w:rFonts w:ascii="Arial" w:hAnsi="Arial" w:cs="Arial"/>
          <w:sz w:val="22"/>
        </w:rPr>
        <w:t xml:space="preserve"> </w:t>
      </w:r>
      <w:r w:rsidRPr="00164F8C">
        <w:rPr>
          <w:rFonts w:ascii="Arial" w:hAnsi="Arial" w:cs="Arial"/>
          <w:sz w:val="22"/>
        </w:rPr>
        <w:t>diseases from 2009/10</w:t>
      </w:r>
      <w:r w:rsidR="00E147D0" w:rsidRPr="00164F8C">
        <w:rPr>
          <w:rFonts w:ascii="Arial" w:hAnsi="Arial" w:cs="Arial"/>
          <w:sz w:val="22"/>
        </w:rPr>
        <w:t>–20</w:t>
      </w:r>
      <w:r w:rsidRPr="00164F8C">
        <w:rPr>
          <w:rFonts w:ascii="Arial" w:hAnsi="Arial" w:cs="Arial"/>
          <w:sz w:val="22"/>
        </w:rPr>
        <w:t xml:space="preserve">11/12.  Total </w:t>
      </w:r>
      <w:r w:rsidR="00DE7B5F" w:rsidRPr="00164F8C">
        <w:rPr>
          <w:rFonts w:ascii="Arial" w:hAnsi="Arial" w:cs="Arial"/>
          <w:sz w:val="22"/>
        </w:rPr>
        <w:t xml:space="preserve">hospitalisation cost </w:t>
      </w:r>
      <w:r w:rsidRPr="00164F8C">
        <w:rPr>
          <w:rFonts w:ascii="Arial" w:hAnsi="Arial" w:cs="Arial"/>
          <w:sz w:val="22"/>
        </w:rPr>
        <w:t xml:space="preserve">growth over this period for all </w:t>
      </w:r>
      <w:r w:rsidR="00613127" w:rsidRPr="00164F8C">
        <w:rPr>
          <w:rFonts w:ascii="Arial" w:hAnsi="Arial" w:cs="Arial"/>
          <w:sz w:val="22"/>
        </w:rPr>
        <w:t>cardiovascular</w:t>
      </w:r>
      <w:r w:rsidRPr="00164F8C">
        <w:rPr>
          <w:rFonts w:ascii="Arial" w:hAnsi="Arial" w:cs="Arial"/>
          <w:sz w:val="22"/>
        </w:rPr>
        <w:t xml:space="preserve"> diseases was 2.6%.</w:t>
      </w:r>
      <w:r w:rsidR="00DE7B5F" w:rsidRPr="00164F8C">
        <w:rPr>
          <w:rFonts w:ascii="Arial" w:hAnsi="Arial" w:cs="Arial"/>
          <w:sz w:val="22"/>
        </w:rPr>
        <w:t xml:space="preserve">  </w:t>
      </w:r>
    </w:p>
    <w:p w:rsidR="00DE7B5F" w:rsidRPr="00164F8C" w:rsidRDefault="00DE7B5F"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In terms of relative growth, HTN grew significantly quick</w:t>
      </w:r>
      <w:r w:rsidR="00FD0607" w:rsidRPr="00164F8C">
        <w:rPr>
          <w:rFonts w:ascii="Arial" w:hAnsi="Arial" w:cs="Arial"/>
          <w:sz w:val="22"/>
        </w:rPr>
        <w:t>er</w:t>
      </w:r>
      <w:r w:rsidRPr="00164F8C">
        <w:rPr>
          <w:rFonts w:ascii="Arial" w:hAnsi="Arial" w:cs="Arial"/>
          <w:sz w:val="22"/>
        </w:rPr>
        <w:t xml:space="preserve"> than the other </w:t>
      </w:r>
      <w:r w:rsidR="00025690" w:rsidRPr="00164F8C">
        <w:rPr>
          <w:rFonts w:ascii="Arial" w:hAnsi="Arial" w:cs="Arial"/>
          <w:sz w:val="22"/>
        </w:rPr>
        <w:t>cardiovascular</w:t>
      </w:r>
      <w:r w:rsidRPr="00164F8C">
        <w:rPr>
          <w:rFonts w:ascii="Arial" w:hAnsi="Arial" w:cs="Arial"/>
          <w:sz w:val="22"/>
        </w:rPr>
        <w:t xml:space="preserve"> diseases at 37.2% followed by inflammatory heart disease (8.4%) and rheumatic </w:t>
      </w:r>
      <w:r w:rsidR="00E147D0" w:rsidRPr="00164F8C">
        <w:rPr>
          <w:rFonts w:ascii="Arial" w:hAnsi="Arial" w:cs="Arial"/>
          <w:sz w:val="22"/>
        </w:rPr>
        <w:t xml:space="preserve">heart </w:t>
      </w:r>
      <w:r w:rsidRPr="00164F8C">
        <w:rPr>
          <w:rFonts w:ascii="Arial" w:hAnsi="Arial" w:cs="Arial"/>
          <w:sz w:val="22"/>
        </w:rPr>
        <w:t xml:space="preserve">disease (7.3%).  Although these </w:t>
      </w:r>
      <w:r w:rsidR="005649E1" w:rsidRPr="00164F8C">
        <w:rPr>
          <w:rFonts w:ascii="Arial" w:hAnsi="Arial" w:cs="Arial"/>
          <w:sz w:val="22"/>
        </w:rPr>
        <w:t>three</w:t>
      </w:r>
      <w:r w:rsidRPr="00164F8C">
        <w:rPr>
          <w:rFonts w:ascii="Arial" w:hAnsi="Arial" w:cs="Arial"/>
          <w:sz w:val="22"/>
        </w:rPr>
        <w:t xml:space="preserve"> diseases grew the fastest of all </w:t>
      </w:r>
      <w:r w:rsidR="00025690" w:rsidRPr="00164F8C">
        <w:rPr>
          <w:rFonts w:ascii="Arial" w:hAnsi="Arial" w:cs="Arial"/>
          <w:sz w:val="22"/>
        </w:rPr>
        <w:t>cardiovascular</w:t>
      </w:r>
      <w:r w:rsidRPr="00164F8C">
        <w:rPr>
          <w:rFonts w:ascii="Arial" w:hAnsi="Arial" w:cs="Arial"/>
          <w:sz w:val="22"/>
        </w:rPr>
        <w:t xml:space="preserve"> diseases, their combined expenditure was $14 million or less than 3% of total </w:t>
      </w:r>
      <w:r w:rsidR="00613127" w:rsidRPr="00164F8C">
        <w:rPr>
          <w:rFonts w:ascii="Arial" w:hAnsi="Arial" w:cs="Arial"/>
          <w:sz w:val="22"/>
        </w:rPr>
        <w:t>cardiovascular</w:t>
      </w:r>
      <w:r w:rsidRPr="00164F8C">
        <w:rPr>
          <w:rFonts w:ascii="Arial" w:hAnsi="Arial" w:cs="Arial"/>
          <w:sz w:val="22"/>
        </w:rPr>
        <w:t xml:space="preserve"> hospitalisation expenditure.</w:t>
      </w:r>
    </w:p>
    <w:p w:rsidR="00017FF7" w:rsidRDefault="00DE7B5F" w:rsidP="00A63BA1">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IHD grew modestly at 1.6%, but in real terms this translated into over $3.6 million of </w:t>
      </w:r>
      <w:r w:rsidR="00025690" w:rsidRPr="00164F8C">
        <w:rPr>
          <w:rFonts w:ascii="Arial" w:hAnsi="Arial" w:cs="Arial"/>
          <w:sz w:val="22"/>
        </w:rPr>
        <w:t xml:space="preserve">hospital </w:t>
      </w:r>
      <w:r w:rsidRPr="00164F8C">
        <w:rPr>
          <w:rFonts w:ascii="Arial" w:hAnsi="Arial" w:cs="Arial"/>
          <w:sz w:val="22"/>
        </w:rPr>
        <w:t xml:space="preserve">cost growth.  With the exclusion of the aggregated ‘other’ category, </w:t>
      </w:r>
      <w:r w:rsidR="00FE7190" w:rsidRPr="00164F8C">
        <w:rPr>
          <w:rFonts w:ascii="Arial" w:hAnsi="Arial" w:cs="Arial"/>
          <w:sz w:val="22"/>
        </w:rPr>
        <w:t>NRVHD</w:t>
      </w:r>
      <w:r w:rsidRPr="00164F8C">
        <w:rPr>
          <w:rFonts w:ascii="Arial" w:hAnsi="Arial" w:cs="Arial"/>
          <w:sz w:val="22"/>
        </w:rPr>
        <w:t xml:space="preserve"> grew second fastest in real terms with growth of 6.0% or about $2.2 million</w:t>
      </w:r>
      <w:r w:rsidR="00025690" w:rsidRPr="00164F8C">
        <w:rPr>
          <w:rFonts w:ascii="Arial" w:hAnsi="Arial" w:cs="Arial"/>
          <w:sz w:val="22"/>
        </w:rPr>
        <w:t xml:space="preserve"> in hospital costs</w:t>
      </w:r>
      <w:r w:rsidRPr="00164F8C">
        <w:rPr>
          <w:rFonts w:ascii="Arial" w:hAnsi="Arial" w:cs="Arial"/>
          <w:sz w:val="22"/>
        </w:rPr>
        <w:t>.  Lastly, stroke grew at 2.5% or about $1.7 million.</w:t>
      </w:r>
    </w:p>
    <w:p w:rsidR="00017FF7" w:rsidRDefault="00017FF7" w:rsidP="00A63BA1">
      <w:pPr>
        <w:pStyle w:val="contentbody"/>
        <w:spacing w:before="0" w:beforeAutospacing="0" w:after="120" w:afterAutospacing="0" w:line="360" w:lineRule="auto"/>
        <w:jc w:val="both"/>
        <w:rPr>
          <w:rFonts w:ascii="Arial" w:hAnsi="Arial" w:cs="Arial"/>
          <w:sz w:val="22"/>
          <w:szCs w:val="22"/>
        </w:rPr>
      </w:pPr>
      <w:r>
        <w:rPr>
          <w:rFonts w:ascii="Arial" w:hAnsi="Arial" w:cs="Arial"/>
          <w:sz w:val="22"/>
          <w:szCs w:val="22"/>
        </w:rPr>
        <w:t xml:space="preserve">In addition to new and growing disease areas, within cardiovascular disease there is a significant amount of new technology on the horizon.  These technologies have been summarised in the HealthPACT- commissioned DLA-Piper report on New and Emerging Technologies in Australian </w:t>
      </w:r>
      <w:r>
        <w:rPr>
          <w:rFonts w:ascii="Arial" w:hAnsi="Arial" w:cs="Arial"/>
          <w:sz w:val="22"/>
          <w:szCs w:val="22"/>
        </w:rPr>
        <w:lastRenderedPageBreak/>
        <w:t>and New Zealand Public Health Services over the Next Decade</w:t>
      </w:r>
      <w:r>
        <w:rPr>
          <w:rStyle w:val="FootnoteReference"/>
          <w:rFonts w:ascii="Arial" w:hAnsi="Arial" w:cs="Arial"/>
          <w:sz w:val="22"/>
          <w:szCs w:val="22"/>
        </w:rPr>
        <w:footnoteReference w:id="4"/>
      </w:r>
      <w:r>
        <w:rPr>
          <w:rFonts w:ascii="Arial" w:hAnsi="Arial" w:cs="Arial"/>
          <w:sz w:val="22"/>
          <w:szCs w:val="22"/>
        </w:rPr>
        <w:t>.  The report highlights seven areas of significance:</w:t>
      </w:r>
    </w:p>
    <w:p w:rsidR="00017FF7" w:rsidRDefault="00017FF7" w:rsidP="00017FF7">
      <w:pPr>
        <w:pStyle w:val="contentbody"/>
        <w:numPr>
          <w:ilvl w:val="0"/>
          <w:numId w:val="13"/>
        </w:numPr>
        <w:spacing w:before="0" w:beforeAutospacing="0" w:after="120" w:afterAutospacing="0" w:line="360" w:lineRule="auto"/>
        <w:rPr>
          <w:rFonts w:ascii="Arial" w:hAnsi="Arial" w:cs="Arial"/>
          <w:sz w:val="22"/>
          <w:szCs w:val="22"/>
        </w:rPr>
      </w:pPr>
      <w:r w:rsidRPr="00017FF7">
        <w:rPr>
          <w:rFonts w:ascii="Arial" w:hAnsi="Arial" w:cs="Arial"/>
          <w:sz w:val="22"/>
          <w:szCs w:val="22"/>
        </w:rPr>
        <w:t>Trans-Cathete</w:t>
      </w:r>
      <w:r>
        <w:rPr>
          <w:rFonts w:ascii="Arial" w:hAnsi="Arial" w:cs="Arial"/>
          <w:sz w:val="22"/>
          <w:szCs w:val="22"/>
        </w:rPr>
        <w:t>r Aortic Valve Implantation (TAV</w:t>
      </w:r>
      <w:r w:rsidRPr="00017FF7">
        <w:rPr>
          <w:rFonts w:ascii="Arial" w:hAnsi="Arial" w:cs="Arial"/>
          <w:sz w:val="22"/>
          <w:szCs w:val="22"/>
        </w:rPr>
        <w:t>I)</w:t>
      </w:r>
    </w:p>
    <w:p w:rsidR="00017FF7" w:rsidRPr="00017FF7" w:rsidRDefault="00017FF7" w:rsidP="00017FF7">
      <w:pPr>
        <w:pStyle w:val="contentbody"/>
        <w:numPr>
          <w:ilvl w:val="0"/>
          <w:numId w:val="13"/>
        </w:numPr>
        <w:spacing w:before="0" w:beforeAutospacing="0" w:after="120" w:afterAutospacing="0" w:line="360" w:lineRule="auto"/>
        <w:rPr>
          <w:rFonts w:ascii="Arial" w:hAnsi="Arial" w:cs="Arial"/>
          <w:sz w:val="22"/>
          <w:szCs w:val="22"/>
        </w:rPr>
      </w:pPr>
      <w:r>
        <w:rPr>
          <w:rFonts w:ascii="Arial" w:hAnsi="Arial" w:cs="Arial"/>
          <w:sz w:val="22"/>
          <w:szCs w:val="22"/>
        </w:rPr>
        <w:t>Trans-Catheter Mitral Valve Repair/Replacement</w:t>
      </w:r>
    </w:p>
    <w:p w:rsidR="00017FF7" w:rsidRPr="00017FF7" w:rsidRDefault="00D7532F" w:rsidP="00017FF7">
      <w:pPr>
        <w:pStyle w:val="contentbody"/>
        <w:numPr>
          <w:ilvl w:val="0"/>
          <w:numId w:val="13"/>
        </w:numPr>
        <w:spacing w:before="0" w:beforeAutospacing="0" w:after="120" w:afterAutospacing="0" w:line="360" w:lineRule="auto"/>
        <w:rPr>
          <w:rFonts w:ascii="Arial" w:hAnsi="Arial" w:cs="Arial"/>
          <w:sz w:val="22"/>
          <w:szCs w:val="22"/>
        </w:rPr>
      </w:pPr>
      <w:r>
        <w:rPr>
          <w:rFonts w:ascii="Arial" w:hAnsi="Arial" w:cs="Arial"/>
          <w:sz w:val="22"/>
          <w:szCs w:val="22"/>
        </w:rPr>
        <w:t xml:space="preserve">Percutaneous </w:t>
      </w:r>
      <w:r w:rsidR="00017FF7" w:rsidRPr="00017FF7">
        <w:rPr>
          <w:rFonts w:ascii="Arial" w:hAnsi="Arial" w:cs="Arial"/>
          <w:sz w:val="22"/>
          <w:szCs w:val="22"/>
        </w:rPr>
        <w:t xml:space="preserve">Left Atrial Appendage Occlusion </w:t>
      </w:r>
      <w:r w:rsidR="00692C4B">
        <w:rPr>
          <w:rFonts w:ascii="Arial" w:hAnsi="Arial" w:cs="Arial"/>
          <w:sz w:val="22"/>
          <w:szCs w:val="22"/>
        </w:rPr>
        <w:t>Interventions</w:t>
      </w:r>
    </w:p>
    <w:p w:rsidR="00017FF7" w:rsidRPr="00017FF7" w:rsidRDefault="00017FF7" w:rsidP="00017FF7">
      <w:pPr>
        <w:pStyle w:val="contentbody"/>
        <w:numPr>
          <w:ilvl w:val="0"/>
          <w:numId w:val="13"/>
        </w:numPr>
        <w:spacing w:before="0" w:beforeAutospacing="0" w:after="120" w:afterAutospacing="0" w:line="360" w:lineRule="auto"/>
        <w:rPr>
          <w:rFonts w:ascii="Arial" w:hAnsi="Arial" w:cs="Arial"/>
          <w:sz w:val="22"/>
          <w:szCs w:val="22"/>
        </w:rPr>
      </w:pPr>
      <w:r w:rsidRPr="00017FF7">
        <w:rPr>
          <w:rFonts w:ascii="Arial" w:hAnsi="Arial" w:cs="Arial"/>
          <w:sz w:val="22"/>
          <w:szCs w:val="22"/>
        </w:rPr>
        <w:t>Pump/Assist Devices for Heart Failure</w:t>
      </w:r>
    </w:p>
    <w:p w:rsidR="00017FF7" w:rsidRPr="00017FF7" w:rsidRDefault="00017FF7" w:rsidP="00017FF7">
      <w:pPr>
        <w:pStyle w:val="contentbody"/>
        <w:numPr>
          <w:ilvl w:val="0"/>
          <w:numId w:val="13"/>
        </w:numPr>
        <w:spacing w:before="0" w:beforeAutospacing="0" w:after="120" w:afterAutospacing="0" w:line="360" w:lineRule="auto"/>
        <w:rPr>
          <w:rFonts w:ascii="Arial" w:hAnsi="Arial" w:cs="Arial"/>
          <w:sz w:val="22"/>
          <w:szCs w:val="22"/>
        </w:rPr>
      </w:pPr>
      <w:r w:rsidRPr="00017FF7">
        <w:rPr>
          <w:rFonts w:ascii="Arial" w:hAnsi="Arial" w:cs="Arial"/>
          <w:sz w:val="22"/>
          <w:szCs w:val="22"/>
        </w:rPr>
        <w:t>Pacemakers and Implantable Cardiac Defibrillators (ICDs)</w:t>
      </w:r>
    </w:p>
    <w:p w:rsidR="00017FF7" w:rsidRPr="00017FF7" w:rsidRDefault="00017FF7" w:rsidP="00017FF7">
      <w:pPr>
        <w:pStyle w:val="contentbody"/>
        <w:numPr>
          <w:ilvl w:val="0"/>
          <w:numId w:val="13"/>
        </w:numPr>
        <w:spacing w:before="0" w:beforeAutospacing="0" w:after="120" w:afterAutospacing="0" w:line="360" w:lineRule="auto"/>
        <w:rPr>
          <w:rFonts w:ascii="Arial" w:hAnsi="Arial" w:cs="Arial"/>
          <w:sz w:val="22"/>
          <w:szCs w:val="22"/>
        </w:rPr>
      </w:pPr>
      <w:r w:rsidRPr="00017FF7">
        <w:rPr>
          <w:rFonts w:ascii="Arial" w:hAnsi="Arial" w:cs="Arial"/>
          <w:sz w:val="22"/>
          <w:szCs w:val="22"/>
        </w:rPr>
        <w:t>Renal Denervation (RDN)</w:t>
      </w:r>
    </w:p>
    <w:p w:rsidR="00017FF7" w:rsidRPr="00017FF7" w:rsidRDefault="00017FF7" w:rsidP="00017FF7">
      <w:pPr>
        <w:pStyle w:val="contentbody"/>
        <w:numPr>
          <w:ilvl w:val="0"/>
          <w:numId w:val="13"/>
        </w:numPr>
        <w:spacing w:before="0" w:beforeAutospacing="0" w:after="120" w:afterAutospacing="0" w:line="360" w:lineRule="auto"/>
      </w:pPr>
      <w:r w:rsidRPr="00017FF7">
        <w:rPr>
          <w:rFonts w:ascii="Arial" w:hAnsi="Arial" w:cs="Arial"/>
          <w:sz w:val="22"/>
          <w:szCs w:val="22"/>
        </w:rPr>
        <w:t>Genetic Testing</w:t>
      </w:r>
    </w:p>
    <w:p w:rsidR="00017FF7" w:rsidRDefault="00017FF7" w:rsidP="00365A3A">
      <w:pPr>
        <w:pStyle w:val="contentbody"/>
        <w:spacing w:before="0" w:beforeAutospacing="0" w:after="120" w:afterAutospacing="0" w:line="360" w:lineRule="auto"/>
        <w:jc w:val="both"/>
        <w:rPr>
          <w:rFonts w:ascii="Arial" w:hAnsi="Arial" w:cs="Arial"/>
          <w:sz w:val="22"/>
          <w:szCs w:val="22"/>
        </w:rPr>
      </w:pPr>
      <w:r w:rsidRPr="00017FF7">
        <w:rPr>
          <w:rFonts w:ascii="Arial" w:hAnsi="Arial" w:cs="Arial"/>
          <w:sz w:val="22"/>
          <w:szCs w:val="22"/>
        </w:rPr>
        <w:t xml:space="preserve">TAVI, </w:t>
      </w:r>
      <w:r>
        <w:rPr>
          <w:rFonts w:ascii="Arial" w:hAnsi="Arial" w:cs="Arial"/>
          <w:sz w:val="22"/>
          <w:szCs w:val="22"/>
        </w:rPr>
        <w:t xml:space="preserve">trans-catheter mitral valve repair/replacement, left atrial appendage occlusion </w:t>
      </w:r>
      <w:r w:rsidR="00692C4B">
        <w:rPr>
          <w:rFonts w:ascii="Arial" w:hAnsi="Arial" w:cs="Arial"/>
          <w:sz w:val="22"/>
          <w:szCs w:val="22"/>
        </w:rPr>
        <w:t xml:space="preserve">interventions </w:t>
      </w:r>
      <w:r>
        <w:rPr>
          <w:rFonts w:ascii="Arial" w:hAnsi="Arial" w:cs="Arial"/>
          <w:sz w:val="22"/>
          <w:szCs w:val="22"/>
        </w:rPr>
        <w:t xml:space="preserve">and RDN </w:t>
      </w:r>
      <w:r w:rsidR="001418E1">
        <w:rPr>
          <w:rFonts w:ascii="Arial" w:hAnsi="Arial" w:cs="Arial"/>
          <w:sz w:val="22"/>
          <w:szCs w:val="22"/>
        </w:rPr>
        <w:t>are separate to</w:t>
      </w:r>
      <w:r w:rsidR="00F444E5">
        <w:rPr>
          <w:rFonts w:ascii="Arial" w:hAnsi="Arial" w:cs="Arial"/>
          <w:sz w:val="22"/>
          <w:szCs w:val="22"/>
        </w:rPr>
        <w:t xml:space="preserve"> NHC assessment work.</w:t>
      </w:r>
      <w:r>
        <w:rPr>
          <w:rFonts w:ascii="Arial" w:hAnsi="Arial" w:cs="Arial"/>
          <w:sz w:val="22"/>
          <w:szCs w:val="22"/>
        </w:rPr>
        <w:t xml:space="preserve">  Pump/assist devices, pacemakers and ICD as well as genetic testing have not yet been assessed by the NHC.</w:t>
      </w:r>
    </w:p>
    <w:p w:rsidR="00017FF7" w:rsidRDefault="00017FF7" w:rsidP="00365A3A">
      <w:pPr>
        <w:pStyle w:val="contentbody"/>
        <w:spacing w:before="0" w:beforeAutospacing="0" w:after="120" w:afterAutospacing="0" w:line="360" w:lineRule="auto"/>
        <w:jc w:val="both"/>
        <w:rPr>
          <w:rFonts w:ascii="Arial" w:hAnsi="Arial" w:cs="Arial"/>
          <w:sz w:val="22"/>
          <w:szCs w:val="22"/>
        </w:rPr>
      </w:pPr>
      <w:r>
        <w:rPr>
          <w:rFonts w:ascii="Arial" w:hAnsi="Arial" w:cs="Arial"/>
          <w:sz w:val="22"/>
          <w:szCs w:val="22"/>
        </w:rPr>
        <w:t xml:space="preserve">Pump/assist </w:t>
      </w:r>
      <w:r w:rsidR="00692C4B">
        <w:rPr>
          <w:rFonts w:ascii="Arial" w:hAnsi="Arial" w:cs="Arial"/>
          <w:sz w:val="22"/>
          <w:szCs w:val="22"/>
        </w:rPr>
        <w:t xml:space="preserve">interventions </w:t>
      </w:r>
      <w:r>
        <w:rPr>
          <w:rFonts w:ascii="Arial" w:hAnsi="Arial" w:cs="Arial"/>
          <w:sz w:val="22"/>
          <w:szCs w:val="22"/>
        </w:rPr>
        <w:t xml:space="preserve">for heart failure are </w:t>
      </w:r>
      <w:r w:rsidR="00692C4B">
        <w:rPr>
          <w:rFonts w:ascii="Arial" w:hAnsi="Arial" w:cs="Arial"/>
          <w:sz w:val="22"/>
          <w:szCs w:val="22"/>
        </w:rPr>
        <w:t xml:space="preserve">interventions </w:t>
      </w:r>
      <w:r>
        <w:rPr>
          <w:rFonts w:ascii="Arial" w:hAnsi="Arial" w:cs="Arial"/>
          <w:sz w:val="22"/>
          <w:szCs w:val="22"/>
        </w:rPr>
        <w:t xml:space="preserve">that aid the heart’s ability to pump blood during heart failure.  With cardiomyopathy and IHD being major underlying causes of heart failure, the potential growth of these </w:t>
      </w:r>
      <w:r w:rsidR="00692C4B">
        <w:rPr>
          <w:rFonts w:ascii="Arial" w:hAnsi="Arial" w:cs="Arial"/>
          <w:sz w:val="22"/>
          <w:szCs w:val="22"/>
        </w:rPr>
        <w:t xml:space="preserve">interventions </w:t>
      </w:r>
      <w:r>
        <w:rPr>
          <w:rFonts w:ascii="Arial" w:hAnsi="Arial" w:cs="Arial"/>
          <w:sz w:val="22"/>
          <w:szCs w:val="22"/>
        </w:rPr>
        <w:t xml:space="preserve">could be significant.  </w:t>
      </w:r>
      <w:r w:rsidR="00692C4B">
        <w:rPr>
          <w:rFonts w:ascii="Arial" w:hAnsi="Arial" w:cs="Arial"/>
          <w:sz w:val="22"/>
          <w:szCs w:val="22"/>
        </w:rPr>
        <w:t>These interventions will be explored further in Tier 2 analysis on IHD.</w:t>
      </w:r>
    </w:p>
    <w:p w:rsidR="00017FF7" w:rsidRDefault="00017FF7" w:rsidP="00365A3A">
      <w:pPr>
        <w:pStyle w:val="contentbody"/>
        <w:spacing w:before="0" w:beforeAutospacing="0" w:after="120" w:afterAutospacing="0" w:line="360" w:lineRule="auto"/>
        <w:jc w:val="both"/>
        <w:rPr>
          <w:rFonts w:ascii="Arial" w:hAnsi="Arial" w:cs="Arial"/>
          <w:sz w:val="22"/>
          <w:szCs w:val="22"/>
        </w:rPr>
      </w:pPr>
      <w:r>
        <w:rPr>
          <w:rFonts w:ascii="Arial" w:hAnsi="Arial" w:cs="Arial"/>
          <w:sz w:val="22"/>
          <w:szCs w:val="22"/>
        </w:rPr>
        <w:t xml:space="preserve">Pacemakers and ICDs help the heart to maintain or correct proper and improper electrical activity.  Patients with certain types of </w:t>
      </w:r>
      <w:r w:rsidR="00120CEB">
        <w:rPr>
          <w:rFonts w:ascii="Arial" w:hAnsi="Arial" w:cs="Arial"/>
          <w:sz w:val="22"/>
          <w:szCs w:val="22"/>
        </w:rPr>
        <w:t>arrhythmias</w:t>
      </w:r>
      <w:r w:rsidR="00F025E7">
        <w:rPr>
          <w:rFonts w:ascii="Arial" w:hAnsi="Arial" w:cs="Arial"/>
          <w:sz w:val="22"/>
          <w:szCs w:val="22"/>
        </w:rPr>
        <w:t xml:space="preserve"> </w:t>
      </w:r>
      <w:r>
        <w:rPr>
          <w:rFonts w:ascii="Arial" w:hAnsi="Arial" w:cs="Arial"/>
          <w:sz w:val="22"/>
          <w:szCs w:val="22"/>
        </w:rPr>
        <w:t>or cardiomyopathies may be indicated for a pacemaker or ICD depending on the severity of the arrhythmias or potential for arrhythmias.</w:t>
      </w:r>
      <w:r w:rsidR="00692C4B">
        <w:rPr>
          <w:rFonts w:ascii="Arial" w:hAnsi="Arial" w:cs="Arial"/>
          <w:sz w:val="22"/>
          <w:szCs w:val="22"/>
        </w:rPr>
        <w:t xml:space="preserve">  ICDs will also be explored in greater depth in Tier 2 IHD analysis.</w:t>
      </w:r>
    </w:p>
    <w:p w:rsidR="00692C4B" w:rsidRDefault="00017FF7" w:rsidP="00365A3A">
      <w:pPr>
        <w:pStyle w:val="contentbody"/>
        <w:spacing w:before="0" w:beforeAutospacing="0" w:after="120" w:afterAutospacing="0" w:line="360" w:lineRule="auto"/>
        <w:jc w:val="both"/>
        <w:rPr>
          <w:rFonts w:ascii="Arial" w:hAnsi="Arial" w:cs="Arial"/>
          <w:sz w:val="22"/>
          <w:szCs w:val="22"/>
        </w:rPr>
      </w:pPr>
      <w:r>
        <w:rPr>
          <w:rFonts w:ascii="Arial" w:hAnsi="Arial" w:cs="Arial"/>
          <w:sz w:val="22"/>
          <w:szCs w:val="22"/>
        </w:rPr>
        <w:t xml:space="preserve">Genetic testing may play a part in both testing for a particular condition and treating a condition.  Certain diseases such as IHD have a genetic component and patients may benefit from learning about their risk for the disease.  </w:t>
      </w:r>
      <w:r w:rsidR="00692C4B">
        <w:rPr>
          <w:rFonts w:ascii="Arial" w:hAnsi="Arial" w:cs="Arial"/>
          <w:sz w:val="22"/>
          <w:szCs w:val="22"/>
        </w:rPr>
        <w:t xml:space="preserve">IHD is just one example of where genetic testing may aid in screening for particular diseases, an area the NHC is likely to conduct further work in 2013/14. </w:t>
      </w:r>
    </w:p>
    <w:p w:rsidR="00692C4B" w:rsidRPr="005F1D79" w:rsidRDefault="00017FF7" w:rsidP="00365A3A">
      <w:pPr>
        <w:spacing w:line="360" w:lineRule="auto"/>
        <w:jc w:val="both"/>
        <w:rPr>
          <w:sz w:val="22"/>
        </w:rPr>
      </w:pPr>
      <w:r w:rsidRPr="005F1D79">
        <w:rPr>
          <w:sz w:val="22"/>
        </w:rPr>
        <w:t>Genetic testing may also impact on treatments since some pharmaceuticals are only indicated in persons with a particular genetic makeup.  Likewise, with the rise of personalised medicine, treatments may be tailored to a person’s genes utilising genetic testing.  Further work in this area is expected later in the year from the NHC.</w:t>
      </w:r>
    </w:p>
    <w:p w:rsidR="00927C7E" w:rsidRDefault="00927C7E" w:rsidP="009F3F4E">
      <w:pPr>
        <w:pStyle w:val="Heading1"/>
      </w:pPr>
      <w:bookmarkStart w:id="261" w:name="_Toc365276939"/>
      <w:r>
        <w:lastRenderedPageBreak/>
        <w:t>Discussion and Limitations</w:t>
      </w:r>
      <w:bookmarkEnd w:id="261"/>
    </w:p>
    <w:p w:rsidR="00305D17" w:rsidRPr="00164F8C" w:rsidRDefault="00305D17" w:rsidP="00365A3A">
      <w:pPr>
        <w:pStyle w:val="contentbody"/>
        <w:spacing w:before="120" w:beforeAutospacing="0" w:after="120" w:afterAutospacing="0" w:line="360" w:lineRule="auto"/>
        <w:jc w:val="both"/>
        <w:rPr>
          <w:rFonts w:ascii="Arial" w:hAnsi="Arial" w:cs="Arial"/>
          <w:sz w:val="22"/>
        </w:rPr>
      </w:pPr>
      <w:r w:rsidRPr="00164F8C">
        <w:rPr>
          <w:rFonts w:ascii="Arial" w:hAnsi="Arial" w:cs="Arial"/>
          <w:sz w:val="22"/>
        </w:rPr>
        <w:t>This section synthesises the evidence above for each disease.  For a summary of hospitalisations and costs by disease, see Appendix 1.  This section concludes with a discussion on the limitations of this report.  It is divided into a section for each of the Committee’s relevant decision-making criteria:</w:t>
      </w:r>
    </w:p>
    <w:p w:rsidR="00305D17" w:rsidRPr="00FE7190" w:rsidRDefault="00305D17" w:rsidP="00164F8C">
      <w:pPr>
        <w:pStyle w:val="ListParagraph"/>
        <w:numPr>
          <w:ilvl w:val="0"/>
          <w:numId w:val="5"/>
        </w:numPr>
        <w:spacing w:line="360" w:lineRule="auto"/>
        <w:rPr>
          <w:sz w:val="22"/>
          <w:szCs w:val="24"/>
        </w:rPr>
      </w:pPr>
      <w:r w:rsidRPr="00FE7190">
        <w:rPr>
          <w:sz w:val="22"/>
          <w:szCs w:val="24"/>
        </w:rPr>
        <w:t>Health and Independence Gain</w:t>
      </w:r>
    </w:p>
    <w:p w:rsidR="00305D17" w:rsidRPr="00FE7190" w:rsidRDefault="00305D17" w:rsidP="00164F8C">
      <w:pPr>
        <w:pStyle w:val="ListParagraph"/>
        <w:numPr>
          <w:ilvl w:val="0"/>
          <w:numId w:val="5"/>
        </w:numPr>
        <w:spacing w:line="360" w:lineRule="auto"/>
        <w:rPr>
          <w:sz w:val="22"/>
          <w:szCs w:val="24"/>
        </w:rPr>
      </w:pPr>
      <w:r w:rsidRPr="00FE7190">
        <w:rPr>
          <w:sz w:val="22"/>
          <w:szCs w:val="24"/>
        </w:rPr>
        <w:t>Equity</w:t>
      </w:r>
    </w:p>
    <w:p w:rsidR="00305D17" w:rsidRPr="00FE7190" w:rsidRDefault="00305D17" w:rsidP="00164F8C">
      <w:pPr>
        <w:pStyle w:val="ListParagraph"/>
        <w:numPr>
          <w:ilvl w:val="0"/>
          <w:numId w:val="5"/>
        </w:numPr>
        <w:spacing w:line="360" w:lineRule="auto"/>
        <w:rPr>
          <w:sz w:val="22"/>
          <w:szCs w:val="24"/>
        </w:rPr>
      </w:pPr>
      <w:r w:rsidRPr="00FE7190">
        <w:rPr>
          <w:sz w:val="22"/>
          <w:szCs w:val="24"/>
        </w:rPr>
        <w:t>Materiality</w:t>
      </w:r>
    </w:p>
    <w:p w:rsidR="00305D17" w:rsidRPr="00FE7190" w:rsidRDefault="00305D17" w:rsidP="00164F8C">
      <w:pPr>
        <w:pStyle w:val="ListParagraph"/>
        <w:numPr>
          <w:ilvl w:val="0"/>
          <w:numId w:val="5"/>
        </w:numPr>
        <w:spacing w:line="360" w:lineRule="auto"/>
        <w:rPr>
          <w:sz w:val="22"/>
          <w:szCs w:val="24"/>
        </w:rPr>
      </w:pPr>
      <w:r w:rsidRPr="00FE7190">
        <w:rPr>
          <w:sz w:val="22"/>
          <w:szCs w:val="24"/>
        </w:rPr>
        <w:t>Policy Congruence</w:t>
      </w:r>
    </w:p>
    <w:p w:rsidR="00305D17" w:rsidRPr="00FE7190" w:rsidRDefault="00305D17" w:rsidP="00164F8C">
      <w:pPr>
        <w:pStyle w:val="ListParagraph"/>
        <w:numPr>
          <w:ilvl w:val="0"/>
          <w:numId w:val="5"/>
        </w:numPr>
        <w:spacing w:line="360" w:lineRule="auto"/>
        <w:rPr>
          <w:sz w:val="22"/>
          <w:szCs w:val="24"/>
        </w:rPr>
      </w:pPr>
      <w:r w:rsidRPr="00FE7190">
        <w:rPr>
          <w:sz w:val="22"/>
          <w:szCs w:val="24"/>
        </w:rPr>
        <w:t>Risk</w:t>
      </w:r>
    </w:p>
    <w:p w:rsidR="00305D17" w:rsidRPr="00164F8C" w:rsidRDefault="004E2C05"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As </w:t>
      </w:r>
      <w:r w:rsidR="00305D17" w:rsidRPr="00164F8C">
        <w:rPr>
          <w:rFonts w:ascii="Arial" w:hAnsi="Arial" w:cs="Arial"/>
          <w:sz w:val="22"/>
        </w:rPr>
        <w:t>this document explores disease states as opposed to specific interventions, some of the NHC’s decision-making criteria and assessment domains used in health technology assessments are not appropriate.  For example, whilst clinical safety and effectiveness are important considerations for making a recommendation as to whether or not an intervention should be funded, they are not applicable to diseases since a disease cannot be defined as clinically safe or effective.  Similarly, the affordability, feasibility of adoption and value for money criteria were not assessed.</w:t>
      </w:r>
      <w:r w:rsidR="0095046C">
        <w:rPr>
          <w:rFonts w:ascii="Arial" w:hAnsi="Arial" w:cs="Arial"/>
          <w:sz w:val="22"/>
        </w:rPr>
        <w:t xml:space="preserve">  Whilst this report does take into account the 5 criteria above, the recommendation is mostly informed by materiality and health and independence gain.  With an explicit focus on the financial burden of diseases in the programme budget and the epidemiological burden of prevalence/incidence, this report presents robust evidence on materiality and health and independence gain.  </w:t>
      </w:r>
      <w:r w:rsidR="009952A3">
        <w:rPr>
          <w:rFonts w:ascii="Arial" w:hAnsi="Arial" w:cs="Arial"/>
          <w:sz w:val="22"/>
        </w:rPr>
        <w:t>Documents in the subsequent</w:t>
      </w:r>
      <w:r w:rsidR="0095046C">
        <w:rPr>
          <w:rFonts w:ascii="Arial" w:hAnsi="Arial" w:cs="Arial"/>
          <w:sz w:val="22"/>
        </w:rPr>
        <w:t xml:space="preserve"> tiers will encompass a more explicit look at the rest of the decision-making criteria.</w:t>
      </w:r>
    </w:p>
    <w:p w:rsidR="00305D17" w:rsidRDefault="00305D17" w:rsidP="00305D17">
      <w:pPr>
        <w:pStyle w:val="Heading2"/>
      </w:pPr>
      <w:bookmarkStart w:id="262" w:name="_Toc360641456"/>
      <w:bookmarkStart w:id="263" w:name="_Toc360714647"/>
      <w:bookmarkStart w:id="264" w:name="_Toc363122583"/>
      <w:bookmarkStart w:id="265" w:name="_Toc365276940"/>
      <w:r>
        <w:t>Health and Independence Gain</w:t>
      </w:r>
      <w:bookmarkEnd w:id="262"/>
      <w:bookmarkEnd w:id="263"/>
      <w:bookmarkEnd w:id="264"/>
      <w:bookmarkEnd w:id="265"/>
    </w:p>
    <w:p w:rsidR="00A27E5B" w:rsidRPr="00164F8C" w:rsidRDefault="00A27E5B"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IHD contributed to over 6,000 deaths and over 80,000 DALYs, both significantly higher than the next most bur</w:t>
      </w:r>
      <w:r w:rsidR="00FD0607" w:rsidRPr="00164F8C">
        <w:rPr>
          <w:rFonts w:ascii="Arial" w:hAnsi="Arial" w:cs="Arial"/>
          <w:sz w:val="22"/>
        </w:rPr>
        <w:t>densome disease stroke (Figure 9</w:t>
      </w:r>
      <w:r w:rsidRPr="00164F8C">
        <w:rPr>
          <w:rFonts w:ascii="Arial" w:hAnsi="Arial" w:cs="Arial"/>
          <w:sz w:val="22"/>
        </w:rPr>
        <w:t>).  IHD and stroke contributed to a combined 80% and 81% of total DALYs and deaths, respectively, with IHD accounting fo</w:t>
      </w:r>
      <w:r w:rsidR="00FD0607" w:rsidRPr="00164F8C">
        <w:rPr>
          <w:rFonts w:ascii="Arial" w:hAnsi="Arial" w:cs="Arial"/>
          <w:sz w:val="22"/>
        </w:rPr>
        <w:t>r over half the total (Figures 10 and 11</w:t>
      </w:r>
      <w:r w:rsidRPr="00164F8C">
        <w:rPr>
          <w:rFonts w:ascii="Arial" w:hAnsi="Arial" w:cs="Arial"/>
          <w:sz w:val="22"/>
        </w:rPr>
        <w:t xml:space="preserve">).  With a total IHD population of 193,000 and a stroke population of 62,000 the potential health gain from improving the pathway of care for both of these diseases </w:t>
      </w:r>
      <w:r w:rsidR="00FD0607" w:rsidRPr="00164F8C">
        <w:rPr>
          <w:rFonts w:ascii="Arial" w:hAnsi="Arial" w:cs="Arial"/>
          <w:sz w:val="22"/>
        </w:rPr>
        <w:t>c</w:t>
      </w:r>
      <w:r w:rsidRPr="00164F8C">
        <w:rPr>
          <w:rFonts w:ascii="Arial" w:hAnsi="Arial" w:cs="Arial"/>
          <w:sz w:val="22"/>
        </w:rPr>
        <w:t xml:space="preserve">ould be significant.  </w:t>
      </w:r>
      <w:r w:rsidRPr="00BA2D26">
        <w:rPr>
          <w:rFonts w:ascii="Arial" w:hAnsi="Arial" w:cs="Arial"/>
          <w:sz w:val="22"/>
        </w:rPr>
        <w:t>These gains would also be realised by a large proportion of the population, many of whom have significantly worse health outcomes than the general population.</w:t>
      </w:r>
      <w:r w:rsidR="00173803" w:rsidRPr="00BA2D26">
        <w:rPr>
          <w:rFonts w:ascii="Arial" w:hAnsi="Arial" w:cs="Arial"/>
          <w:sz w:val="22"/>
        </w:rPr>
        <w:t xml:space="preserve">  In terms of absolute prevalence, DALY and death burden, IHD places the most </w:t>
      </w:r>
      <w:r w:rsidR="00173803" w:rsidRPr="00164F8C">
        <w:rPr>
          <w:rFonts w:ascii="Arial" w:hAnsi="Arial" w:cs="Arial"/>
          <w:sz w:val="22"/>
        </w:rPr>
        <w:t xml:space="preserve">burden on health independence compared to all other </w:t>
      </w:r>
      <w:r w:rsidR="00025690" w:rsidRPr="00164F8C">
        <w:rPr>
          <w:rFonts w:ascii="Arial" w:hAnsi="Arial" w:cs="Arial"/>
          <w:sz w:val="22"/>
        </w:rPr>
        <w:t>cardiovascular</w:t>
      </w:r>
      <w:r w:rsidR="001418E1">
        <w:rPr>
          <w:rFonts w:ascii="Arial" w:hAnsi="Arial" w:cs="Arial"/>
          <w:sz w:val="22"/>
        </w:rPr>
        <w:t xml:space="preserve"> diseases</w:t>
      </w:r>
      <w:r w:rsidR="00173803" w:rsidRPr="00164F8C">
        <w:rPr>
          <w:rFonts w:ascii="Arial" w:hAnsi="Arial" w:cs="Arial"/>
          <w:sz w:val="22"/>
        </w:rPr>
        <w:t>.</w:t>
      </w:r>
    </w:p>
    <w:p w:rsidR="00FD0607" w:rsidRPr="00A27E5B" w:rsidRDefault="00FD0607" w:rsidP="005F1D79">
      <w:pPr>
        <w:pStyle w:val="Figure"/>
        <w:spacing w:line="276" w:lineRule="auto"/>
      </w:pPr>
      <w:r>
        <w:lastRenderedPageBreak/>
        <w:t>Figure 9: Deaths and DALYs by Disease</w:t>
      </w:r>
    </w:p>
    <w:p w:rsidR="00365A3A" w:rsidRDefault="002941DA" w:rsidP="00365A3A">
      <w:pPr>
        <w:pStyle w:val="Caption"/>
      </w:pPr>
      <w:r>
        <w:rPr>
          <w:noProof/>
          <w:lang w:eastAsia="en-NZ"/>
        </w:rPr>
        <w:drawing>
          <wp:inline distT="0" distB="0" distL="0" distR="0" wp14:anchorId="41760D27" wp14:editId="68E36802">
            <wp:extent cx="5727939" cy="4037162"/>
            <wp:effectExtent l="0" t="0" r="6350" b="19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D0607" w:rsidRDefault="00FD0607" w:rsidP="00365A3A">
      <w:pPr>
        <w:pStyle w:val="Caption"/>
      </w:pPr>
      <w:r>
        <w:t>Source: NZBDS</w:t>
      </w:r>
      <w:r w:rsidR="00A63BA1">
        <w:t xml:space="preserve"> 2013</w:t>
      </w:r>
    </w:p>
    <w:p w:rsidR="00FD0607" w:rsidRDefault="00FD0607" w:rsidP="00FD0607">
      <w:pPr>
        <w:pStyle w:val="Figure"/>
      </w:pPr>
      <w:r>
        <w:t>Figure 10: DALYs by Disease</w:t>
      </w:r>
    </w:p>
    <w:p w:rsidR="00EC40BE" w:rsidRDefault="002941DA" w:rsidP="00164F8C">
      <w:pPr>
        <w:pStyle w:val="Figure"/>
        <w:jc w:val="center"/>
      </w:pPr>
      <w:r>
        <w:rPr>
          <w:noProof/>
          <w:lang w:eastAsia="en-NZ"/>
        </w:rPr>
        <w:drawing>
          <wp:inline distT="0" distB="0" distL="0" distR="0" wp14:anchorId="771A0292" wp14:editId="3BE17FD1">
            <wp:extent cx="5874589" cy="3493699"/>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0607" w:rsidRPr="00FD0607" w:rsidRDefault="00FD0607" w:rsidP="00365A3A">
      <w:pPr>
        <w:pStyle w:val="Caption"/>
      </w:pPr>
      <w:r>
        <w:t>Source: NZBDS</w:t>
      </w:r>
      <w:r w:rsidR="00A63BA1">
        <w:t xml:space="preserve"> 2013</w:t>
      </w:r>
    </w:p>
    <w:p w:rsidR="00FD0607" w:rsidRDefault="00FD0607" w:rsidP="00FD0607">
      <w:pPr>
        <w:pStyle w:val="Figure"/>
      </w:pPr>
      <w:r>
        <w:lastRenderedPageBreak/>
        <w:t>Figure 11: Deaths by Disease</w:t>
      </w:r>
    </w:p>
    <w:p w:rsidR="00FD0607" w:rsidRDefault="002941DA" w:rsidP="00164F8C">
      <w:pPr>
        <w:pStyle w:val="Figure"/>
        <w:jc w:val="center"/>
      </w:pPr>
      <w:r>
        <w:rPr>
          <w:noProof/>
          <w:lang w:eastAsia="en-NZ"/>
        </w:rPr>
        <w:drawing>
          <wp:inline distT="0" distB="0" distL="0" distR="0" wp14:anchorId="54F15A9A" wp14:editId="4A2DB271">
            <wp:extent cx="6064370" cy="3648973"/>
            <wp:effectExtent l="0" t="0" r="0" b="889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0607" w:rsidRPr="00FD0607" w:rsidRDefault="00FD0607" w:rsidP="00365A3A">
      <w:pPr>
        <w:pStyle w:val="Caption"/>
      </w:pPr>
      <w:r>
        <w:t>Source: NZBDS</w:t>
      </w:r>
      <w:r w:rsidR="00A63BA1">
        <w:t xml:space="preserve"> 2013</w:t>
      </w:r>
    </w:p>
    <w:p w:rsidR="00305D17" w:rsidRDefault="00305D17" w:rsidP="00305D17">
      <w:pPr>
        <w:pStyle w:val="Heading2"/>
      </w:pPr>
      <w:bookmarkStart w:id="266" w:name="_Toc360641457"/>
      <w:bookmarkStart w:id="267" w:name="_Toc360714648"/>
      <w:bookmarkStart w:id="268" w:name="_Toc363122584"/>
      <w:bookmarkStart w:id="269" w:name="_Toc365276941"/>
      <w:r>
        <w:t>Equity</w:t>
      </w:r>
      <w:bookmarkEnd w:id="266"/>
      <w:bookmarkEnd w:id="267"/>
      <w:bookmarkEnd w:id="268"/>
      <w:bookmarkEnd w:id="269"/>
    </w:p>
    <w:p w:rsidR="00FD0607" w:rsidRPr="00164F8C" w:rsidRDefault="00173803"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For every </w:t>
      </w:r>
      <w:r w:rsidR="00025690" w:rsidRPr="00164F8C">
        <w:rPr>
          <w:rFonts w:ascii="Arial" w:hAnsi="Arial" w:cs="Arial"/>
          <w:sz w:val="22"/>
        </w:rPr>
        <w:t>cardiovascular</w:t>
      </w:r>
      <w:r w:rsidRPr="00164F8C">
        <w:rPr>
          <w:rFonts w:ascii="Arial" w:hAnsi="Arial" w:cs="Arial"/>
          <w:sz w:val="22"/>
        </w:rPr>
        <w:t xml:space="preserve"> disease, </w:t>
      </w:r>
      <w:r w:rsidR="00154557" w:rsidRPr="00164F8C">
        <w:rPr>
          <w:rFonts w:ascii="Arial" w:hAnsi="Arial" w:cs="Arial"/>
          <w:sz w:val="22"/>
        </w:rPr>
        <w:t>Māori</w:t>
      </w:r>
      <w:r w:rsidRPr="00164F8C">
        <w:rPr>
          <w:rFonts w:ascii="Arial" w:hAnsi="Arial" w:cs="Arial"/>
          <w:sz w:val="22"/>
        </w:rPr>
        <w:t xml:space="preserve"> had a higher proportion of both deaths and DALYs than non-</w:t>
      </w:r>
      <w:r w:rsidR="00154557" w:rsidRPr="00164F8C">
        <w:rPr>
          <w:rFonts w:ascii="Arial" w:hAnsi="Arial" w:cs="Arial"/>
          <w:sz w:val="22"/>
        </w:rPr>
        <w:t>Māori</w:t>
      </w:r>
      <w:r w:rsidR="00FD0607" w:rsidRPr="00164F8C">
        <w:rPr>
          <w:rFonts w:ascii="Arial" w:hAnsi="Arial" w:cs="Arial"/>
          <w:sz w:val="22"/>
        </w:rPr>
        <w:t xml:space="preserve"> (Figures 12 and 13)</w:t>
      </w:r>
      <w:r w:rsidRPr="00164F8C">
        <w:rPr>
          <w:rFonts w:ascii="Arial" w:hAnsi="Arial" w:cs="Arial"/>
          <w:sz w:val="22"/>
        </w:rPr>
        <w:t xml:space="preserve">.  This trend is especially true for DALYs attributable to IHD with </w:t>
      </w:r>
      <w:r w:rsidR="00154557" w:rsidRPr="00164F8C">
        <w:rPr>
          <w:rFonts w:ascii="Arial" w:hAnsi="Arial" w:cs="Arial"/>
          <w:sz w:val="22"/>
        </w:rPr>
        <w:t>Māori</w:t>
      </w:r>
      <w:r w:rsidRPr="00164F8C">
        <w:rPr>
          <w:rFonts w:ascii="Arial" w:hAnsi="Arial" w:cs="Arial"/>
          <w:sz w:val="22"/>
        </w:rPr>
        <w:t xml:space="preserve"> having a DALY burden that is 3 times that of non-</w:t>
      </w:r>
      <w:r w:rsidR="00154557" w:rsidRPr="00164F8C">
        <w:rPr>
          <w:rFonts w:ascii="Arial" w:hAnsi="Arial" w:cs="Arial"/>
          <w:sz w:val="22"/>
        </w:rPr>
        <w:t>Māori</w:t>
      </w:r>
      <w:r w:rsidRPr="00164F8C">
        <w:rPr>
          <w:rFonts w:ascii="Arial" w:hAnsi="Arial" w:cs="Arial"/>
          <w:sz w:val="22"/>
        </w:rPr>
        <w:t xml:space="preserve">.  Also, </w:t>
      </w:r>
      <w:r w:rsidR="00154557" w:rsidRPr="00164F8C">
        <w:rPr>
          <w:rFonts w:ascii="Arial" w:hAnsi="Arial" w:cs="Arial"/>
          <w:sz w:val="22"/>
        </w:rPr>
        <w:t>Māori</w:t>
      </w:r>
      <w:r w:rsidRPr="00164F8C">
        <w:rPr>
          <w:rFonts w:ascii="Arial" w:hAnsi="Arial" w:cs="Arial"/>
          <w:sz w:val="22"/>
        </w:rPr>
        <w:t xml:space="preserve"> had a three-fold burden of stroke death than non-</w:t>
      </w:r>
      <w:r w:rsidR="00154557" w:rsidRPr="00164F8C">
        <w:rPr>
          <w:rFonts w:ascii="Arial" w:hAnsi="Arial" w:cs="Arial"/>
          <w:sz w:val="22"/>
        </w:rPr>
        <w:t>Māori</w:t>
      </w:r>
      <w:r w:rsidRPr="00164F8C">
        <w:rPr>
          <w:rFonts w:ascii="Arial" w:hAnsi="Arial" w:cs="Arial"/>
          <w:sz w:val="22"/>
        </w:rPr>
        <w:t xml:space="preserve">.  A focus on any of these diseases would likely help improve health inequities, but given the high DALY and death burden associated with IHD (more than any other </w:t>
      </w:r>
      <w:r w:rsidR="00025690" w:rsidRPr="00164F8C">
        <w:rPr>
          <w:rFonts w:ascii="Arial" w:hAnsi="Arial" w:cs="Arial"/>
          <w:sz w:val="22"/>
        </w:rPr>
        <w:t>cardiovascular</w:t>
      </w:r>
      <w:r w:rsidRPr="00164F8C">
        <w:rPr>
          <w:rFonts w:ascii="Arial" w:hAnsi="Arial" w:cs="Arial"/>
          <w:sz w:val="22"/>
        </w:rPr>
        <w:t xml:space="preserve"> disease), a focus on IHD has the greatest potential to reduce health inequities between </w:t>
      </w:r>
      <w:r w:rsidR="00154557" w:rsidRPr="00164F8C">
        <w:rPr>
          <w:rFonts w:ascii="Arial" w:hAnsi="Arial" w:cs="Arial"/>
          <w:sz w:val="22"/>
        </w:rPr>
        <w:t>Māori</w:t>
      </w:r>
      <w:r w:rsidRPr="00164F8C">
        <w:rPr>
          <w:rFonts w:ascii="Arial" w:hAnsi="Arial" w:cs="Arial"/>
          <w:sz w:val="22"/>
        </w:rPr>
        <w:t xml:space="preserve"> and non-</w:t>
      </w:r>
      <w:r w:rsidR="00154557" w:rsidRPr="00164F8C">
        <w:rPr>
          <w:rFonts w:ascii="Arial" w:hAnsi="Arial" w:cs="Arial"/>
          <w:sz w:val="22"/>
        </w:rPr>
        <w:t>Māori</w:t>
      </w:r>
      <w:r w:rsidRPr="00164F8C">
        <w:rPr>
          <w:rFonts w:ascii="Arial" w:hAnsi="Arial" w:cs="Arial"/>
          <w:sz w:val="22"/>
        </w:rPr>
        <w:t>.</w:t>
      </w:r>
    </w:p>
    <w:p w:rsidR="00FD0607" w:rsidRPr="00173803" w:rsidRDefault="00FD0607" w:rsidP="005F1D79">
      <w:pPr>
        <w:pStyle w:val="Figure"/>
        <w:spacing w:line="276" w:lineRule="auto"/>
      </w:pPr>
      <w:r>
        <w:lastRenderedPageBreak/>
        <w:t>Figure 12: Death Rate per 100,000 for Māori and non-Māori</w:t>
      </w:r>
    </w:p>
    <w:p w:rsidR="00F24FBD" w:rsidRDefault="00062971" w:rsidP="00164F8C">
      <w:pPr>
        <w:jc w:val="center"/>
      </w:pPr>
      <w:r>
        <w:rPr>
          <w:noProof/>
          <w:lang w:eastAsia="en-NZ"/>
        </w:rPr>
        <w:drawing>
          <wp:inline distT="0" distB="0" distL="0" distR="0" wp14:anchorId="5623737D" wp14:editId="29126578">
            <wp:extent cx="5954573" cy="2926080"/>
            <wp:effectExtent l="0" t="0" r="825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D0607" w:rsidRDefault="00FD0607" w:rsidP="00365A3A">
      <w:pPr>
        <w:pStyle w:val="Caption"/>
      </w:pPr>
      <w:r>
        <w:t>Source: NZBDS</w:t>
      </w:r>
      <w:r w:rsidR="00A63BA1">
        <w:t xml:space="preserve"> 2013</w:t>
      </w:r>
    </w:p>
    <w:p w:rsidR="00FD0607" w:rsidRDefault="00FD0607" w:rsidP="005F1D79">
      <w:pPr>
        <w:pStyle w:val="Figure"/>
        <w:spacing w:line="276" w:lineRule="auto"/>
      </w:pPr>
      <w:r>
        <w:t>Figure 13: DALY rate per 100,000 for Māori and non-Māori</w:t>
      </w:r>
    </w:p>
    <w:p w:rsidR="00F24FBD" w:rsidRDefault="00062971" w:rsidP="00164F8C">
      <w:pPr>
        <w:jc w:val="center"/>
      </w:pPr>
      <w:r>
        <w:rPr>
          <w:noProof/>
          <w:lang w:eastAsia="en-NZ"/>
        </w:rPr>
        <w:drawing>
          <wp:inline distT="0" distB="0" distL="0" distR="0" wp14:anchorId="41CB6504" wp14:editId="32EF1BAD">
            <wp:extent cx="5954573" cy="2860243"/>
            <wp:effectExtent l="0" t="0" r="825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D0607" w:rsidRPr="00F24FBD" w:rsidRDefault="00FD0607" w:rsidP="00365A3A">
      <w:pPr>
        <w:pStyle w:val="Caption"/>
      </w:pPr>
      <w:r>
        <w:t>Source: NZBDS</w:t>
      </w:r>
      <w:r w:rsidR="00A63BA1">
        <w:t xml:space="preserve"> 2013</w:t>
      </w:r>
    </w:p>
    <w:p w:rsidR="00305D17" w:rsidRDefault="00305D17" w:rsidP="00305D17">
      <w:pPr>
        <w:pStyle w:val="Heading2"/>
      </w:pPr>
      <w:bookmarkStart w:id="270" w:name="_Toc360641458"/>
      <w:bookmarkStart w:id="271" w:name="_Toc360714649"/>
      <w:bookmarkStart w:id="272" w:name="_Toc363122585"/>
      <w:bookmarkStart w:id="273" w:name="_Toc365276942"/>
      <w:r>
        <w:t>Materiality</w:t>
      </w:r>
      <w:bookmarkEnd w:id="270"/>
      <w:bookmarkEnd w:id="271"/>
      <w:bookmarkEnd w:id="272"/>
      <w:bookmarkEnd w:id="273"/>
    </w:p>
    <w:p w:rsidR="00043E90" w:rsidRPr="00164F8C" w:rsidRDefault="00043E90"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Materiality in this report is defined as the potential for health efficiency gains.  The NHC’s goal is to improve health outcomes by investing in technology that provides the greatest value for money.  Efficiencies may be realised through:</w:t>
      </w:r>
    </w:p>
    <w:p w:rsidR="00043E90" w:rsidRPr="00FE7190" w:rsidRDefault="00043E90" w:rsidP="00164F8C">
      <w:pPr>
        <w:pStyle w:val="ListParagraph"/>
        <w:numPr>
          <w:ilvl w:val="0"/>
          <w:numId w:val="5"/>
        </w:numPr>
        <w:autoSpaceDE w:val="0"/>
        <w:autoSpaceDN w:val="0"/>
        <w:adjustRightInd w:val="0"/>
        <w:spacing w:after="240" w:line="360" w:lineRule="auto"/>
        <w:rPr>
          <w:rFonts w:cs="Arial"/>
          <w:color w:val="000000"/>
          <w:sz w:val="22"/>
          <w:szCs w:val="24"/>
        </w:rPr>
      </w:pPr>
      <w:r w:rsidRPr="00FE7190">
        <w:rPr>
          <w:rFonts w:cs="Arial"/>
          <w:color w:val="000000"/>
          <w:sz w:val="22"/>
          <w:szCs w:val="24"/>
        </w:rPr>
        <w:t>Reprioritisation - directing funding from low value interventions to higher value interventions</w:t>
      </w:r>
    </w:p>
    <w:p w:rsidR="00043E90" w:rsidRPr="00FE7190" w:rsidRDefault="00043E90" w:rsidP="00164F8C">
      <w:pPr>
        <w:pStyle w:val="ListParagraph"/>
        <w:numPr>
          <w:ilvl w:val="0"/>
          <w:numId w:val="5"/>
        </w:numPr>
        <w:autoSpaceDE w:val="0"/>
        <w:autoSpaceDN w:val="0"/>
        <w:adjustRightInd w:val="0"/>
        <w:spacing w:after="240" w:line="360" w:lineRule="auto"/>
        <w:rPr>
          <w:rFonts w:cs="Arial"/>
          <w:color w:val="000000"/>
          <w:sz w:val="22"/>
          <w:szCs w:val="24"/>
        </w:rPr>
      </w:pPr>
      <w:r w:rsidRPr="00FE7190">
        <w:rPr>
          <w:rFonts w:cs="Arial"/>
          <w:color w:val="000000"/>
          <w:sz w:val="22"/>
          <w:szCs w:val="24"/>
        </w:rPr>
        <w:lastRenderedPageBreak/>
        <w:t>Cost avoidance - the adoption and appropriate use of only technologies that deliver value for money</w:t>
      </w:r>
    </w:p>
    <w:p w:rsidR="00043E90" w:rsidRPr="00FE7190" w:rsidRDefault="00043E90" w:rsidP="00164F8C">
      <w:pPr>
        <w:pStyle w:val="ListParagraph"/>
        <w:numPr>
          <w:ilvl w:val="0"/>
          <w:numId w:val="5"/>
        </w:numPr>
        <w:spacing w:line="360" w:lineRule="auto"/>
        <w:rPr>
          <w:sz w:val="22"/>
          <w:szCs w:val="24"/>
        </w:rPr>
      </w:pPr>
      <w:r w:rsidRPr="00FE7190">
        <w:rPr>
          <w:rFonts w:cs="Arial"/>
          <w:color w:val="000000"/>
          <w:sz w:val="22"/>
          <w:szCs w:val="24"/>
        </w:rPr>
        <w:t xml:space="preserve">Pathway improvement - constructing pathways of care that work for patients and reduce waste </w:t>
      </w:r>
    </w:p>
    <w:p w:rsidR="00043E90" w:rsidRPr="00164F8C" w:rsidRDefault="00043E90"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This report focuses on the latter method.  By improving the entire pathway of care </w:t>
      </w:r>
      <w:r w:rsidR="00692C4B">
        <w:rPr>
          <w:rFonts w:ascii="Arial" w:hAnsi="Arial" w:cs="Arial"/>
          <w:sz w:val="22"/>
        </w:rPr>
        <w:t xml:space="preserve">from prevention to end of life care </w:t>
      </w:r>
      <w:r w:rsidRPr="00164F8C">
        <w:rPr>
          <w:rFonts w:ascii="Arial" w:hAnsi="Arial" w:cs="Arial"/>
          <w:sz w:val="22"/>
        </w:rPr>
        <w:t>through the use of interventions that provide good value for money, there is the potential for significant health gains, notably a reduction in hospitalisations and, thus</w:t>
      </w:r>
      <w:r w:rsidR="001418E1">
        <w:rPr>
          <w:rFonts w:ascii="Arial" w:hAnsi="Arial" w:cs="Arial"/>
          <w:sz w:val="22"/>
        </w:rPr>
        <w:t>,</w:t>
      </w:r>
      <w:r w:rsidRPr="00164F8C">
        <w:rPr>
          <w:rFonts w:ascii="Arial" w:hAnsi="Arial" w:cs="Arial"/>
          <w:sz w:val="22"/>
        </w:rPr>
        <w:t xml:space="preserve"> cost. Tables</w:t>
      </w:r>
      <w:r w:rsidRPr="00164F8C">
        <w:rPr>
          <w:rFonts w:ascii="Arial" w:hAnsi="Arial" w:cs="Arial"/>
          <w:vertAlign w:val="superscript"/>
        </w:rPr>
        <w:footnoteReference w:id="5"/>
      </w:r>
      <w:r w:rsidR="00FD0607" w:rsidRPr="00164F8C">
        <w:rPr>
          <w:rFonts w:ascii="Arial" w:hAnsi="Arial" w:cs="Arial"/>
          <w:sz w:val="22"/>
        </w:rPr>
        <w:t xml:space="preserve"> 5 and 6</w:t>
      </w:r>
      <w:r w:rsidRPr="00164F8C">
        <w:rPr>
          <w:rFonts w:ascii="Arial" w:hAnsi="Arial" w:cs="Arial"/>
          <w:sz w:val="22"/>
        </w:rPr>
        <w:t xml:space="preserve"> show the number of people affected by various diseases and the corresponding raw amount of efficiency gains required per patient and/or hospitalisation to reach $5 million.</w:t>
      </w:r>
    </w:p>
    <w:p w:rsidR="00EC40BE" w:rsidRDefault="00FD0607" w:rsidP="00EC40BE">
      <w:pPr>
        <w:pStyle w:val="Figure"/>
      </w:pPr>
      <w:r>
        <w:t>Table 5</w:t>
      </w:r>
      <w:r w:rsidR="00EC40BE" w:rsidRPr="004B4041">
        <w:t xml:space="preserve">: </w:t>
      </w:r>
      <w:r w:rsidR="00EC40BE">
        <w:t xml:space="preserve">Prevalent Diseases: Efficiency Gains Required to </w:t>
      </w:r>
      <w:proofErr w:type="gramStart"/>
      <w:r w:rsidR="00EC40BE">
        <w:t>Reach</w:t>
      </w:r>
      <w:proofErr w:type="gramEnd"/>
      <w:r w:rsidR="00EC40BE">
        <w:t xml:space="preserve"> $5 million</w:t>
      </w:r>
    </w:p>
    <w:tbl>
      <w:tblPr>
        <w:tblStyle w:val="LightGrid-Accent3"/>
        <w:tblW w:w="9555" w:type="dxa"/>
        <w:jc w:val="center"/>
        <w:tblInd w:w="83" w:type="dxa"/>
        <w:tblLook w:val="04A0" w:firstRow="1" w:lastRow="0" w:firstColumn="1" w:lastColumn="0" w:noHBand="0" w:noVBand="1"/>
      </w:tblPr>
      <w:tblGrid>
        <w:gridCol w:w="2063"/>
        <w:gridCol w:w="1273"/>
        <w:gridCol w:w="1843"/>
        <w:gridCol w:w="1985"/>
        <w:gridCol w:w="2391"/>
      </w:tblGrid>
      <w:tr w:rsidR="00EC40BE" w:rsidRPr="00201CC0" w:rsidTr="00164F8C">
        <w:trPr>
          <w:cnfStyle w:val="100000000000" w:firstRow="1" w:lastRow="0"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063" w:type="dxa"/>
            <w:vAlign w:val="center"/>
          </w:tcPr>
          <w:p w:rsidR="00EC40BE" w:rsidRPr="00201CC0" w:rsidRDefault="00EC40BE" w:rsidP="00536A0E">
            <w:pPr>
              <w:spacing w:before="120" w:after="120"/>
              <w:jc w:val="center"/>
              <w:rPr>
                <w:rFonts w:ascii="Arial" w:hAnsi="Arial" w:cs="Arial"/>
                <w:sz w:val="20"/>
                <w:szCs w:val="20"/>
              </w:rPr>
            </w:pPr>
            <w:r w:rsidRPr="00201CC0">
              <w:rPr>
                <w:rFonts w:ascii="Arial" w:hAnsi="Arial" w:cs="Arial"/>
                <w:sz w:val="20"/>
                <w:szCs w:val="20"/>
              </w:rPr>
              <w:t>Disease</w:t>
            </w:r>
          </w:p>
        </w:tc>
        <w:tc>
          <w:tcPr>
            <w:tcW w:w="1273" w:type="dxa"/>
            <w:vAlign w:val="center"/>
          </w:tcPr>
          <w:p w:rsidR="00EC40BE" w:rsidRPr="00201CC0" w:rsidRDefault="00EC40BE" w:rsidP="00536A0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1CC0">
              <w:rPr>
                <w:rFonts w:ascii="Arial" w:hAnsi="Arial" w:cs="Arial"/>
                <w:sz w:val="20"/>
                <w:szCs w:val="20"/>
              </w:rPr>
              <w:t>Population</w:t>
            </w:r>
          </w:p>
        </w:tc>
        <w:tc>
          <w:tcPr>
            <w:tcW w:w="1843" w:type="dxa"/>
            <w:vAlign w:val="center"/>
          </w:tcPr>
          <w:p w:rsidR="00EC40BE" w:rsidRPr="00201CC0" w:rsidRDefault="00EC40BE" w:rsidP="00536A0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1CC0">
              <w:rPr>
                <w:rFonts w:ascii="Arial" w:hAnsi="Arial" w:cs="Arial"/>
                <w:sz w:val="20"/>
                <w:szCs w:val="20"/>
              </w:rPr>
              <w:t xml:space="preserve">Savings </w:t>
            </w:r>
            <w:r w:rsidR="00F677AF">
              <w:rPr>
                <w:rFonts w:ascii="Arial" w:hAnsi="Arial" w:cs="Arial"/>
                <w:sz w:val="20"/>
                <w:szCs w:val="20"/>
              </w:rPr>
              <w:t xml:space="preserve">required </w:t>
            </w:r>
            <w:r w:rsidRPr="00164F8C">
              <w:rPr>
                <w:rFonts w:ascii="Arial" w:hAnsi="Arial" w:cs="Arial"/>
                <w:sz w:val="18"/>
                <w:szCs w:val="18"/>
              </w:rPr>
              <w:t>(Per Person)</w:t>
            </w:r>
          </w:p>
        </w:tc>
        <w:tc>
          <w:tcPr>
            <w:tcW w:w="1985" w:type="dxa"/>
            <w:vAlign w:val="center"/>
          </w:tcPr>
          <w:p w:rsidR="00EC40BE" w:rsidRPr="00201CC0" w:rsidRDefault="00EC40BE" w:rsidP="00536A0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1CC0">
              <w:rPr>
                <w:rFonts w:ascii="Arial" w:hAnsi="Arial" w:cs="Arial"/>
                <w:sz w:val="20"/>
                <w:szCs w:val="20"/>
              </w:rPr>
              <w:t xml:space="preserve">Savings </w:t>
            </w:r>
            <w:r w:rsidR="00F677AF">
              <w:rPr>
                <w:rFonts w:ascii="Arial" w:hAnsi="Arial" w:cs="Arial"/>
                <w:sz w:val="20"/>
                <w:szCs w:val="20"/>
              </w:rPr>
              <w:t xml:space="preserve">required </w:t>
            </w:r>
            <w:r w:rsidRPr="00164F8C">
              <w:rPr>
                <w:rFonts w:ascii="Arial" w:hAnsi="Arial" w:cs="Arial"/>
                <w:sz w:val="18"/>
                <w:szCs w:val="18"/>
              </w:rPr>
              <w:t>(Per Hospitalisation)</w:t>
            </w:r>
          </w:p>
        </w:tc>
        <w:tc>
          <w:tcPr>
            <w:tcW w:w="2391" w:type="dxa"/>
            <w:vAlign w:val="center"/>
          </w:tcPr>
          <w:p w:rsidR="00EC40BE" w:rsidRPr="00201CC0" w:rsidRDefault="00EC40BE" w:rsidP="00536A0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1CC0">
              <w:rPr>
                <w:rFonts w:ascii="Arial" w:hAnsi="Arial" w:cs="Arial"/>
                <w:sz w:val="20"/>
                <w:szCs w:val="20"/>
              </w:rPr>
              <w:t>Percentage of Average Hospitalisation Cost</w:t>
            </w:r>
          </w:p>
        </w:tc>
      </w:tr>
      <w:tr w:rsidR="00EC40BE" w:rsidRPr="00201CC0" w:rsidTr="00164F8C">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2063" w:type="dxa"/>
            <w:vAlign w:val="center"/>
          </w:tcPr>
          <w:p w:rsidR="00EC40BE" w:rsidRPr="00201CC0" w:rsidRDefault="00EC40BE" w:rsidP="00536A0E">
            <w:pPr>
              <w:spacing w:before="80" w:after="80"/>
              <w:rPr>
                <w:rFonts w:ascii="Arial" w:hAnsi="Arial" w:cs="Arial"/>
                <w:sz w:val="20"/>
                <w:szCs w:val="20"/>
              </w:rPr>
            </w:pPr>
            <w:r>
              <w:rPr>
                <w:rFonts w:ascii="Arial" w:hAnsi="Arial" w:cs="Arial"/>
                <w:sz w:val="20"/>
                <w:szCs w:val="20"/>
              </w:rPr>
              <w:t>IHD</w:t>
            </w:r>
          </w:p>
        </w:tc>
        <w:tc>
          <w:tcPr>
            <w:tcW w:w="1273" w:type="dxa"/>
            <w:vAlign w:val="center"/>
          </w:tcPr>
          <w:p w:rsidR="00EC40BE" w:rsidRPr="00201CC0" w:rsidRDefault="00EC40BE"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193,000</w:t>
            </w:r>
          </w:p>
        </w:tc>
        <w:tc>
          <w:tcPr>
            <w:tcW w:w="1843" w:type="dxa"/>
            <w:vAlign w:val="center"/>
          </w:tcPr>
          <w:p w:rsidR="00EC40BE" w:rsidRPr="00201CC0" w:rsidRDefault="004B656E"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$26</w:t>
            </w:r>
          </w:p>
        </w:tc>
        <w:tc>
          <w:tcPr>
            <w:tcW w:w="1985" w:type="dxa"/>
            <w:vAlign w:val="center"/>
          </w:tcPr>
          <w:p w:rsidR="00EC40BE" w:rsidRPr="00201CC0" w:rsidRDefault="004B656E"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$163</w:t>
            </w:r>
          </w:p>
        </w:tc>
        <w:tc>
          <w:tcPr>
            <w:tcW w:w="2391" w:type="dxa"/>
            <w:vAlign w:val="center"/>
          </w:tcPr>
          <w:p w:rsidR="00EC40BE" w:rsidRPr="00201CC0" w:rsidRDefault="004B656E"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2.2%</w:t>
            </w:r>
          </w:p>
        </w:tc>
      </w:tr>
      <w:tr w:rsidR="00EC40BE" w:rsidRPr="00201CC0" w:rsidTr="00164F8C">
        <w:trPr>
          <w:cnfStyle w:val="000000010000" w:firstRow="0" w:lastRow="0" w:firstColumn="0" w:lastColumn="0" w:oddVBand="0" w:evenVBand="0" w:oddHBand="0" w:evenHBand="1"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63" w:type="dxa"/>
            <w:vAlign w:val="center"/>
          </w:tcPr>
          <w:p w:rsidR="00EC40BE" w:rsidRPr="00201CC0" w:rsidRDefault="00EC40BE" w:rsidP="00536A0E">
            <w:pPr>
              <w:spacing w:before="80" w:after="80"/>
              <w:rPr>
                <w:rFonts w:ascii="Arial" w:hAnsi="Arial" w:cs="Arial"/>
                <w:sz w:val="20"/>
                <w:szCs w:val="20"/>
              </w:rPr>
            </w:pPr>
            <w:r>
              <w:rPr>
                <w:rFonts w:ascii="Arial" w:hAnsi="Arial" w:cs="Arial"/>
                <w:sz w:val="20"/>
                <w:szCs w:val="20"/>
              </w:rPr>
              <w:t>Stroke</w:t>
            </w:r>
          </w:p>
        </w:tc>
        <w:tc>
          <w:tcPr>
            <w:tcW w:w="1273" w:type="dxa"/>
            <w:vAlign w:val="center"/>
          </w:tcPr>
          <w:p w:rsidR="00EC40BE" w:rsidRPr="00201CC0" w:rsidRDefault="004B656E"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62,000</w:t>
            </w:r>
          </w:p>
        </w:tc>
        <w:tc>
          <w:tcPr>
            <w:tcW w:w="1843" w:type="dxa"/>
            <w:vAlign w:val="center"/>
          </w:tcPr>
          <w:p w:rsidR="00EC40BE" w:rsidRPr="00201CC0" w:rsidRDefault="004B656E"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$81</w:t>
            </w:r>
          </w:p>
        </w:tc>
        <w:tc>
          <w:tcPr>
            <w:tcW w:w="1985" w:type="dxa"/>
            <w:vAlign w:val="center"/>
          </w:tcPr>
          <w:p w:rsidR="00EC40BE" w:rsidRPr="00201CC0" w:rsidRDefault="004B656E"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$482</w:t>
            </w:r>
          </w:p>
        </w:tc>
        <w:tc>
          <w:tcPr>
            <w:tcW w:w="2391" w:type="dxa"/>
            <w:vAlign w:val="center"/>
          </w:tcPr>
          <w:p w:rsidR="00EC40BE" w:rsidRPr="00201CC0" w:rsidRDefault="004B656E"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7.5%</w:t>
            </w:r>
            <w:r w:rsidR="002875D9">
              <w:rPr>
                <w:rFonts w:cs="Arial"/>
                <w:sz w:val="20"/>
                <w:szCs w:val="20"/>
              </w:rPr>
              <w:t xml:space="preserve"> (~3.7</w:t>
            </w:r>
            <w:r w:rsidR="00A17B0D">
              <w:rPr>
                <w:rFonts w:cs="Arial"/>
                <w:sz w:val="20"/>
                <w:szCs w:val="20"/>
              </w:rPr>
              <w:t>%)</w:t>
            </w:r>
            <w:r w:rsidR="002875D9">
              <w:rPr>
                <w:rFonts w:cs="Arial"/>
                <w:sz w:val="20"/>
                <w:szCs w:val="20"/>
              </w:rPr>
              <w:t>^</w:t>
            </w:r>
          </w:p>
        </w:tc>
      </w:tr>
      <w:tr w:rsidR="00EC40BE" w:rsidRPr="00201CC0" w:rsidTr="00164F8C">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063" w:type="dxa"/>
            <w:vAlign w:val="center"/>
          </w:tcPr>
          <w:p w:rsidR="00EC40BE" w:rsidRPr="00201CC0" w:rsidRDefault="008F1945" w:rsidP="004E2C05">
            <w:pPr>
              <w:spacing w:before="80" w:after="80"/>
              <w:rPr>
                <w:rFonts w:ascii="Arial" w:hAnsi="Arial" w:cs="Arial"/>
                <w:sz w:val="20"/>
                <w:szCs w:val="20"/>
              </w:rPr>
            </w:pPr>
            <w:r>
              <w:rPr>
                <w:rFonts w:ascii="Arial" w:hAnsi="Arial" w:cs="Arial"/>
                <w:sz w:val="20"/>
                <w:szCs w:val="20"/>
              </w:rPr>
              <w:t>NRVHD</w:t>
            </w:r>
          </w:p>
        </w:tc>
        <w:tc>
          <w:tcPr>
            <w:tcW w:w="1273" w:type="dxa"/>
            <w:vAlign w:val="center"/>
          </w:tcPr>
          <w:p w:rsidR="00EC40BE" w:rsidRPr="00201CC0" w:rsidRDefault="008F1945"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23,392</w:t>
            </w:r>
          </w:p>
        </w:tc>
        <w:tc>
          <w:tcPr>
            <w:tcW w:w="1843" w:type="dxa"/>
            <w:vAlign w:val="center"/>
          </w:tcPr>
          <w:p w:rsidR="00EC40BE" w:rsidRPr="00201CC0" w:rsidRDefault="008F1945"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$214</w:t>
            </w:r>
          </w:p>
        </w:tc>
        <w:tc>
          <w:tcPr>
            <w:tcW w:w="1985" w:type="dxa"/>
            <w:vAlign w:val="center"/>
          </w:tcPr>
          <w:p w:rsidR="00EC40BE" w:rsidRPr="00201CC0" w:rsidRDefault="004B656E"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$2,222</w:t>
            </w:r>
          </w:p>
        </w:tc>
        <w:tc>
          <w:tcPr>
            <w:tcW w:w="2391" w:type="dxa"/>
            <w:vAlign w:val="center"/>
          </w:tcPr>
          <w:p w:rsidR="00EC40BE" w:rsidRPr="00201CC0" w:rsidRDefault="004B656E"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13.5%</w:t>
            </w:r>
          </w:p>
        </w:tc>
      </w:tr>
      <w:tr w:rsidR="00EC40BE" w:rsidRPr="00201CC0" w:rsidTr="00164F8C">
        <w:trPr>
          <w:cnfStyle w:val="000000010000" w:firstRow="0" w:lastRow="0" w:firstColumn="0" w:lastColumn="0" w:oddVBand="0" w:evenVBand="0" w:oddHBand="0" w:evenHBand="1"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063" w:type="dxa"/>
            <w:vAlign w:val="center"/>
          </w:tcPr>
          <w:p w:rsidR="00EC40BE" w:rsidRPr="00201CC0" w:rsidRDefault="00EC40BE" w:rsidP="00536A0E">
            <w:pPr>
              <w:spacing w:before="80" w:after="80"/>
              <w:rPr>
                <w:rFonts w:ascii="Arial" w:hAnsi="Arial" w:cs="Arial"/>
                <w:sz w:val="20"/>
                <w:szCs w:val="20"/>
              </w:rPr>
            </w:pPr>
            <w:r>
              <w:rPr>
                <w:rFonts w:ascii="Arial" w:hAnsi="Arial" w:cs="Arial"/>
                <w:sz w:val="20"/>
                <w:szCs w:val="20"/>
              </w:rPr>
              <w:t>Aortic Aneurysms</w:t>
            </w:r>
          </w:p>
        </w:tc>
        <w:tc>
          <w:tcPr>
            <w:tcW w:w="1273" w:type="dxa"/>
            <w:vAlign w:val="center"/>
          </w:tcPr>
          <w:p w:rsidR="00EC40BE" w:rsidRPr="00201CC0" w:rsidRDefault="008F1945"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17,800</w:t>
            </w:r>
          </w:p>
        </w:tc>
        <w:tc>
          <w:tcPr>
            <w:tcW w:w="1843" w:type="dxa"/>
            <w:vAlign w:val="center"/>
          </w:tcPr>
          <w:p w:rsidR="00EC40BE" w:rsidRPr="00201CC0" w:rsidRDefault="008F1945"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$281</w:t>
            </w:r>
          </w:p>
        </w:tc>
        <w:tc>
          <w:tcPr>
            <w:tcW w:w="1985" w:type="dxa"/>
            <w:vAlign w:val="center"/>
          </w:tcPr>
          <w:p w:rsidR="00EC40BE" w:rsidRPr="00201CC0" w:rsidRDefault="0051255D"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$4,550</w:t>
            </w:r>
          </w:p>
        </w:tc>
        <w:tc>
          <w:tcPr>
            <w:tcW w:w="2391" w:type="dxa"/>
            <w:vAlign w:val="center"/>
          </w:tcPr>
          <w:p w:rsidR="00EC40BE" w:rsidRPr="00201CC0" w:rsidRDefault="0051255D"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20%</w:t>
            </w:r>
          </w:p>
        </w:tc>
      </w:tr>
      <w:tr w:rsidR="00EC40BE" w:rsidRPr="00201CC0" w:rsidTr="00164F8C">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063" w:type="dxa"/>
            <w:vAlign w:val="center"/>
          </w:tcPr>
          <w:p w:rsidR="00EC40BE" w:rsidRPr="00201CC0" w:rsidRDefault="00EC40BE" w:rsidP="00536A0E">
            <w:pPr>
              <w:spacing w:before="80" w:after="80"/>
              <w:rPr>
                <w:rFonts w:ascii="Arial" w:hAnsi="Arial" w:cs="Arial"/>
                <w:sz w:val="20"/>
                <w:szCs w:val="20"/>
              </w:rPr>
            </w:pPr>
            <w:r>
              <w:rPr>
                <w:rFonts w:ascii="Arial" w:hAnsi="Arial" w:cs="Arial"/>
                <w:sz w:val="20"/>
                <w:szCs w:val="20"/>
              </w:rPr>
              <w:t>HTN</w:t>
            </w:r>
          </w:p>
        </w:tc>
        <w:tc>
          <w:tcPr>
            <w:tcW w:w="1273" w:type="dxa"/>
            <w:vAlign w:val="center"/>
          </w:tcPr>
          <w:p w:rsidR="00EC40BE" w:rsidRPr="00201CC0" w:rsidRDefault="004B656E"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558,000</w:t>
            </w:r>
          </w:p>
        </w:tc>
        <w:tc>
          <w:tcPr>
            <w:tcW w:w="1843" w:type="dxa"/>
            <w:vAlign w:val="center"/>
          </w:tcPr>
          <w:p w:rsidR="00EC40BE" w:rsidRPr="00201CC0" w:rsidRDefault="004B656E"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$9</w:t>
            </w:r>
          </w:p>
        </w:tc>
        <w:tc>
          <w:tcPr>
            <w:tcW w:w="1985" w:type="dxa"/>
            <w:vAlign w:val="center"/>
          </w:tcPr>
          <w:p w:rsidR="00EC40BE" w:rsidRPr="00201CC0" w:rsidRDefault="0051255D"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$39,370</w:t>
            </w:r>
          </w:p>
        </w:tc>
        <w:tc>
          <w:tcPr>
            <w:tcW w:w="2391" w:type="dxa"/>
            <w:vAlign w:val="center"/>
          </w:tcPr>
          <w:p w:rsidR="00EC40BE" w:rsidRPr="00201CC0" w:rsidRDefault="0051255D"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500%</w:t>
            </w:r>
          </w:p>
        </w:tc>
      </w:tr>
      <w:tr w:rsidR="00EC40BE" w:rsidRPr="00201CC0" w:rsidTr="00164F8C">
        <w:trPr>
          <w:cnfStyle w:val="000000010000" w:firstRow="0" w:lastRow="0" w:firstColumn="0" w:lastColumn="0" w:oddVBand="0" w:evenVBand="0" w:oddHBand="0" w:evenHBand="1"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2063" w:type="dxa"/>
            <w:vAlign w:val="center"/>
          </w:tcPr>
          <w:p w:rsidR="00EC40BE" w:rsidRPr="00201CC0" w:rsidRDefault="004B656E" w:rsidP="00536A0E">
            <w:pPr>
              <w:spacing w:before="80" w:after="80"/>
              <w:rPr>
                <w:rFonts w:ascii="Arial" w:hAnsi="Arial" w:cs="Arial"/>
                <w:sz w:val="20"/>
                <w:szCs w:val="20"/>
              </w:rPr>
            </w:pPr>
            <w:r>
              <w:rPr>
                <w:rFonts w:ascii="Arial" w:hAnsi="Arial" w:cs="Arial"/>
                <w:sz w:val="20"/>
                <w:szCs w:val="20"/>
              </w:rPr>
              <w:t>Cardiomyopathies</w:t>
            </w:r>
          </w:p>
        </w:tc>
        <w:tc>
          <w:tcPr>
            <w:tcW w:w="1273" w:type="dxa"/>
            <w:vAlign w:val="center"/>
          </w:tcPr>
          <w:p w:rsidR="00EC40BE" w:rsidRPr="00201CC0" w:rsidRDefault="008F1945"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6,700</w:t>
            </w:r>
          </w:p>
        </w:tc>
        <w:tc>
          <w:tcPr>
            <w:tcW w:w="1843" w:type="dxa"/>
            <w:vAlign w:val="center"/>
          </w:tcPr>
          <w:p w:rsidR="00EC40BE" w:rsidRPr="00201CC0" w:rsidRDefault="008F1945"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$746</w:t>
            </w:r>
          </w:p>
        </w:tc>
        <w:tc>
          <w:tcPr>
            <w:tcW w:w="1985" w:type="dxa"/>
            <w:vAlign w:val="center"/>
          </w:tcPr>
          <w:p w:rsidR="00EC40BE" w:rsidRPr="00201CC0" w:rsidRDefault="0051255D"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$6,053</w:t>
            </w:r>
          </w:p>
        </w:tc>
        <w:tc>
          <w:tcPr>
            <w:tcW w:w="2391" w:type="dxa"/>
            <w:vAlign w:val="center"/>
          </w:tcPr>
          <w:p w:rsidR="00EC40BE" w:rsidRPr="00201CC0" w:rsidRDefault="0051255D"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62.5%</w:t>
            </w:r>
          </w:p>
        </w:tc>
      </w:tr>
      <w:tr w:rsidR="00EC40BE" w:rsidRPr="00201CC0" w:rsidTr="00164F8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063" w:type="dxa"/>
            <w:vAlign w:val="center"/>
          </w:tcPr>
          <w:p w:rsidR="00EC40BE" w:rsidRPr="00201CC0" w:rsidRDefault="00EC40BE" w:rsidP="00536A0E">
            <w:pPr>
              <w:spacing w:before="80" w:after="80"/>
              <w:rPr>
                <w:rFonts w:ascii="Arial" w:hAnsi="Arial" w:cs="Arial"/>
                <w:sz w:val="20"/>
                <w:szCs w:val="20"/>
              </w:rPr>
            </w:pPr>
            <w:r>
              <w:rPr>
                <w:rFonts w:ascii="Arial" w:hAnsi="Arial" w:cs="Arial"/>
                <w:sz w:val="20"/>
                <w:szCs w:val="20"/>
              </w:rPr>
              <w:t>AF and Flutter</w:t>
            </w:r>
          </w:p>
        </w:tc>
        <w:tc>
          <w:tcPr>
            <w:tcW w:w="1273" w:type="dxa"/>
            <w:vAlign w:val="center"/>
          </w:tcPr>
          <w:p w:rsidR="00EC40BE" w:rsidRPr="00201CC0" w:rsidRDefault="00EC40BE" w:rsidP="00EC40B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44,052</w:t>
            </w:r>
          </w:p>
        </w:tc>
        <w:tc>
          <w:tcPr>
            <w:tcW w:w="1843" w:type="dxa"/>
            <w:vAlign w:val="center"/>
          </w:tcPr>
          <w:p w:rsidR="00EC40BE" w:rsidRPr="00201CC0" w:rsidRDefault="004B656E"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$114</w:t>
            </w:r>
          </w:p>
        </w:tc>
        <w:tc>
          <w:tcPr>
            <w:tcW w:w="1985" w:type="dxa"/>
            <w:vAlign w:val="center"/>
          </w:tcPr>
          <w:p w:rsidR="00EC40BE" w:rsidRPr="00201CC0" w:rsidRDefault="0051255D"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$519</w:t>
            </w:r>
          </w:p>
        </w:tc>
        <w:tc>
          <w:tcPr>
            <w:tcW w:w="2391" w:type="dxa"/>
            <w:vAlign w:val="center"/>
          </w:tcPr>
          <w:p w:rsidR="00EC40BE" w:rsidRPr="00201CC0" w:rsidRDefault="0051255D" w:rsidP="00536A0E">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16.7%</w:t>
            </w:r>
          </w:p>
        </w:tc>
      </w:tr>
      <w:tr w:rsidR="00EC40BE" w:rsidRPr="00201CC0" w:rsidTr="00164F8C">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063" w:type="dxa"/>
            <w:vAlign w:val="center"/>
          </w:tcPr>
          <w:p w:rsidR="00EC40BE" w:rsidRPr="00FE7190" w:rsidRDefault="00EC40BE" w:rsidP="00536A0E">
            <w:pPr>
              <w:spacing w:before="80" w:after="80"/>
              <w:rPr>
                <w:rFonts w:ascii="Arial" w:hAnsi="Arial" w:cs="Arial"/>
                <w:sz w:val="20"/>
                <w:szCs w:val="20"/>
              </w:rPr>
            </w:pPr>
            <w:r w:rsidRPr="00FE7190">
              <w:rPr>
                <w:rFonts w:ascii="Arial" w:hAnsi="Arial" w:cs="Arial"/>
                <w:sz w:val="20"/>
                <w:szCs w:val="20"/>
              </w:rPr>
              <w:t>PVD</w:t>
            </w:r>
          </w:p>
        </w:tc>
        <w:tc>
          <w:tcPr>
            <w:tcW w:w="1273" w:type="dxa"/>
            <w:vAlign w:val="center"/>
          </w:tcPr>
          <w:p w:rsidR="00EC40BE" w:rsidRPr="00201CC0" w:rsidRDefault="008F1945"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18,326</w:t>
            </w:r>
          </w:p>
        </w:tc>
        <w:tc>
          <w:tcPr>
            <w:tcW w:w="1843" w:type="dxa"/>
            <w:vAlign w:val="center"/>
          </w:tcPr>
          <w:p w:rsidR="00EC40BE" w:rsidRPr="00201CC0" w:rsidRDefault="008F1945"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$273</w:t>
            </w:r>
          </w:p>
        </w:tc>
        <w:tc>
          <w:tcPr>
            <w:tcW w:w="1985" w:type="dxa"/>
            <w:vAlign w:val="center"/>
          </w:tcPr>
          <w:p w:rsidR="00EC40BE" w:rsidRPr="00201CC0" w:rsidRDefault="0051255D"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$2,076</w:t>
            </w:r>
          </w:p>
        </w:tc>
        <w:tc>
          <w:tcPr>
            <w:tcW w:w="2391" w:type="dxa"/>
            <w:vAlign w:val="center"/>
          </w:tcPr>
          <w:p w:rsidR="00EC40BE" w:rsidRPr="00201CC0" w:rsidRDefault="0051255D" w:rsidP="00536A0E">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19.2%</w:t>
            </w:r>
          </w:p>
        </w:tc>
      </w:tr>
      <w:tr w:rsidR="008F1945" w:rsidRPr="00201CC0" w:rsidTr="00164F8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063" w:type="dxa"/>
            <w:vAlign w:val="center"/>
          </w:tcPr>
          <w:p w:rsidR="008F1945" w:rsidRPr="00201CC0" w:rsidRDefault="008F1945" w:rsidP="006D1BCA">
            <w:pPr>
              <w:spacing w:before="80" w:after="80"/>
              <w:rPr>
                <w:rFonts w:ascii="Arial" w:hAnsi="Arial" w:cs="Arial"/>
                <w:sz w:val="20"/>
                <w:szCs w:val="20"/>
              </w:rPr>
            </w:pPr>
            <w:r>
              <w:rPr>
                <w:rFonts w:ascii="Arial" w:hAnsi="Arial" w:cs="Arial"/>
                <w:sz w:val="20"/>
                <w:szCs w:val="20"/>
              </w:rPr>
              <w:t>Inflammatory Heart Disease</w:t>
            </w:r>
            <w:r w:rsidRPr="00201CC0">
              <w:rPr>
                <w:rFonts w:ascii="Arial" w:hAnsi="Arial" w:cs="Arial"/>
                <w:sz w:val="20"/>
                <w:szCs w:val="20"/>
              </w:rPr>
              <w:t xml:space="preserve"> </w:t>
            </w:r>
          </w:p>
        </w:tc>
        <w:tc>
          <w:tcPr>
            <w:tcW w:w="1273" w:type="dxa"/>
            <w:vAlign w:val="center"/>
          </w:tcPr>
          <w:p w:rsidR="008F1945" w:rsidRPr="00201CC0" w:rsidRDefault="008F1945" w:rsidP="006D1BCA">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9,339</w:t>
            </w:r>
          </w:p>
        </w:tc>
        <w:tc>
          <w:tcPr>
            <w:tcW w:w="1843" w:type="dxa"/>
            <w:vAlign w:val="center"/>
          </w:tcPr>
          <w:p w:rsidR="008F1945" w:rsidRPr="00201CC0" w:rsidRDefault="008F1945" w:rsidP="006D1BCA">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$535</w:t>
            </w:r>
          </w:p>
        </w:tc>
        <w:tc>
          <w:tcPr>
            <w:tcW w:w="1985" w:type="dxa"/>
            <w:vAlign w:val="center"/>
          </w:tcPr>
          <w:p w:rsidR="008F1945" w:rsidRPr="00201CC0" w:rsidRDefault="008F1945" w:rsidP="006D1BCA">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$9,560</w:t>
            </w:r>
          </w:p>
        </w:tc>
        <w:tc>
          <w:tcPr>
            <w:tcW w:w="2391" w:type="dxa"/>
            <w:vAlign w:val="center"/>
          </w:tcPr>
          <w:p w:rsidR="008F1945" w:rsidRPr="00201CC0" w:rsidRDefault="008F1945" w:rsidP="006D1BCA">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71.4%</w:t>
            </w:r>
          </w:p>
        </w:tc>
      </w:tr>
    </w:tbl>
    <w:p w:rsidR="00A17B0D" w:rsidRDefault="00EC40BE" w:rsidP="00365A3A">
      <w:pPr>
        <w:pStyle w:val="Caption"/>
      </w:pPr>
      <w:r>
        <w:t>Per Person gains were calculated by dividing $5 million by the population.  Per Hospitalisation gains were calculated by dividing $5 million by the number of hospital discharges.  Percentage of Average Hospitalisation Cost was calculated by dividing the gains per hospitalisation by the average hospitalisation cost and converting to a percentage.</w:t>
      </w:r>
      <w:r w:rsidR="00F4171A">
        <w:t xml:space="preserve"> </w:t>
      </w:r>
    </w:p>
    <w:p w:rsidR="00365A3A" w:rsidRDefault="00A17B0D" w:rsidP="00A17B0D">
      <w:pPr>
        <w:pStyle w:val="Caption"/>
      </w:pPr>
      <w:r>
        <w:t>^Includes rehabilitation costs for an average</w:t>
      </w:r>
      <w:r w:rsidR="002875D9">
        <w:t xml:space="preserve"> hospitalisation cost of $12,950</w:t>
      </w:r>
      <w:r>
        <w:t xml:space="preserve"> per patient</w:t>
      </w:r>
      <w:r w:rsidR="00F4171A">
        <w:t xml:space="preserve">                    </w:t>
      </w:r>
    </w:p>
    <w:p w:rsidR="00EC40BE" w:rsidRPr="00A45EDB" w:rsidRDefault="00F4171A" w:rsidP="00365A3A">
      <w:pPr>
        <w:pStyle w:val="Caption"/>
        <w:rPr>
          <w:b/>
        </w:rPr>
      </w:pPr>
      <w:r>
        <w:t>Source: 2013 NHC Executive analysis of 2011/12 NMDS</w:t>
      </w:r>
    </w:p>
    <w:p w:rsidR="00164F8C" w:rsidRDefault="00164F8C" w:rsidP="00EC40BE">
      <w:pPr>
        <w:pStyle w:val="Figure"/>
      </w:pPr>
      <w:r>
        <w:br w:type="page"/>
      </w:r>
    </w:p>
    <w:p w:rsidR="00EC40BE" w:rsidRDefault="00FD0607" w:rsidP="00EC40BE">
      <w:pPr>
        <w:pStyle w:val="Figure"/>
      </w:pPr>
      <w:r>
        <w:lastRenderedPageBreak/>
        <w:t>Table 6</w:t>
      </w:r>
      <w:r w:rsidR="00EC40BE" w:rsidRPr="004B4041">
        <w:t xml:space="preserve">: </w:t>
      </w:r>
      <w:r w:rsidR="00EC40BE">
        <w:t xml:space="preserve">Incident Diseases: Efficiency Gains Required to </w:t>
      </w:r>
      <w:proofErr w:type="gramStart"/>
      <w:r w:rsidR="00EC40BE">
        <w:t>Reach</w:t>
      </w:r>
      <w:proofErr w:type="gramEnd"/>
      <w:r w:rsidR="00EC40BE">
        <w:t xml:space="preserve"> $5 million</w:t>
      </w:r>
    </w:p>
    <w:tbl>
      <w:tblPr>
        <w:tblStyle w:val="LightGrid-Accent3"/>
        <w:tblW w:w="9639" w:type="dxa"/>
        <w:tblInd w:w="108" w:type="dxa"/>
        <w:tblLook w:val="04A0" w:firstRow="1" w:lastRow="0" w:firstColumn="1" w:lastColumn="0" w:noHBand="0" w:noVBand="1"/>
      </w:tblPr>
      <w:tblGrid>
        <w:gridCol w:w="1418"/>
        <w:gridCol w:w="1417"/>
        <w:gridCol w:w="1985"/>
        <w:gridCol w:w="2306"/>
        <w:gridCol w:w="2513"/>
      </w:tblGrid>
      <w:tr w:rsidR="00EC40BE" w:rsidRPr="00201CC0" w:rsidTr="00164F8C">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8" w:type="dxa"/>
            <w:vAlign w:val="center"/>
          </w:tcPr>
          <w:p w:rsidR="00EC40BE" w:rsidRPr="00201CC0" w:rsidRDefault="00EC40BE" w:rsidP="00164F8C">
            <w:pPr>
              <w:spacing w:before="120" w:after="120"/>
              <w:jc w:val="center"/>
              <w:rPr>
                <w:rFonts w:ascii="Arial" w:hAnsi="Arial" w:cs="Arial"/>
                <w:sz w:val="20"/>
                <w:szCs w:val="20"/>
              </w:rPr>
            </w:pPr>
            <w:r w:rsidRPr="00201CC0">
              <w:rPr>
                <w:rFonts w:ascii="Arial" w:hAnsi="Arial" w:cs="Arial"/>
                <w:sz w:val="20"/>
                <w:szCs w:val="20"/>
              </w:rPr>
              <w:t>Disease</w:t>
            </w:r>
          </w:p>
        </w:tc>
        <w:tc>
          <w:tcPr>
            <w:tcW w:w="1417" w:type="dxa"/>
            <w:vAlign w:val="center"/>
          </w:tcPr>
          <w:p w:rsidR="00EC40BE" w:rsidRPr="00201CC0" w:rsidRDefault="00EC40BE" w:rsidP="00164F8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1CC0">
              <w:rPr>
                <w:rFonts w:ascii="Arial" w:hAnsi="Arial" w:cs="Arial"/>
                <w:sz w:val="20"/>
                <w:szCs w:val="20"/>
              </w:rPr>
              <w:t>Population</w:t>
            </w:r>
          </w:p>
        </w:tc>
        <w:tc>
          <w:tcPr>
            <w:tcW w:w="1985" w:type="dxa"/>
            <w:vAlign w:val="center"/>
          </w:tcPr>
          <w:p w:rsidR="00EC40BE" w:rsidRPr="00201CC0" w:rsidRDefault="00EC40BE" w:rsidP="00164F8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1CC0">
              <w:rPr>
                <w:rFonts w:ascii="Arial" w:hAnsi="Arial" w:cs="Arial"/>
                <w:sz w:val="20"/>
                <w:szCs w:val="20"/>
              </w:rPr>
              <w:t>Savings</w:t>
            </w:r>
            <w:r w:rsidR="00F677AF">
              <w:rPr>
                <w:rFonts w:ascii="Arial" w:hAnsi="Arial" w:cs="Arial"/>
                <w:sz w:val="20"/>
                <w:szCs w:val="20"/>
              </w:rPr>
              <w:t xml:space="preserve"> required</w:t>
            </w:r>
            <w:r w:rsidRPr="00201CC0">
              <w:rPr>
                <w:rFonts w:ascii="Arial" w:hAnsi="Arial" w:cs="Arial"/>
                <w:sz w:val="20"/>
                <w:szCs w:val="20"/>
              </w:rPr>
              <w:t xml:space="preserve"> </w:t>
            </w:r>
            <w:r w:rsidRPr="00164F8C">
              <w:rPr>
                <w:rFonts w:ascii="Arial" w:hAnsi="Arial" w:cs="Arial"/>
                <w:sz w:val="18"/>
                <w:szCs w:val="18"/>
              </w:rPr>
              <w:t>(Per Person)</w:t>
            </w:r>
          </w:p>
        </w:tc>
        <w:tc>
          <w:tcPr>
            <w:tcW w:w="2306" w:type="dxa"/>
            <w:vAlign w:val="center"/>
          </w:tcPr>
          <w:p w:rsidR="00EC40BE" w:rsidRPr="00201CC0" w:rsidRDefault="00EC40BE" w:rsidP="00164F8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1CC0">
              <w:rPr>
                <w:rFonts w:ascii="Arial" w:hAnsi="Arial" w:cs="Arial"/>
                <w:sz w:val="20"/>
                <w:szCs w:val="20"/>
              </w:rPr>
              <w:t xml:space="preserve">Savings </w:t>
            </w:r>
            <w:r w:rsidR="00F677AF">
              <w:rPr>
                <w:rFonts w:ascii="Arial" w:hAnsi="Arial" w:cs="Arial"/>
                <w:sz w:val="20"/>
                <w:szCs w:val="20"/>
              </w:rPr>
              <w:t>required</w:t>
            </w:r>
            <w:r w:rsidR="00164F8C">
              <w:rPr>
                <w:rFonts w:ascii="Arial" w:hAnsi="Arial" w:cs="Arial"/>
                <w:sz w:val="20"/>
                <w:szCs w:val="20"/>
              </w:rPr>
              <w:br/>
            </w:r>
            <w:r w:rsidRPr="00164F8C">
              <w:rPr>
                <w:rFonts w:ascii="Arial" w:hAnsi="Arial" w:cs="Arial"/>
                <w:sz w:val="18"/>
                <w:szCs w:val="18"/>
              </w:rPr>
              <w:t>(Per Hospitalisation)</w:t>
            </w:r>
          </w:p>
        </w:tc>
        <w:tc>
          <w:tcPr>
            <w:tcW w:w="2513" w:type="dxa"/>
            <w:vAlign w:val="center"/>
          </w:tcPr>
          <w:p w:rsidR="00EC40BE" w:rsidRPr="00201CC0" w:rsidRDefault="00EC40BE" w:rsidP="00164F8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1CC0">
              <w:rPr>
                <w:rFonts w:ascii="Arial" w:hAnsi="Arial" w:cs="Arial"/>
                <w:sz w:val="20"/>
                <w:szCs w:val="20"/>
              </w:rPr>
              <w:t>Percentage of Average Hospitalisation Cost</w:t>
            </w:r>
          </w:p>
        </w:tc>
      </w:tr>
      <w:tr w:rsidR="00EC40BE" w:rsidRPr="00201CC0" w:rsidTr="00164F8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18" w:type="dxa"/>
            <w:vAlign w:val="center"/>
          </w:tcPr>
          <w:p w:rsidR="00EC40BE" w:rsidRPr="00FE7190" w:rsidRDefault="004B656E" w:rsidP="00164F8C">
            <w:pPr>
              <w:spacing w:before="80" w:after="80"/>
              <w:jc w:val="center"/>
              <w:rPr>
                <w:rFonts w:ascii="Arial" w:hAnsi="Arial" w:cs="Arial"/>
                <w:sz w:val="20"/>
                <w:szCs w:val="20"/>
              </w:rPr>
            </w:pPr>
            <w:r w:rsidRPr="00FE7190">
              <w:rPr>
                <w:rFonts w:ascii="Arial" w:hAnsi="Arial" w:cs="Arial"/>
                <w:sz w:val="20"/>
                <w:szCs w:val="20"/>
              </w:rPr>
              <w:t>VTE</w:t>
            </w:r>
          </w:p>
        </w:tc>
        <w:tc>
          <w:tcPr>
            <w:tcW w:w="1417" w:type="dxa"/>
            <w:vAlign w:val="center"/>
          </w:tcPr>
          <w:p w:rsidR="00EC40BE" w:rsidRPr="00201CC0" w:rsidRDefault="004B656E" w:rsidP="00164F8C">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806</w:t>
            </w:r>
          </w:p>
        </w:tc>
        <w:tc>
          <w:tcPr>
            <w:tcW w:w="1985" w:type="dxa"/>
            <w:vAlign w:val="center"/>
          </w:tcPr>
          <w:p w:rsidR="00EC40BE" w:rsidRPr="00201CC0" w:rsidRDefault="00A80751" w:rsidP="00164F8C">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$6,200</w:t>
            </w:r>
          </w:p>
        </w:tc>
        <w:tc>
          <w:tcPr>
            <w:tcW w:w="2306" w:type="dxa"/>
            <w:vAlign w:val="center"/>
          </w:tcPr>
          <w:p w:rsidR="00EC40BE" w:rsidRPr="00201CC0" w:rsidRDefault="00536A0E" w:rsidP="00164F8C">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$1,800</w:t>
            </w:r>
          </w:p>
        </w:tc>
        <w:tc>
          <w:tcPr>
            <w:tcW w:w="2513" w:type="dxa"/>
            <w:vAlign w:val="center"/>
          </w:tcPr>
          <w:p w:rsidR="00EC40BE" w:rsidRPr="00201CC0" w:rsidRDefault="00A80751" w:rsidP="00164F8C">
            <w:pPr>
              <w:spacing w:before="80" w:after="8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35.7%</w:t>
            </w:r>
          </w:p>
        </w:tc>
      </w:tr>
      <w:tr w:rsidR="00EC40BE" w:rsidRPr="00201CC0" w:rsidTr="00164F8C">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18" w:type="dxa"/>
            <w:vAlign w:val="center"/>
          </w:tcPr>
          <w:p w:rsidR="00EC40BE" w:rsidRPr="00201CC0" w:rsidRDefault="008F1945" w:rsidP="00164F8C">
            <w:pPr>
              <w:spacing w:before="80" w:after="80"/>
              <w:jc w:val="center"/>
              <w:rPr>
                <w:rFonts w:ascii="Arial" w:hAnsi="Arial" w:cs="Arial"/>
                <w:sz w:val="20"/>
                <w:szCs w:val="20"/>
              </w:rPr>
            </w:pPr>
            <w:r>
              <w:rPr>
                <w:rFonts w:ascii="Arial" w:hAnsi="Arial" w:cs="Arial"/>
                <w:sz w:val="20"/>
                <w:szCs w:val="20"/>
              </w:rPr>
              <w:t>RHD</w:t>
            </w:r>
          </w:p>
        </w:tc>
        <w:tc>
          <w:tcPr>
            <w:tcW w:w="1417" w:type="dxa"/>
            <w:vAlign w:val="center"/>
          </w:tcPr>
          <w:p w:rsidR="00EC40BE" w:rsidRPr="00201CC0" w:rsidRDefault="004E2C05" w:rsidP="00164F8C">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6450</w:t>
            </w:r>
          </w:p>
        </w:tc>
        <w:tc>
          <w:tcPr>
            <w:tcW w:w="1985" w:type="dxa"/>
            <w:vAlign w:val="center"/>
          </w:tcPr>
          <w:p w:rsidR="00EC40BE" w:rsidRPr="00201CC0" w:rsidRDefault="008F1945" w:rsidP="00164F8C">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$775</w:t>
            </w:r>
          </w:p>
        </w:tc>
        <w:tc>
          <w:tcPr>
            <w:tcW w:w="2306" w:type="dxa"/>
            <w:vAlign w:val="center"/>
          </w:tcPr>
          <w:p w:rsidR="00EC40BE" w:rsidRPr="00201CC0" w:rsidRDefault="0051255D" w:rsidP="00164F8C">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$10,267</w:t>
            </w:r>
          </w:p>
        </w:tc>
        <w:tc>
          <w:tcPr>
            <w:tcW w:w="2513" w:type="dxa"/>
            <w:vAlign w:val="center"/>
          </w:tcPr>
          <w:p w:rsidR="00EC40BE" w:rsidRPr="00201CC0" w:rsidRDefault="0051255D" w:rsidP="00164F8C">
            <w:pPr>
              <w:spacing w:before="80" w:after="80"/>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83.3%</w:t>
            </w:r>
          </w:p>
        </w:tc>
      </w:tr>
    </w:tbl>
    <w:p w:rsidR="00365A3A" w:rsidRDefault="00365A3A" w:rsidP="00365A3A">
      <w:pPr>
        <w:pStyle w:val="Caption"/>
      </w:pPr>
    </w:p>
    <w:p w:rsidR="00EC40BE" w:rsidRPr="008B05A0" w:rsidRDefault="00F4171A" w:rsidP="00365A3A">
      <w:pPr>
        <w:pStyle w:val="Caption"/>
      </w:pPr>
      <w:r>
        <w:t>Source: 2013 NHC Executive analysis of 2011/12 NMDS</w:t>
      </w:r>
    </w:p>
    <w:p w:rsidR="00C75C3E" w:rsidRPr="00164F8C" w:rsidRDefault="00112D43" w:rsidP="00A63BA1">
      <w:pPr>
        <w:pStyle w:val="contentbody"/>
        <w:spacing w:before="120" w:beforeAutospacing="0" w:after="120" w:afterAutospacing="0" w:line="360" w:lineRule="auto"/>
        <w:jc w:val="both"/>
        <w:rPr>
          <w:rFonts w:ascii="Arial" w:hAnsi="Arial" w:cs="Arial"/>
          <w:sz w:val="22"/>
        </w:rPr>
      </w:pPr>
      <w:r w:rsidRPr="00164F8C">
        <w:rPr>
          <w:rFonts w:ascii="Arial" w:hAnsi="Arial" w:cs="Arial"/>
          <w:sz w:val="22"/>
        </w:rPr>
        <w:t xml:space="preserve">It is important to consider both the absolute gains required per person or hospitalisation as well as the relative reduction in costs.  This report uses average hospitalisation </w:t>
      </w:r>
      <w:r w:rsidR="00712C23">
        <w:rPr>
          <w:rFonts w:ascii="Arial" w:hAnsi="Arial" w:cs="Arial"/>
          <w:sz w:val="22"/>
        </w:rPr>
        <w:t>prices</w:t>
      </w:r>
      <w:r w:rsidRPr="00164F8C">
        <w:rPr>
          <w:rFonts w:ascii="Arial" w:hAnsi="Arial" w:cs="Arial"/>
          <w:sz w:val="22"/>
        </w:rPr>
        <w:t xml:space="preserve"> per person as a proxy for average total costs per person.  Whilst this assumption has some limitations, it does provide some insight as to the feasibility of reaching a material efficiency gain.  </w:t>
      </w:r>
      <w:r w:rsidR="00C75C3E" w:rsidRPr="00164F8C">
        <w:rPr>
          <w:rFonts w:ascii="Arial" w:hAnsi="Arial" w:cs="Arial"/>
          <w:sz w:val="22"/>
        </w:rPr>
        <w:t>Based on the numbers above, only hypertension would require a reduction in hospitalisations greater than the total number; however, there are three distinct groups of diseases that require differing levels of hospitalisation reductions to achieve a mat</w:t>
      </w:r>
      <w:r w:rsidR="00FD0607" w:rsidRPr="00164F8C">
        <w:rPr>
          <w:rFonts w:ascii="Arial" w:hAnsi="Arial" w:cs="Arial"/>
          <w:sz w:val="22"/>
        </w:rPr>
        <w:t>erial efficiency gain.  Figure 14</w:t>
      </w:r>
      <w:r w:rsidR="00C75C3E" w:rsidRPr="00164F8C">
        <w:rPr>
          <w:rFonts w:ascii="Arial" w:hAnsi="Arial" w:cs="Arial"/>
          <w:sz w:val="22"/>
        </w:rPr>
        <w:t xml:space="preserve"> displays these groups graphically.</w:t>
      </w:r>
    </w:p>
    <w:p w:rsidR="00FD0607" w:rsidRPr="00C75C3E" w:rsidRDefault="00FD0607" w:rsidP="00FD0607">
      <w:pPr>
        <w:pStyle w:val="Figure"/>
      </w:pPr>
      <w:r>
        <w:t xml:space="preserve">Figure 14: Percentage Required </w:t>
      </w:r>
      <w:proofErr w:type="gramStart"/>
      <w:r>
        <w:t>to Reach</w:t>
      </w:r>
      <w:proofErr w:type="gramEnd"/>
      <w:r>
        <w:t xml:space="preserve"> $5 Million by Disease</w:t>
      </w:r>
    </w:p>
    <w:p w:rsidR="00C90FA4" w:rsidRDefault="00C90FA4" w:rsidP="00733218">
      <w:bookmarkStart w:id="274" w:name="_Toc360641459"/>
      <w:bookmarkStart w:id="275" w:name="_Toc360714650"/>
      <w:r>
        <w:rPr>
          <w:noProof/>
          <w:lang w:eastAsia="en-NZ"/>
        </w:rPr>
        <w:drawing>
          <wp:inline distT="0" distB="0" distL="0" distR="0" wp14:anchorId="1A0591CB" wp14:editId="62B6D955">
            <wp:extent cx="6108192" cy="3694176"/>
            <wp:effectExtent l="0" t="0" r="6985"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bookmarkEnd w:id="274"/>
      <w:bookmarkEnd w:id="275"/>
    </w:p>
    <w:p w:rsidR="00FD0607" w:rsidRPr="00FD0607" w:rsidRDefault="00FD0607" w:rsidP="00365A3A">
      <w:pPr>
        <w:pStyle w:val="Caption"/>
      </w:pPr>
      <w:r>
        <w:t>Source: NZBDS</w:t>
      </w:r>
      <w:r w:rsidR="00A63BA1">
        <w:t xml:space="preserve"> 2013</w:t>
      </w:r>
    </w:p>
    <w:p w:rsidR="00164F8C" w:rsidRDefault="00164F8C" w:rsidP="00164F8C">
      <w:pPr>
        <w:pStyle w:val="contentbody"/>
        <w:spacing w:before="0" w:beforeAutospacing="0" w:after="120" w:afterAutospacing="0" w:line="360" w:lineRule="auto"/>
        <w:jc w:val="both"/>
        <w:rPr>
          <w:rFonts w:ascii="Arial" w:hAnsi="Arial" w:cs="Arial"/>
          <w:sz w:val="22"/>
        </w:rPr>
      </w:pPr>
      <w:r>
        <w:rPr>
          <w:rFonts w:ascii="Arial" w:hAnsi="Arial" w:cs="Arial"/>
          <w:sz w:val="22"/>
        </w:rPr>
        <w:br w:type="page"/>
      </w:r>
    </w:p>
    <w:p w:rsidR="00C75C3E" w:rsidRPr="00164F8C" w:rsidRDefault="00C75C3E"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lastRenderedPageBreak/>
        <w:t xml:space="preserve">The </w:t>
      </w:r>
      <w:r w:rsidR="00FD0607" w:rsidRPr="00164F8C">
        <w:rPr>
          <w:rFonts w:ascii="Arial" w:hAnsi="Arial" w:cs="Arial"/>
          <w:sz w:val="22"/>
        </w:rPr>
        <w:t xml:space="preserve">diseases </w:t>
      </w:r>
      <w:r w:rsidR="004E2C05" w:rsidRPr="00164F8C">
        <w:rPr>
          <w:rFonts w:ascii="Arial" w:hAnsi="Arial" w:cs="Arial"/>
          <w:sz w:val="22"/>
        </w:rPr>
        <w:t xml:space="preserve">represented by the red bars </w:t>
      </w:r>
      <w:r w:rsidRPr="00164F8C">
        <w:rPr>
          <w:rFonts w:ascii="Arial" w:hAnsi="Arial" w:cs="Arial"/>
          <w:sz w:val="22"/>
        </w:rPr>
        <w:t>would require a reduction of more than half of all hospitalisations whilst the diseases</w:t>
      </w:r>
      <w:r w:rsidR="004E2C05" w:rsidRPr="00164F8C">
        <w:rPr>
          <w:rFonts w:ascii="Arial" w:hAnsi="Arial" w:cs="Arial"/>
          <w:sz w:val="22"/>
        </w:rPr>
        <w:t xml:space="preserve"> represented by the yellow bars</w:t>
      </w:r>
      <w:r w:rsidRPr="00164F8C">
        <w:rPr>
          <w:rFonts w:ascii="Arial" w:hAnsi="Arial" w:cs="Arial"/>
          <w:sz w:val="22"/>
        </w:rPr>
        <w:t xml:space="preserve"> would require between 10%-40% reduction in hospitalisations.  The diseases </w:t>
      </w:r>
      <w:r w:rsidR="004E2C05" w:rsidRPr="00164F8C">
        <w:rPr>
          <w:rFonts w:ascii="Arial" w:hAnsi="Arial" w:cs="Arial"/>
          <w:sz w:val="22"/>
        </w:rPr>
        <w:t xml:space="preserve">represented by the green bars </w:t>
      </w:r>
      <w:r w:rsidRPr="00164F8C">
        <w:rPr>
          <w:rFonts w:ascii="Arial" w:hAnsi="Arial" w:cs="Arial"/>
          <w:sz w:val="22"/>
        </w:rPr>
        <w:t>(IHD and stroke) would require a less than 10% reduction in hospitalisations.</w:t>
      </w:r>
      <w:r w:rsidR="00112D43" w:rsidRPr="00164F8C">
        <w:rPr>
          <w:rFonts w:ascii="Arial" w:hAnsi="Arial" w:cs="Arial"/>
          <w:sz w:val="22"/>
        </w:rPr>
        <w:t xml:space="preserve">  A smaller percentage reduction in hospitalisations may be more feasible than a larger percentage reduction; therefore, stroke and IHD may have the most potential for material</w:t>
      </w:r>
      <w:r w:rsidR="004E2C05" w:rsidRPr="00164F8C">
        <w:rPr>
          <w:rFonts w:ascii="Arial" w:hAnsi="Arial" w:cs="Arial"/>
          <w:sz w:val="22"/>
        </w:rPr>
        <w:t xml:space="preserve"> efficiency gain</w:t>
      </w:r>
      <w:r w:rsidR="00112D43" w:rsidRPr="00164F8C">
        <w:rPr>
          <w:rFonts w:ascii="Arial" w:hAnsi="Arial" w:cs="Arial"/>
          <w:sz w:val="22"/>
        </w:rPr>
        <w:t>.</w:t>
      </w:r>
    </w:p>
    <w:p w:rsidR="00BC2106" w:rsidRPr="00164F8C" w:rsidRDefault="00BC2106"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The hospitalisation rate for stroke in New Zealand was 211 and 423 per 100,000 </w:t>
      </w:r>
      <w:r w:rsidR="007C46E7" w:rsidRPr="00164F8C">
        <w:rPr>
          <w:rFonts w:ascii="Arial" w:hAnsi="Arial" w:cs="Arial"/>
          <w:sz w:val="22"/>
        </w:rPr>
        <w:t>non-</w:t>
      </w:r>
      <w:r w:rsidR="00154557" w:rsidRPr="00164F8C">
        <w:rPr>
          <w:rFonts w:ascii="Arial" w:hAnsi="Arial" w:cs="Arial"/>
          <w:sz w:val="22"/>
        </w:rPr>
        <w:t>Māori</w:t>
      </w:r>
      <w:r w:rsidR="007C46E7" w:rsidRPr="00164F8C">
        <w:rPr>
          <w:rFonts w:ascii="Arial" w:hAnsi="Arial" w:cs="Arial"/>
          <w:sz w:val="22"/>
        </w:rPr>
        <w:t xml:space="preserve"> and </w:t>
      </w:r>
      <w:r w:rsidR="00154557" w:rsidRPr="00164F8C">
        <w:rPr>
          <w:rFonts w:ascii="Arial" w:hAnsi="Arial" w:cs="Arial"/>
          <w:sz w:val="22"/>
        </w:rPr>
        <w:t>Māori</w:t>
      </w:r>
      <w:r w:rsidR="007C46E7" w:rsidRPr="00164F8C">
        <w:rPr>
          <w:rFonts w:ascii="Arial" w:hAnsi="Arial" w:cs="Arial"/>
          <w:sz w:val="22"/>
        </w:rPr>
        <w:t xml:space="preserve"> </w:t>
      </w:r>
      <w:r w:rsidRPr="00164F8C">
        <w:rPr>
          <w:rFonts w:ascii="Arial" w:hAnsi="Arial" w:cs="Arial"/>
          <w:sz w:val="22"/>
        </w:rPr>
        <w:t>individuals aged over 3</w:t>
      </w:r>
      <w:r w:rsidR="007C46E7" w:rsidRPr="00164F8C">
        <w:rPr>
          <w:rFonts w:ascii="Arial" w:hAnsi="Arial" w:cs="Arial"/>
          <w:sz w:val="22"/>
        </w:rPr>
        <w:t>5 years between 2006 and 2008 whilst in Canada, the rate was 118 per 100,000 individuals in 2005/06</w:t>
      </w:r>
      <w:r w:rsidR="00C54C15" w:rsidRPr="00164F8C">
        <w:rPr>
          <w:rFonts w:ascii="Arial" w:hAnsi="Arial" w:cs="Arial"/>
          <w:sz w:val="22"/>
        </w:rPr>
        <w:t xml:space="preserve"> </w:t>
      </w:r>
      <w:r w:rsidR="00C54C15" w:rsidRPr="00164F8C">
        <w:rPr>
          <w:rFonts w:ascii="Arial" w:hAnsi="Arial" w:cs="Arial"/>
          <w:sz w:val="22"/>
        </w:rPr>
        <w:fldChar w:fldCharType="begin"/>
      </w:r>
      <w:r w:rsidR="00E96985">
        <w:rPr>
          <w:rFonts w:ascii="Arial" w:hAnsi="Arial" w:cs="Arial"/>
          <w:sz w:val="22"/>
        </w:rPr>
        <w:instrText xml:space="preserve"> ADDIN EN.CITE &lt;EndNote&gt;&lt;Cite&gt;&lt;Author&gt;Dai&lt;/Author&gt;&lt;Year&gt;2009&lt;/Year&gt;&lt;RecNum&gt;730&lt;/RecNum&gt;&lt;DisplayText&gt;&lt;style face="superscript"&gt;(26, 27)&lt;/style&gt;&lt;/DisplayText&gt;&lt;record&gt;&lt;rec-number&gt;730&lt;/rec-number&gt;&lt;foreign-keys&gt;&lt;key app="EN" db-id="paxef0v91tx5e7eaev8xxf2xd92zvrfrv592"&gt;730&lt;/key&gt;&lt;/foreign-keys&gt;&lt;ref-type name="Journal Article"&gt;17&lt;/ref-type&gt;&lt;contributors&gt;&lt;authors&gt;&lt;author&gt;Dai, S&lt;/author&gt;&lt;author&gt;Bancej, C&lt;/author&gt;&lt;author&gt;Bienek, A&lt;/author&gt;&lt;author&gt;Walsh, P&lt;/author&gt;&lt;author&gt;Stewart, P&lt;/author&gt;&lt;author&gt;Weilgosz, A&lt;/author&gt;&lt;/authors&gt;&lt;/contributors&gt;&lt;titles&gt;&lt;title&gt;Tracking heart disease and stroke in Canada 2009&lt;/title&gt;&lt;secondary-title&gt;Chronic Dis Can&lt;/secondary-title&gt;&lt;/titles&gt;&lt;periodical&gt;&lt;full-title&gt;Chronic Dis Can&lt;/full-title&gt;&lt;/periodical&gt;&lt;pages&gt;192-193&lt;/pages&gt;&lt;volume&gt;29&lt;/volume&gt;&lt;dates&gt;&lt;year&gt;2009&lt;/year&gt;&lt;/dates&gt;&lt;urls&gt;&lt;/urls&gt;&lt;/record&gt;&lt;/Cite&gt;&lt;Cite&gt;&lt;Author&gt;Ministry of Health&lt;/Author&gt;&lt;Year&gt;2010&lt;/Year&gt;&lt;RecNum&gt;731&lt;/RecNum&gt;&lt;record&gt;&lt;rec-number&gt;731&lt;/rec-number&gt;&lt;foreign-keys&gt;&lt;key app="EN" db-id="paxef0v91tx5e7eaev8xxf2xd92zvrfrv592"&gt;731&lt;/key&gt;&lt;/foreign-keys&gt;&lt;ref-type name="Government Document"&gt;46&lt;/ref-type&gt;&lt;contributors&gt;&lt;authors&gt;&lt;author&gt;Ministry of Health,&lt;/author&gt;&lt;/authors&gt;&lt;/contributors&gt;&lt;titles&gt;&lt;title&gt;&lt;style face="normal" font="default" size="100%"&gt;Tatau Kahukura: M&lt;/style&gt;&lt;style face="normal" font="default" charset="186" size="100%"&gt;āori Health Chart Book&lt;/style&gt;&lt;/title&gt;&lt;/titles&gt;&lt;dates&gt;&lt;year&gt;2010&lt;/year&gt;&lt;/dates&gt;&lt;pub-location&gt;Wellington&lt;/pub-location&gt;&lt;publisher&gt;Ministry of Health&lt;/publisher&gt;&lt;urls&gt;&lt;/urls&gt;&lt;/record&gt;&lt;/Cite&gt;&lt;/EndNote&gt;</w:instrText>
      </w:r>
      <w:r w:rsidR="00C54C15" w:rsidRPr="00164F8C">
        <w:rPr>
          <w:rFonts w:ascii="Arial" w:hAnsi="Arial" w:cs="Arial"/>
          <w:sz w:val="22"/>
        </w:rPr>
        <w:fldChar w:fldCharType="separate"/>
      </w:r>
      <w:r w:rsidR="00E96985" w:rsidRPr="00E96985">
        <w:rPr>
          <w:rFonts w:ascii="Arial" w:hAnsi="Arial" w:cs="Arial"/>
          <w:noProof/>
          <w:sz w:val="22"/>
          <w:vertAlign w:val="superscript"/>
        </w:rPr>
        <w:t>(</w:t>
      </w:r>
      <w:hyperlink w:anchor="_ENREF_26" w:tooltip="Dai, 2009 #730" w:history="1">
        <w:r w:rsidR="001418E1" w:rsidRPr="00E96985">
          <w:rPr>
            <w:rFonts w:ascii="Arial" w:hAnsi="Arial" w:cs="Arial"/>
            <w:noProof/>
            <w:sz w:val="22"/>
            <w:vertAlign w:val="superscript"/>
          </w:rPr>
          <w:t>26</w:t>
        </w:r>
      </w:hyperlink>
      <w:r w:rsidR="00E96985" w:rsidRPr="00E96985">
        <w:rPr>
          <w:rFonts w:ascii="Arial" w:hAnsi="Arial" w:cs="Arial"/>
          <w:noProof/>
          <w:sz w:val="22"/>
          <w:vertAlign w:val="superscript"/>
        </w:rPr>
        <w:t xml:space="preserve">, </w:t>
      </w:r>
      <w:hyperlink w:anchor="_ENREF_27" w:tooltip="Ministry of Health, 2010 #731" w:history="1">
        <w:r w:rsidR="001418E1" w:rsidRPr="00E96985">
          <w:rPr>
            <w:rFonts w:ascii="Arial" w:hAnsi="Arial" w:cs="Arial"/>
            <w:noProof/>
            <w:sz w:val="22"/>
            <w:vertAlign w:val="superscript"/>
          </w:rPr>
          <w:t>27</w:t>
        </w:r>
      </w:hyperlink>
      <w:r w:rsidR="00E96985" w:rsidRPr="00E96985">
        <w:rPr>
          <w:rFonts w:ascii="Arial" w:hAnsi="Arial" w:cs="Arial"/>
          <w:noProof/>
          <w:sz w:val="22"/>
          <w:vertAlign w:val="superscript"/>
        </w:rPr>
        <w:t>)</w:t>
      </w:r>
      <w:r w:rsidR="00C54C15" w:rsidRPr="00164F8C">
        <w:rPr>
          <w:rFonts w:ascii="Arial" w:hAnsi="Arial" w:cs="Arial"/>
          <w:sz w:val="22"/>
        </w:rPr>
        <w:fldChar w:fldCharType="end"/>
      </w:r>
      <w:r w:rsidR="007C46E7" w:rsidRPr="00164F8C">
        <w:rPr>
          <w:rFonts w:ascii="Arial" w:hAnsi="Arial" w:cs="Arial"/>
          <w:sz w:val="22"/>
        </w:rPr>
        <w:t>.  A 10% reduction in hospitalisations for non-</w:t>
      </w:r>
      <w:r w:rsidR="00154557" w:rsidRPr="00164F8C">
        <w:rPr>
          <w:rFonts w:ascii="Arial" w:hAnsi="Arial" w:cs="Arial"/>
          <w:sz w:val="22"/>
        </w:rPr>
        <w:t>Māori</w:t>
      </w:r>
      <w:r w:rsidR="007C46E7" w:rsidRPr="00164F8C">
        <w:rPr>
          <w:rFonts w:ascii="Arial" w:hAnsi="Arial" w:cs="Arial"/>
          <w:sz w:val="22"/>
        </w:rPr>
        <w:t xml:space="preserve"> and </w:t>
      </w:r>
      <w:r w:rsidR="00154557" w:rsidRPr="00164F8C">
        <w:rPr>
          <w:rFonts w:ascii="Arial" w:hAnsi="Arial" w:cs="Arial"/>
          <w:sz w:val="22"/>
        </w:rPr>
        <w:t>Māori</w:t>
      </w:r>
      <w:r w:rsidR="007C46E7" w:rsidRPr="00164F8C">
        <w:rPr>
          <w:rFonts w:ascii="Arial" w:hAnsi="Arial" w:cs="Arial"/>
          <w:sz w:val="22"/>
        </w:rPr>
        <w:t xml:space="preserve"> would equate to a hospitalisation rate of 190 and 381 per 100,000 which are both higher than the Canadian rate; therefore, a 10% reduction in stroke hospitalisations may be achievable.</w:t>
      </w:r>
    </w:p>
    <w:p w:rsidR="007C46E7" w:rsidRPr="00164F8C" w:rsidRDefault="007C46E7"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For IHD, the hospitalisation rate for </w:t>
      </w:r>
      <w:r w:rsidR="00FD0607" w:rsidRPr="00164F8C">
        <w:rPr>
          <w:rFonts w:ascii="Arial" w:hAnsi="Arial" w:cs="Arial"/>
          <w:sz w:val="22"/>
        </w:rPr>
        <w:t xml:space="preserve">all </w:t>
      </w:r>
      <w:r w:rsidRPr="00164F8C">
        <w:rPr>
          <w:rFonts w:ascii="Arial" w:hAnsi="Arial" w:cs="Arial"/>
          <w:sz w:val="22"/>
        </w:rPr>
        <w:t xml:space="preserve">individuals was </w:t>
      </w:r>
      <w:r w:rsidR="00FD0607" w:rsidRPr="00164F8C">
        <w:rPr>
          <w:rFonts w:ascii="Arial" w:hAnsi="Arial" w:cs="Arial"/>
          <w:sz w:val="22"/>
        </w:rPr>
        <w:t>698</w:t>
      </w:r>
      <w:r w:rsidRPr="00164F8C">
        <w:rPr>
          <w:rFonts w:ascii="Arial" w:hAnsi="Arial" w:cs="Arial"/>
          <w:sz w:val="22"/>
        </w:rPr>
        <w:t xml:space="preserve"> </w:t>
      </w:r>
      <w:r w:rsidR="00FD0607" w:rsidRPr="00164F8C">
        <w:rPr>
          <w:rFonts w:ascii="Arial" w:hAnsi="Arial" w:cs="Arial"/>
          <w:sz w:val="22"/>
        </w:rPr>
        <w:t>per 100,000 individuals in 2011/12</w:t>
      </w:r>
      <w:r w:rsidR="00074FDD">
        <w:rPr>
          <w:rFonts w:ascii="Arial" w:hAnsi="Arial" w:cs="Arial"/>
          <w:sz w:val="22"/>
        </w:rPr>
        <w:t xml:space="preserve"> </w:t>
      </w:r>
      <w:r w:rsidR="00C54C15" w:rsidRPr="00164F8C">
        <w:rPr>
          <w:rFonts w:ascii="Arial" w:hAnsi="Arial" w:cs="Arial"/>
          <w:sz w:val="22"/>
        </w:rPr>
        <w:fldChar w:fldCharType="begin"/>
      </w:r>
      <w:r w:rsidR="00E96985">
        <w:rPr>
          <w:rFonts w:ascii="Arial" w:hAnsi="Arial" w:cs="Arial"/>
          <w:sz w:val="22"/>
        </w:rPr>
        <w:instrText xml:space="preserve"> ADDIN EN.CITE &lt;EndNote&gt;&lt;Cite&gt;&lt;Author&gt;Ministry of Health&lt;/Author&gt;&lt;Year&gt;2010&lt;/Year&gt;&lt;RecNum&gt;731&lt;/RecNum&gt;&lt;DisplayText&gt;&lt;style face="superscript"&gt;(27)&lt;/style&gt;&lt;/DisplayText&gt;&lt;record&gt;&lt;rec-number&gt;731&lt;/rec-number&gt;&lt;foreign-keys&gt;&lt;key app="EN" db-id="paxef0v91tx5e7eaev8xxf2xd92zvrfrv592"&gt;731&lt;/key&gt;&lt;/foreign-keys&gt;&lt;ref-type name="Government Document"&gt;46&lt;/ref-type&gt;&lt;contributors&gt;&lt;authors&gt;&lt;author&gt;Ministry of Health,&lt;/author&gt;&lt;/authors&gt;&lt;/contributors&gt;&lt;titles&gt;&lt;title&gt;&lt;style face="normal" font="default" size="100%"&gt;Tatau Kahukura: M&lt;/style&gt;&lt;style face="normal" font="default" charset="186" size="100%"&gt;āori Health Chart Book&lt;/style&gt;&lt;/title&gt;&lt;/titles&gt;&lt;dates&gt;&lt;year&gt;2010&lt;/year&gt;&lt;/dates&gt;&lt;pub-location&gt;Wellington&lt;/pub-location&gt;&lt;publisher&gt;Ministry of Health&lt;/publisher&gt;&lt;urls&gt;&lt;/urls&gt;&lt;/record&gt;&lt;/Cite&gt;&lt;/EndNote&gt;</w:instrText>
      </w:r>
      <w:r w:rsidR="00C54C15" w:rsidRPr="00164F8C">
        <w:rPr>
          <w:rFonts w:ascii="Arial" w:hAnsi="Arial" w:cs="Arial"/>
          <w:sz w:val="22"/>
        </w:rPr>
        <w:fldChar w:fldCharType="separate"/>
      </w:r>
      <w:r w:rsidR="00E96985" w:rsidRPr="00E96985">
        <w:rPr>
          <w:rFonts w:ascii="Arial" w:hAnsi="Arial" w:cs="Arial"/>
          <w:noProof/>
          <w:sz w:val="22"/>
          <w:vertAlign w:val="superscript"/>
        </w:rPr>
        <w:t>(</w:t>
      </w:r>
      <w:hyperlink w:anchor="_ENREF_27" w:tooltip="Ministry of Health, 2010 #731" w:history="1">
        <w:r w:rsidR="001418E1" w:rsidRPr="00E96985">
          <w:rPr>
            <w:rFonts w:ascii="Arial" w:hAnsi="Arial" w:cs="Arial"/>
            <w:noProof/>
            <w:sz w:val="22"/>
            <w:vertAlign w:val="superscript"/>
          </w:rPr>
          <w:t>27</w:t>
        </w:r>
      </w:hyperlink>
      <w:r w:rsidR="00E96985" w:rsidRPr="00E96985">
        <w:rPr>
          <w:rFonts w:ascii="Arial" w:hAnsi="Arial" w:cs="Arial"/>
          <w:noProof/>
          <w:sz w:val="22"/>
          <w:vertAlign w:val="superscript"/>
        </w:rPr>
        <w:t>)</w:t>
      </w:r>
      <w:r w:rsidR="00C54C15" w:rsidRPr="00164F8C">
        <w:rPr>
          <w:rFonts w:ascii="Arial" w:hAnsi="Arial" w:cs="Arial"/>
          <w:sz w:val="22"/>
        </w:rPr>
        <w:fldChar w:fldCharType="end"/>
      </w:r>
      <w:r w:rsidRPr="00164F8C">
        <w:rPr>
          <w:rFonts w:ascii="Arial" w:hAnsi="Arial" w:cs="Arial"/>
          <w:sz w:val="22"/>
        </w:rPr>
        <w:t>.  The Canadian IHD hospitalisation rate was 495 per 100,000 individuals in 2005/06</w:t>
      </w:r>
      <w:r w:rsidR="00C54C15" w:rsidRPr="00164F8C">
        <w:rPr>
          <w:rFonts w:ascii="Arial" w:hAnsi="Arial" w:cs="Arial"/>
          <w:sz w:val="22"/>
        </w:rPr>
        <w:t xml:space="preserve"> </w:t>
      </w:r>
      <w:r w:rsidR="00C54C15" w:rsidRPr="00164F8C">
        <w:rPr>
          <w:rFonts w:ascii="Arial" w:hAnsi="Arial" w:cs="Arial"/>
          <w:sz w:val="22"/>
        </w:rPr>
        <w:fldChar w:fldCharType="begin"/>
      </w:r>
      <w:r w:rsidR="00E96985">
        <w:rPr>
          <w:rFonts w:ascii="Arial" w:hAnsi="Arial" w:cs="Arial"/>
          <w:sz w:val="22"/>
        </w:rPr>
        <w:instrText xml:space="preserve"> ADDIN EN.CITE &lt;EndNote&gt;&lt;Cite&gt;&lt;Author&gt;Dai&lt;/Author&gt;&lt;Year&gt;2009&lt;/Year&gt;&lt;RecNum&gt;730&lt;/RecNum&gt;&lt;DisplayText&gt;&lt;style face="superscript"&gt;(26)&lt;/style&gt;&lt;/DisplayText&gt;&lt;record&gt;&lt;rec-number&gt;730&lt;/rec-number&gt;&lt;foreign-keys&gt;&lt;key app="EN" db-id="paxef0v91tx5e7eaev8xxf2xd92zvrfrv592"&gt;730&lt;/key&gt;&lt;/foreign-keys&gt;&lt;ref-type name="Journal Article"&gt;17&lt;/ref-type&gt;&lt;contributors&gt;&lt;authors&gt;&lt;author&gt;Dai, S&lt;/author&gt;&lt;author&gt;Bancej, C&lt;/author&gt;&lt;author&gt;Bienek, A&lt;/author&gt;&lt;author&gt;Walsh, P&lt;/author&gt;&lt;author&gt;Stewart, P&lt;/author&gt;&lt;author&gt;Weilgosz, A&lt;/author&gt;&lt;/authors&gt;&lt;/contributors&gt;&lt;titles&gt;&lt;title&gt;Tracking heart disease and stroke in Canada 2009&lt;/title&gt;&lt;secondary-title&gt;Chronic Dis Can&lt;/secondary-title&gt;&lt;/titles&gt;&lt;periodical&gt;&lt;full-title&gt;Chronic Dis Can&lt;/full-title&gt;&lt;/periodical&gt;&lt;pages&gt;192-193&lt;/pages&gt;&lt;volume&gt;29&lt;/volume&gt;&lt;dates&gt;&lt;year&gt;2009&lt;/year&gt;&lt;/dates&gt;&lt;urls&gt;&lt;/urls&gt;&lt;/record&gt;&lt;/Cite&gt;&lt;/EndNote&gt;</w:instrText>
      </w:r>
      <w:r w:rsidR="00C54C15" w:rsidRPr="00164F8C">
        <w:rPr>
          <w:rFonts w:ascii="Arial" w:hAnsi="Arial" w:cs="Arial"/>
          <w:sz w:val="22"/>
        </w:rPr>
        <w:fldChar w:fldCharType="separate"/>
      </w:r>
      <w:r w:rsidR="00E96985" w:rsidRPr="00E96985">
        <w:rPr>
          <w:rFonts w:ascii="Arial" w:hAnsi="Arial" w:cs="Arial"/>
          <w:noProof/>
          <w:sz w:val="22"/>
          <w:vertAlign w:val="superscript"/>
        </w:rPr>
        <w:t>(</w:t>
      </w:r>
      <w:hyperlink w:anchor="_ENREF_26" w:tooltip="Dai, 2009 #730" w:history="1">
        <w:r w:rsidR="001418E1" w:rsidRPr="00E96985">
          <w:rPr>
            <w:rFonts w:ascii="Arial" w:hAnsi="Arial" w:cs="Arial"/>
            <w:noProof/>
            <w:sz w:val="22"/>
            <w:vertAlign w:val="superscript"/>
          </w:rPr>
          <w:t>26</w:t>
        </w:r>
      </w:hyperlink>
      <w:r w:rsidR="00E96985" w:rsidRPr="00E96985">
        <w:rPr>
          <w:rFonts w:ascii="Arial" w:hAnsi="Arial" w:cs="Arial"/>
          <w:noProof/>
          <w:sz w:val="22"/>
          <w:vertAlign w:val="superscript"/>
        </w:rPr>
        <w:t>)</w:t>
      </w:r>
      <w:r w:rsidR="00C54C15" w:rsidRPr="00164F8C">
        <w:rPr>
          <w:rFonts w:ascii="Arial" w:hAnsi="Arial" w:cs="Arial"/>
          <w:sz w:val="22"/>
        </w:rPr>
        <w:fldChar w:fldCharType="end"/>
      </w:r>
      <w:r w:rsidRPr="00164F8C">
        <w:rPr>
          <w:rFonts w:ascii="Arial" w:hAnsi="Arial" w:cs="Arial"/>
          <w:sz w:val="22"/>
        </w:rPr>
        <w:t xml:space="preserve">.  A 2.2% reduction in IHD hospitalisations would equate to </w:t>
      </w:r>
      <w:r w:rsidR="00FD0607" w:rsidRPr="00164F8C">
        <w:rPr>
          <w:rFonts w:ascii="Arial" w:hAnsi="Arial" w:cs="Arial"/>
          <w:sz w:val="22"/>
        </w:rPr>
        <w:t>683</w:t>
      </w:r>
      <w:r w:rsidRPr="00164F8C">
        <w:rPr>
          <w:rFonts w:ascii="Arial" w:hAnsi="Arial" w:cs="Arial"/>
          <w:sz w:val="22"/>
        </w:rPr>
        <w:t xml:space="preserve"> per 100,000 individuals.</w:t>
      </w:r>
    </w:p>
    <w:p w:rsidR="0095046C" w:rsidRDefault="00C54C15"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Stroke prevalence in Canada is</w:t>
      </w:r>
      <w:r w:rsidR="007C46E7" w:rsidRPr="00164F8C">
        <w:rPr>
          <w:rFonts w:ascii="Arial" w:hAnsi="Arial" w:cs="Arial"/>
          <w:sz w:val="22"/>
        </w:rPr>
        <w:t xml:space="preserve"> 1.1% whilst in New Zealand the rate is about the same at 1.4%.  </w:t>
      </w:r>
      <w:r w:rsidRPr="00164F8C">
        <w:rPr>
          <w:rFonts w:ascii="Arial" w:hAnsi="Arial" w:cs="Arial"/>
          <w:sz w:val="22"/>
        </w:rPr>
        <w:t xml:space="preserve">IHD prevalence in Canada is 4.8% and 4.4% in New Zealand.  Since the relative prevalence rates are similar, New Zealand may be able to achieve Canada’s hospitalisation rate.  </w:t>
      </w:r>
    </w:p>
    <w:p w:rsidR="007C46E7" w:rsidRPr="00164F8C" w:rsidRDefault="00074FDD" w:rsidP="00164F8C">
      <w:pPr>
        <w:pStyle w:val="contentbody"/>
        <w:spacing w:before="0" w:beforeAutospacing="0" w:after="120" w:afterAutospacing="0" w:line="360" w:lineRule="auto"/>
        <w:jc w:val="both"/>
        <w:rPr>
          <w:rFonts w:ascii="Arial" w:hAnsi="Arial" w:cs="Arial"/>
          <w:sz w:val="22"/>
        </w:rPr>
      </w:pPr>
      <w:r>
        <w:rPr>
          <w:rFonts w:ascii="Arial" w:hAnsi="Arial" w:cs="Arial"/>
          <w:sz w:val="22"/>
        </w:rPr>
        <w:t xml:space="preserve">As we do not have enough detail of the methodology for these Canadian hospitalisation rates they should only be considered indicative of possible improvement. </w:t>
      </w:r>
      <w:r w:rsidR="00365A3A">
        <w:rPr>
          <w:rFonts w:ascii="Arial" w:hAnsi="Arial" w:cs="Arial"/>
          <w:sz w:val="22"/>
        </w:rPr>
        <w:t xml:space="preserve"> </w:t>
      </w:r>
      <w:r>
        <w:rPr>
          <w:rFonts w:ascii="Arial" w:hAnsi="Arial" w:cs="Arial"/>
          <w:sz w:val="22"/>
        </w:rPr>
        <w:t xml:space="preserve">However, given the rates come from the same study the relative </w:t>
      </w:r>
      <w:r w:rsidR="00365A3A">
        <w:rPr>
          <w:rFonts w:ascii="Arial" w:hAnsi="Arial" w:cs="Arial"/>
          <w:sz w:val="22"/>
        </w:rPr>
        <w:t xml:space="preserve">differences between the cardiovascular conditions within each country provide enough information to ascertain that </w:t>
      </w:r>
      <w:r w:rsidR="00365A3A" w:rsidRPr="00164F8C">
        <w:rPr>
          <w:rFonts w:ascii="Arial" w:hAnsi="Arial" w:cs="Arial"/>
          <w:sz w:val="22"/>
        </w:rPr>
        <w:t xml:space="preserve">IHD has a larger potential efficiency gain than stroke and </w:t>
      </w:r>
      <w:r w:rsidR="001418E1">
        <w:rPr>
          <w:rFonts w:ascii="Arial" w:hAnsi="Arial" w:cs="Arial"/>
          <w:sz w:val="22"/>
        </w:rPr>
        <w:t xml:space="preserve">would </w:t>
      </w:r>
      <w:r w:rsidR="00365A3A" w:rsidRPr="00164F8C">
        <w:rPr>
          <w:rFonts w:ascii="Arial" w:hAnsi="Arial" w:cs="Arial"/>
          <w:sz w:val="22"/>
        </w:rPr>
        <w:t>require</w:t>
      </w:r>
      <w:r w:rsidR="00C54C15" w:rsidRPr="00164F8C">
        <w:rPr>
          <w:rFonts w:ascii="Arial" w:hAnsi="Arial" w:cs="Arial"/>
          <w:sz w:val="22"/>
        </w:rPr>
        <w:t xml:space="preserve"> a smaller hospitalisation reduction to meet a $5 million </w:t>
      </w:r>
      <w:r w:rsidR="00FD0607" w:rsidRPr="00164F8C">
        <w:rPr>
          <w:rFonts w:ascii="Arial" w:hAnsi="Arial" w:cs="Arial"/>
          <w:sz w:val="22"/>
        </w:rPr>
        <w:t>efficiency gain</w:t>
      </w:r>
      <w:r w:rsidR="00C54C15" w:rsidRPr="00164F8C">
        <w:rPr>
          <w:rFonts w:ascii="Arial" w:hAnsi="Arial" w:cs="Arial"/>
          <w:sz w:val="22"/>
        </w:rPr>
        <w:t xml:space="preserve"> threshold.</w:t>
      </w:r>
    </w:p>
    <w:p w:rsidR="00305D17" w:rsidRDefault="00305D17" w:rsidP="00305D17">
      <w:pPr>
        <w:pStyle w:val="Heading2"/>
      </w:pPr>
      <w:bookmarkStart w:id="276" w:name="_Toc360641460"/>
      <w:bookmarkStart w:id="277" w:name="_Toc360714651"/>
      <w:bookmarkStart w:id="278" w:name="_Toc363122586"/>
      <w:bookmarkStart w:id="279" w:name="_Toc365276943"/>
      <w:r>
        <w:t>Policy Congruence</w:t>
      </w:r>
      <w:bookmarkEnd w:id="276"/>
      <w:bookmarkEnd w:id="277"/>
      <w:bookmarkEnd w:id="278"/>
      <w:bookmarkEnd w:id="279"/>
    </w:p>
    <w:p w:rsidR="00164F8C" w:rsidRDefault="002E426C" w:rsidP="006D1BCA">
      <w:pPr>
        <w:pStyle w:val="contentbody"/>
        <w:spacing w:before="0" w:beforeAutospacing="0" w:after="120" w:afterAutospacing="0" w:line="360" w:lineRule="auto"/>
        <w:jc w:val="both"/>
      </w:pPr>
      <w:r w:rsidRPr="00164F8C">
        <w:rPr>
          <w:rFonts w:ascii="Arial" w:hAnsi="Arial" w:cs="Arial"/>
          <w:sz w:val="22"/>
        </w:rPr>
        <w:t xml:space="preserve">The </w:t>
      </w:r>
      <w:r w:rsidR="004E2C05" w:rsidRPr="00164F8C">
        <w:rPr>
          <w:rFonts w:ascii="Arial" w:hAnsi="Arial" w:cs="Arial"/>
          <w:sz w:val="22"/>
        </w:rPr>
        <w:t xml:space="preserve">New Zealand </w:t>
      </w:r>
      <w:r w:rsidRPr="00164F8C">
        <w:rPr>
          <w:rFonts w:ascii="Arial" w:hAnsi="Arial" w:cs="Arial"/>
          <w:sz w:val="22"/>
        </w:rPr>
        <w:t>government has established various health targets for the health system.  Relevant to cardiovascular disease are the health targets of smoking reduction, reduced emergency department (ED) wait times, increased heart health checks and reduced incidence of rheumatic fever.</w:t>
      </w:r>
      <w:r w:rsidR="004E2C05" w:rsidRPr="00164F8C">
        <w:rPr>
          <w:rFonts w:ascii="Arial" w:hAnsi="Arial" w:cs="Arial"/>
          <w:sz w:val="22"/>
        </w:rPr>
        <w:t xml:space="preserve"> Nearly all of the cardiovascular diseases mentioned in this report will benefit from a decrease in the prevalence of smoking, notably IHD, stroke and aortic aneurysms have smoking as a significant risk factor. Both IHD and stroke will benefit from the government’s targets to increase heart health checks and reduce emergency department waiting times. A focus from the NHC on improving the efficiency of these conditions will align well with the government’s current policies. However it will be important to establish that efficiencies gained through the work of the NHC are on top of those gained through the government’s current policies in these areas.</w:t>
      </w:r>
      <w:bookmarkStart w:id="280" w:name="_Toc360641461"/>
      <w:r w:rsidR="00164F8C">
        <w:br w:type="page"/>
      </w:r>
    </w:p>
    <w:p w:rsidR="00305D17" w:rsidRDefault="00305D17" w:rsidP="00305D17">
      <w:pPr>
        <w:pStyle w:val="Heading2"/>
      </w:pPr>
      <w:bookmarkStart w:id="281" w:name="_Toc360714652"/>
      <w:bookmarkStart w:id="282" w:name="_Toc363122587"/>
      <w:bookmarkStart w:id="283" w:name="_Toc365276944"/>
      <w:r>
        <w:lastRenderedPageBreak/>
        <w:t>Risk</w:t>
      </w:r>
      <w:bookmarkEnd w:id="280"/>
      <w:bookmarkEnd w:id="281"/>
      <w:bookmarkEnd w:id="282"/>
      <w:bookmarkEnd w:id="283"/>
    </w:p>
    <w:p w:rsidR="002E426C" w:rsidRPr="00164F8C" w:rsidRDefault="002E426C"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Cardiovascular disease places a large burden on the health system, both socially and economically, so any improvement in this disease area is likely to have a </w:t>
      </w:r>
      <w:r w:rsidR="004E2C05" w:rsidRPr="00164F8C">
        <w:rPr>
          <w:rFonts w:ascii="Arial" w:hAnsi="Arial" w:cs="Arial"/>
          <w:sz w:val="22"/>
        </w:rPr>
        <w:t xml:space="preserve">significant </w:t>
      </w:r>
      <w:r w:rsidRPr="00164F8C">
        <w:rPr>
          <w:rFonts w:ascii="Arial" w:hAnsi="Arial" w:cs="Arial"/>
          <w:sz w:val="22"/>
        </w:rPr>
        <w:t>impact</w:t>
      </w:r>
      <w:r w:rsidR="004E2C05" w:rsidRPr="00164F8C">
        <w:rPr>
          <w:rFonts w:ascii="Arial" w:hAnsi="Arial" w:cs="Arial"/>
          <w:sz w:val="22"/>
        </w:rPr>
        <w:t xml:space="preserve"> on the health system</w:t>
      </w:r>
      <w:r w:rsidRPr="00164F8C">
        <w:rPr>
          <w:rFonts w:ascii="Arial" w:hAnsi="Arial" w:cs="Arial"/>
          <w:sz w:val="22"/>
        </w:rPr>
        <w:t xml:space="preserve">.  </w:t>
      </w:r>
      <w:r w:rsidR="004E2C05" w:rsidRPr="00164F8C">
        <w:rPr>
          <w:rFonts w:ascii="Arial" w:hAnsi="Arial" w:cs="Arial"/>
          <w:sz w:val="22"/>
        </w:rPr>
        <w:t>R</w:t>
      </w:r>
      <w:r w:rsidRPr="00164F8C">
        <w:rPr>
          <w:rFonts w:ascii="Arial" w:hAnsi="Arial" w:cs="Arial"/>
          <w:sz w:val="22"/>
        </w:rPr>
        <w:t xml:space="preserve">isk has been interpreted </w:t>
      </w:r>
      <w:r w:rsidR="004E2C05" w:rsidRPr="00164F8C">
        <w:rPr>
          <w:rFonts w:ascii="Arial" w:hAnsi="Arial" w:cs="Arial"/>
          <w:sz w:val="22"/>
        </w:rPr>
        <w:t xml:space="preserve">here </w:t>
      </w:r>
      <w:r w:rsidRPr="00164F8C">
        <w:rPr>
          <w:rFonts w:ascii="Arial" w:hAnsi="Arial" w:cs="Arial"/>
          <w:sz w:val="22"/>
        </w:rPr>
        <w:t xml:space="preserve">as the risk of both conducting further analysis on a particular disease </w:t>
      </w:r>
      <w:r w:rsidR="004E2C05" w:rsidRPr="00164F8C">
        <w:rPr>
          <w:rFonts w:ascii="Arial" w:hAnsi="Arial" w:cs="Arial"/>
          <w:sz w:val="22"/>
        </w:rPr>
        <w:t xml:space="preserve">as well as the risk of </w:t>
      </w:r>
      <w:r w:rsidRPr="00164F8C">
        <w:rPr>
          <w:rFonts w:ascii="Arial" w:hAnsi="Arial" w:cs="Arial"/>
          <w:sz w:val="22"/>
        </w:rPr>
        <w:t xml:space="preserve">not conducting such analysis.  </w:t>
      </w:r>
    </w:p>
    <w:p w:rsidR="002E426C" w:rsidRPr="00164F8C" w:rsidRDefault="002E426C"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As established above, the main risk of conducting further analysis is that the gain in health outcomes or savings will not be material for that chosen disease.  To mitigate this risk, the Committee’s other decision-making criteria favour disease areas that affect a large number of people and, thus, require a smaller reduction in costs/gains in health outcomes per person to realise materiality.  As a result, some diseases that have a lower prevalence burden are prioritised below diseases with a higher prevalence burden.</w:t>
      </w:r>
    </w:p>
    <w:p w:rsidR="002E426C" w:rsidRPr="00164F8C" w:rsidRDefault="002E426C"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Relative </w:t>
      </w:r>
      <w:proofErr w:type="gramStart"/>
      <w:r w:rsidRPr="00164F8C">
        <w:rPr>
          <w:rFonts w:ascii="Arial" w:hAnsi="Arial" w:cs="Arial"/>
          <w:sz w:val="22"/>
        </w:rPr>
        <w:t>health</w:t>
      </w:r>
      <w:proofErr w:type="gramEnd"/>
      <w:r w:rsidRPr="00164F8C">
        <w:rPr>
          <w:rFonts w:ascii="Arial" w:hAnsi="Arial" w:cs="Arial"/>
          <w:sz w:val="22"/>
        </w:rPr>
        <w:t xml:space="preserve"> gains may be greater for individuals in these diseases but when aggregated do not reach the materiality guideline used in this report.  For example, aortic aneurysms are a relatively expensive disease to treat and significantly impact</w:t>
      </w:r>
      <w:r w:rsidR="00FD0607" w:rsidRPr="00164F8C">
        <w:rPr>
          <w:rFonts w:ascii="Arial" w:hAnsi="Arial" w:cs="Arial"/>
          <w:sz w:val="22"/>
        </w:rPr>
        <w:t xml:space="preserve"> </w:t>
      </w:r>
      <w:r w:rsidRPr="00164F8C">
        <w:rPr>
          <w:rFonts w:ascii="Arial" w:hAnsi="Arial" w:cs="Arial"/>
          <w:sz w:val="22"/>
        </w:rPr>
        <w:t xml:space="preserve">individual health outcomes.  Compared to the whole of </w:t>
      </w:r>
      <w:r w:rsidR="0096163D" w:rsidRPr="00164F8C">
        <w:rPr>
          <w:rFonts w:ascii="Arial" w:hAnsi="Arial" w:cs="Arial"/>
          <w:sz w:val="22"/>
        </w:rPr>
        <w:t>cardiovascular</w:t>
      </w:r>
      <w:r w:rsidRPr="00164F8C">
        <w:rPr>
          <w:rFonts w:ascii="Arial" w:hAnsi="Arial" w:cs="Arial"/>
          <w:sz w:val="22"/>
        </w:rPr>
        <w:t xml:space="preserve"> disease, though, it represents a relatively small health and economic burden.  So while potential population health gain may be greater for IHD than for aortic aneurysms, potential individual health gain may be greater for aortic aneurysms.</w:t>
      </w:r>
    </w:p>
    <w:p w:rsidR="00305D17" w:rsidRPr="00305D17" w:rsidRDefault="00305D17" w:rsidP="00305D17">
      <w:pPr>
        <w:pStyle w:val="Heading2"/>
      </w:pPr>
      <w:bookmarkStart w:id="284" w:name="_Toc358819723"/>
      <w:bookmarkStart w:id="285" w:name="_Toc360641462"/>
      <w:bookmarkStart w:id="286" w:name="_Toc360714653"/>
      <w:bookmarkStart w:id="287" w:name="_Toc363122588"/>
      <w:bookmarkStart w:id="288" w:name="_Toc365276945"/>
      <w:r>
        <w:t>Limitations</w:t>
      </w:r>
      <w:bookmarkEnd w:id="284"/>
      <w:bookmarkEnd w:id="285"/>
      <w:bookmarkEnd w:id="286"/>
      <w:bookmarkEnd w:id="287"/>
      <w:bookmarkEnd w:id="288"/>
    </w:p>
    <w:p w:rsidR="00305D17" w:rsidRPr="00164F8C" w:rsidRDefault="00305D17"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The methods used in this report have both strengths and weaknesses.  This section outlines some of those limitations, notably the use of </w:t>
      </w:r>
      <w:r w:rsidR="00BF7FEA" w:rsidRPr="00164F8C">
        <w:rPr>
          <w:rFonts w:ascii="Arial" w:hAnsi="Arial" w:cs="Arial"/>
          <w:sz w:val="22"/>
        </w:rPr>
        <w:t>NMDS price data</w:t>
      </w:r>
      <w:r w:rsidRPr="00164F8C">
        <w:rPr>
          <w:rFonts w:ascii="Arial" w:hAnsi="Arial" w:cs="Arial"/>
          <w:sz w:val="22"/>
        </w:rPr>
        <w:t>.</w:t>
      </w:r>
    </w:p>
    <w:p w:rsidR="0074325F" w:rsidRPr="00164F8C" w:rsidRDefault="0074325F"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NMDS prices include the inter-district flow (IDF) price of a cost weight, the price that one DHB pays another DHB to perform services for its own population.  These NMDS prices are not the actual cost of each hospital stay and vary significantly from the real cost, especially when new procedures are involved.  NMDS prices include public casemix discharges which comprise about 20% of the Vote: Health spend. Other costs not represented in our NMDS analysis include the following: </w:t>
      </w:r>
    </w:p>
    <w:p w:rsidR="0074325F" w:rsidRPr="0074325F" w:rsidRDefault="0074325F" w:rsidP="00164F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ind w:left="720" w:hanging="360"/>
        <w:rPr>
          <w:rFonts w:ascii="Arial Mäori" w:hAnsi="Arial Mäori" w:cs="Arial Mäori"/>
          <w:color w:val="000000"/>
          <w:sz w:val="22"/>
        </w:rPr>
      </w:pPr>
      <w:r w:rsidRPr="0074325F">
        <w:rPr>
          <w:rFonts w:ascii="Symbol" w:hAnsi="Symbol" w:cs="Symbol"/>
          <w:color w:val="000000"/>
          <w:sz w:val="22"/>
        </w:rPr>
        <w:t></w:t>
      </w:r>
      <w:r w:rsidRPr="0074325F">
        <w:rPr>
          <w:rFonts w:ascii="Symbol" w:hAnsi="Symbol" w:cs="Symbol"/>
          <w:color w:val="000000"/>
          <w:sz w:val="22"/>
        </w:rPr>
        <w:tab/>
      </w:r>
      <w:r w:rsidRPr="0074325F">
        <w:rPr>
          <w:rFonts w:ascii="Arial Mäori" w:hAnsi="Arial Mäori" w:cs="Arial Mäori"/>
          <w:color w:val="000000"/>
          <w:sz w:val="22"/>
        </w:rPr>
        <w:t xml:space="preserve">Primary care consultations such as with General Practitioners (GPs) and community nurses </w:t>
      </w:r>
    </w:p>
    <w:p w:rsidR="0074325F" w:rsidRPr="0074325F" w:rsidRDefault="0074325F" w:rsidP="00164F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ind w:left="720" w:hanging="360"/>
        <w:rPr>
          <w:rFonts w:ascii="Arial Mäori" w:hAnsi="Arial Mäori" w:cs="Arial Mäori"/>
          <w:color w:val="000000"/>
          <w:sz w:val="22"/>
        </w:rPr>
      </w:pPr>
      <w:r w:rsidRPr="0074325F">
        <w:rPr>
          <w:rFonts w:ascii="Symbol" w:hAnsi="Symbol" w:cs="Symbol"/>
          <w:color w:val="000000"/>
          <w:sz w:val="22"/>
        </w:rPr>
        <w:t></w:t>
      </w:r>
      <w:r w:rsidRPr="0074325F">
        <w:rPr>
          <w:rFonts w:ascii="Symbol" w:hAnsi="Symbol" w:cs="Symbol"/>
          <w:color w:val="000000"/>
          <w:sz w:val="22"/>
        </w:rPr>
        <w:tab/>
      </w:r>
      <w:r w:rsidRPr="0074325F">
        <w:rPr>
          <w:rFonts w:ascii="Arial Mäori" w:hAnsi="Arial Mäori" w:cs="Arial Mäori"/>
          <w:color w:val="000000"/>
          <w:sz w:val="22"/>
        </w:rPr>
        <w:t xml:space="preserve">Community pharmaceuticals </w:t>
      </w:r>
    </w:p>
    <w:p w:rsidR="0074325F" w:rsidRPr="0074325F" w:rsidRDefault="0074325F" w:rsidP="00164F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ind w:left="720" w:hanging="360"/>
        <w:rPr>
          <w:rFonts w:ascii="Arial Mäori" w:hAnsi="Arial Mäori" w:cs="Arial Mäori"/>
          <w:color w:val="000000"/>
          <w:sz w:val="22"/>
        </w:rPr>
      </w:pPr>
      <w:r w:rsidRPr="0074325F">
        <w:rPr>
          <w:rFonts w:ascii="Symbol" w:hAnsi="Symbol" w:cs="Symbol"/>
          <w:color w:val="000000"/>
          <w:sz w:val="22"/>
        </w:rPr>
        <w:t></w:t>
      </w:r>
      <w:r w:rsidRPr="0074325F">
        <w:rPr>
          <w:rFonts w:ascii="Symbol" w:hAnsi="Symbol" w:cs="Symbol"/>
          <w:color w:val="000000"/>
          <w:sz w:val="22"/>
        </w:rPr>
        <w:tab/>
      </w:r>
      <w:r w:rsidRPr="0074325F">
        <w:rPr>
          <w:rFonts w:ascii="Arial Mäori" w:hAnsi="Arial Mäori" w:cs="Arial Mäori"/>
          <w:color w:val="000000"/>
          <w:sz w:val="22"/>
        </w:rPr>
        <w:t xml:space="preserve">Community laboratory tests </w:t>
      </w:r>
    </w:p>
    <w:p w:rsidR="0074325F" w:rsidRPr="0074325F" w:rsidRDefault="0074325F" w:rsidP="00164F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ind w:left="720" w:hanging="360"/>
        <w:rPr>
          <w:rFonts w:ascii="Arial Mäori" w:hAnsi="Arial Mäori" w:cs="Arial Mäori"/>
          <w:color w:val="000000"/>
          <w:sz w:val="22"/>
        </w:rPr>
      </w:pPr>
      <w:r w:rsidRPr="0074325F">
        <w:rPr>
          <w:rFonts w:ascii="Symbol" w:hAnsi="Symbol" w:cs="Symbol"/>
          <w:color w:val="000000"/>
          <w:sz w:val="22"/>
        </w:rPr>
        <w:t></w:t>
      </w:r>
      <w:r w:rsidRPr="0074325F">
        <w:rPr>
          <w:rFonts w:ascii="Symbol" w:hAnsi="Symbol" w:cs="Symbol"/>
          <w:color w:val="000000"/>
          <w:sz w:val="22"/>
        </w:rPr>
        <w:tab/>
      </w:r>
      <w:r w:rsidRPr="0074325F">
        <w:rPr>
          <w:rFonts w:ascii="Arial Mäori" w:hAnsi="Arial Mäori" w:cs="Arial Mäori"/>
          <w:color w:val="000000"/>
          <w:sz w:val="22"/>
        </w:rPr>
        <w:t>Disability support services</w:t>
      </w:r>
    </w:p>
    <w:p w:rsidR="0074325F" w:rsidRPr="0074325F" w:rsidRDefault="0074325F" w:rsidP="00164F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ind w:left="720" w:hanging="360"/>
        <w:rPr>
          <w:rFonts w:ascii="Arial Mäori" w:hAnsi="Arial Mäori" w:cs="Arial Mäori"/>
          <w:color w:val="000000"/>
          <w:sz w:val="22"/>
        </w:rPr>
      </w:pPr>
      <w:r w:rsidRPr="0074325F">
        <w:rPr>
          <w:rFonts w:ascii="Symbol" w:hAnsi="Symbol" w:cs="Symbol"/>
          <w:color w:val="000000"/>
          <w:sz w:val="22"/>
        </w:rPr>
        <w:t></w:t>
      </w:r>
      <w:r w:rsidRPr="0074325F">
        <w:rPr>
          <w:rFonts w:ascii="Symbol" w:hAnsi="Symbol" w:cs="Symbol"/>
          <w:color w:val="000000"/>
          <w:sz w:val="22"/>
        </w:rPr>
        <w:tab/>
      </w:r>
      <w:r w:rsidRPr="0074325F">
        <w:rPr>
          <w:rFonts w:ascii="Arial Mäori" w:hAnsi="Arial Mäori" w:cs="Arial Mäori"/>
          <w:color w:val="000000"/>
          <w:sz w:val="22"/>
        </w:rPr>
        <w:t>Emergency Department attendances</w:t>
      </w:r>
    </w:p>
    <w:p w:rsidR="0074325F" w:rsidRPr="0074325F" w:rsidRDefault="0074325F" w:rsidP="00164F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ind w:left="720" w:hanging="360"/>
        <w:rPr>
          <w:rFonts w:ascii="Arial Mäori" w:hAnsi="Arial Mäori" w:cs="Arial Mäori"/>
          <w:color w:val="000000"/>
          <w:sz w:val="22"/>
        </w:rPr>
      </w:pPr>
      <w:r w:rsidRPr="0074325F">
        <w:rPr>
          <w:rFonts w:ascii="Symbol" w:hAnsi="Symbol" w:cs="Symbol"/>
          <w:color w:val="000000"/>
          <w:sz w:val="22"/>
        </w:rPr>
        <w:t></w:t>
      </w:r>
      <w:r w:rsidRPr="0074325F">
        <w:rPr>
          <w:rFonts w:ascii="Symbol" w:hAnsi="Symbol" w:cs="Symbol"/>
          <w:color w:val="000000"/>
          <w:sz w:val="22"/>
        </w:rPr>
        <w:tab/>
      </w:r>
      <w:r w:rsidRPr="0074325F">
        <w:rPr>
          <w:rFonts w:ascii="Arial Mäori" w:hAnsi="Arial Mäori" w:cs="Arial Mäori"/>
          <w:color w:val="000000"/>
          <w:sz w:val="22"/>
        </w:rPr>
        <w:t xml:space="preserve">Outpatient attendances </w:t>
      </w:r>
    </w:p>
    <w:p w:rsidR="0074325F" w:rsidRPr="0074325F" w:rsidRDefault="0074325F" w:rsidP="00164F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ind w:left="720" w:hanging="360"/>
        <w:rPr>
          <w:rFonts w:ascii="Arial Mäori" w:hAnsi="Arial Mäori" w:cs="Arial Mäori"/>
          <w:color w:val="000000"/>
          <w:sz w:val="22"/>
        </w:rPr>
      </w:pPr>
      <w:r w:rsidRPr="0074325F">
        <w:rPr>
          <w:rFonts w:ascii="Symbol" w:hAnsi="Symbol" w:cs="Symbol"/>
          <w:color w:val="000000"/>
          <w:sz w:val="22"/>
        </w:rPr>
        <w:t></w:t>
      </w:r>
      <w:r w:rsidRPr="0074325F">
        <w:rPr>
          <w:rFonts w:ascii="Symbol" w:hAnsi="Symbol" w:cs="Symbol"/>
          <w:color w:val="000000"/>
          <w:sz w:val="22"/>
        </w:rPr>
        <w:tab/>
      </w:r>
      <w:r w:rsidRPr="0074325F">
        <w:rPr>
          <w:rFonts w:ascii="Arial Mäori" w:hAnsi="Arial Mäori" w:cs="Arial Mäori"/>
          <w:color w:val="000000"/>
          <w:sz w:val="22"/>
        </w:rPr>
        <w:t>Health promotion programmes and</w:t>
      </w:r>
    </w:p>
    <w:p w:rsidR="0074325F" w:rsidRPr="0074325F" w:rsidRDefault="0074325F" w:rsidP="00164F8C">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360" w:lineRule="auto"/>
        <w:ind w:left="714" w:hanging="357"/>
        <w:rPr>
          <w:rFonts w:ascii="Arial Mäori" w:hAnsi="Arial Mäori" w:cs="Arial Mäori"/>
          <w:color w:val="000000"/>
          <w:sz w:val="22"/>
        </w:rPr>
      </w:pPr>
      <w:r w:rsidRPr="0074325F">
        <w:rPr>
          <w:rFonts w:ascii="Symbol" w:hAnsi="Symbol" w:cs="Symbol"/>
          <w:color w:val="000000"/>
          <w:sz w:val="22"/>
        </w:rPr>
        <w:t></w:t>
      </w:r>
      <w:r w:rsidRPr="0074325F">
        <w:rPr>
          <w:rFonts w:ascii="Symbol" w:hAnsi="Symbol" w:cs="Symbol"/>
          <w:color w:val="000000"/>
          <w:sz w:val="22"/>
        </w:rPr>
        <w:tab/>
      </w:r>
      <w:r w:rsidRPr="0074325F">
        <w:rPr>
          <w:rFonts w:ascii="Arial Mäori" w:hAnsi="Arial Mäori" w:cs="Arial Mäori"/>
          <w:color w:val="000000"/>
          <w:sz w:val="22"/>
        </w:rPr>
        <w:t>Community hospice palliative care</w:t>
      </w:r>
    </w:p>
    <w:p w:rsidR="0074325F" w:rsidRPr="00164F8C" w:rsidRDefault="0074325F"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lastRenderedPageBreak/>
        <w:t xml:space="preserve">The NHC recognises that these costs are significant and is developing ways of incorporating these into future analysis of this kind. </w:t>
      </w:r>
      <w:r w:rsidR="002875D9">
        <w:rPr>
          <w:rFonts w:ascii="Arial" w:hAnsi="Arial" w:cs="Arial"/>
          <w:sz w:val="22"/>
        </w:rPr>
        <w:t xml:space="preserve">For this report in particular, rehabilitation costs and some other direct medical costs have been included for stroke because they comprise such a large proportion of the disease’s economic impact.  </w:t>
      </w:r>
      <w:r w:rsidRPr="00164F8C">
        <w:rPr>
          <w:rFonts w:ascii="Arial" w:hAnsi="Arial" w:cs="Arial"/>
          <w:sz w:val="22"/>
        </w:rPr>
        <w:t>Although NMDS prices alone are insufficient to cover the entire cost of a particular disease, they are a good proxy for relative economic disease burden and we have a relatively comprehensive data set in New Zealand compared to other countries.   Another limitation of this report was the use of non-systematic searches.</w:t>
      </w:r>
    </w:p>
    <w:p w:rsidR="00F677AF" w:rsidRPr="00164F8C" w:rsidRDefault="00305D17"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One of the limitations of conducting non-systematic searches is the possibility that the non-appraised studies reported unreliable results that may have biased the evidence in this report.  To mitigate this risk, multiple sources were checked to ga</w:t>
      </w:r>
      <w:r w:rsidR="0009158E">
        <w:rPr>
          <w:rFonts w:ascii="Arial" w:hAnsi="Arial" w:cs="Arial"/>
          <w:sz w:val="22"/>
        </w:rPr>
        <w:t>u</w:t>
      </w:r>
      <w:r w:rsidRPr="00164F8C">
        <w:rPr>
          <w:rFonts w:ascii="Arial" w:hAnsi="Arial" w:cs="Arial"/>
          <w:sz w:val="22"/>
        </w:rPr>
        <w:t>ge accuracy and where no suitable evidence was available, this was clearly stated.  To ensure a robust recommendation these limitations were considered alongside the other risks outlined in this document.</w:t>
      </w:r>
    </w:p>
    <w:p w:rsidR="00164F8C" w:rsidRDefault="00164F8C" w:rsidP="009F3F4E">
      <w:pPr>
        <w:pStyle w:val="Heading1"/>
      </w:pPr>
      <w:r>
        <w:br w:type="page"/>
      </w:r>
    </w:p>
    <w:p w:rsidR="00D51958" w:rsidRDefault="00927C7E" w:rsidP="009F3F4E">
      <w:pPr>
        <w:pStyle w:val="Heading1"/>
      </w:pPr>
      <w:bookmarkStart w:id="289" w:name="_Toc365276946"/>
      <w:r w:rsidRPr="008432FC">
        <w:lastRenderedPageBreak/>
        <w:t>Recommendation</w:t>
      </w:r>
      <w:bookmarkEnd w:id="289"/>
    </w:p>
    <w:p w:rsidR="002E426C" w:rsidRPr="00FE7190" w:rsidRDefault="002E426C" w:rsidP="00C8560F">
      <w:pPr>
        <w:spacing w:before="120" w:line="360" w:lineRule="auto"/>
        <w:jc w:val="both"/>
        <w:rPr>
          <w:b/>
          <w:sz w:val="22"/>
        </w:rPr>
      </w:pPr>
      <w:r w:rsidRPr="00FE7190">
        <w:rPr>
          <w:b/>
          <w:sz w:val="22"/>
        </w:rPr>
        <w:t>Based on the evidence presented in this report and the above discussion section, it is recommended that the NHC conduct further analysis on IHD during the 2013/14 financial year</w:t>
      </w:r>
      <w:r w:rsidR="002875D9">
        <w:rPr>
          <w:b/>
          <w:sz w:val="22"/>
        </w:rPr>
        <w:t>.</w:t>
      </w:r>
      <w:r w:rsidR="00A2470D">
        <w:rPr>
          <w:b/>
          <w:sz w:val="22"/>
        </w:rPr>
        <w:t xml:space="preserve">  </w:t>
      </w:r>
      <w:r w:rsidR="002875D9">
        <w:rPr>
          <w:rFonts w:cs="Arial"/>
          <w:sz w:val="22"/>
        </w:rPr>
        <w:t xml:space="preserve">This recommendation is supported by the Cardiac Society of Australia and New Zealand (CSANZ) and the Heart Foundation. </w:t>
      </w:r>
    </w:p>
    <w:p w:rsidR="002875D9" w:rsidRDefault="002E426C" w:rsidP="00164F8C">
      <w:pPr>
        <w:pStyle w:val="contentbody"/>
        <w:spacing w:before="0" w:beforeAutospacing="0" w:after="120" w:afterAutospacing="0" w:line="360" w:lineRule="auto"/>
        <w:jc w:val="both"/>
        <w:rPr>
          <w:rFonts w:ascii="Arial" w:hAnsi="Arial" w:cs="Arial"/>
          <w:sz w:val="22"/>
        </w:rPr>
      </w:pPr>
      <w:r w:rsidRPr="00164F8C">
        <w:rPr>
          <w:rFonts w:ascii="Arial" w:hAnsi="Arial" w:cs="Arial"/>
          <w:sz w:val="22"/>
        </w:rPr>
        <w:t xml:space="preserve">IHD fits the established decision-making criteria most fully and has the greatest potential for health gain and material savings.  </w:t>
      </w:r>
      <w:r w:rsidR="00A17B0D">
        <w:rPr>
          <w:rFonts w:ascii="Arial" w:hAnsi="Arial" w:cs="Arial"/>
          <w:sz w:val="22"/>
        </w:rPr>
        <w:t xml:space="preserve">Stroke also fits the decision-making criteria, but </w:t>
      </w:r>
      <w:r w:rsidR="00523F30">
        <w:rPr>
          <w:rFonts w:ascii="Arial" w:hAnsi="Arial" w:cs="Arial"/>
          <w:sz w:val="22"/>
        </w:rPr>
        <w:t>most of the associated health gains are outside of hospitalisations</w:t>
      </w:r>
      <w:r w:rsidR="00872328">
        <w:rPr>
          <w:rFonts w:ascii="Arial" w:hAnsi="Arial" w:cs="Arial"/>
          <w:sz w:val="22"/>
        </w:rPr>
        <w:t>.</w:t>
      </w:r>
      <w:r w:rsidR="00FD0607" w:rsidRPr="00164F8C">
        <w:rPr>
          <w:rFonts w:ascii="Arial" w:hAnsi="Arial" w:cs="Arial"/>
          <w:sz w:val="22"/>
        </w:rPr>
        <w:t xml:space="preserve"> </w:t>
      </w:r>
      <w:r w:rsidR="002875D9">
        <w:rPr>
          <w:rFonts w:ascii="Arial" w:hAnsi="Arial" w:cs="Arial"/>
          <w:sz w:val="22"/>
        </w:rPr>
        <w:t>In light of this, it is also recommended that stroke be assessed as the next cardiovascular disease.</w:t>
      </w:r>
    </w:p>
    <w:p w:rsidR="00FE7190" w:rsidRDefault="00FD0607" w:rsidP="00FE7190">
      <w:pPr>
        <w:pStyle w:val="Figure"/>
      </w:pPr>
      <w:r w:rsidRPr="00164F8C">
        <w:rPr>
          <w:rFonts w:cs="Arial"/>
          <w:sz w:val="22"/>
        </w:rPr>
        <w:t>Figure 15</w:t>
      </w:r>
      <w:r w:rsidR="002E426C" w:rsidRPr="00164F8C">
        <w:rPr>
          <w:rFonts w:cs="Arial"/>
          <w:sz w:val="22"/>
        </w:rPr>
        <w:t xml:space="preserve"> graphically summarises how each disease compares to the decision-making criteria used in this report.</w:t>
      </w:r>
      <w:r w:rsidR="005F1D79">
        <w:rPr>
          <w:rFonts w:cs="Arial"/>
          <w:sz w:val="22"/>
        </w:rPr>
        <w:t xml:space="preserve">  </w:t>
      </w:r>
      <w:r w:rsidR="00FE7190">
        <w:t xml:space="preserve">Figure 15: Diseases </w:t>
      </w:r>
      <w:proofErr w:type="gramStart"/>
      <w:r w:rsidR="00FE7190">
        <w:t>Against</w:t>
      </w:r>
      <w:proofErr w:type="gramEnd"/>
      <w:r w:rsidR="00FE7190">
        <w:t xml:space="preserve"> the Decision-Making Criteria</w:t>
      </w:r>
    </w:p>
    <w:tbl>
      <w:tblPr>
        <w:tblW w:w="9751" w:type="dxa"/>
        <w:tblInd w:w="103" w:type="dxa"/>
        <w:tblLayout w:type="fixed"/>
        <w:tblLook w:val="04A0" w:firstRow="1" w:lastRow="0" w:firstColumn="1" w:lastColumn="0" w:noHBand="0" w:noVBand="1"/>
      </w:tblPr>
      <w:tblGrid>
        <w:gridCol w:w="2273"/>
        <w:gridCol w:w="1495"/>
        <w:gridCol w:w="1496"/>
        <w:gridCol w:w="1495"/>
        <w:gridCol w:w="1496"/>
        <w:gridCol w:w="1496"/>
      </w:tblGrid>
      <w:tr w:rsidR="00FE7190" w:rsidRPr="00FE7190" w:rsidTr="00C8560F">
        <w:trPr>
          <w:trHeight w:val="25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90" w:rsidRPr="00FE7190" w:rsidRDefault="00FE7190" w:rsidP="00C8560F">
            <w:pPr>
              <w:spacing w:before="40" w:after="40" w:line="240" w:lineRule="auto"/>
              <w:rPr>
                <w:rFonts w:eastAsia="Times New Roman" w:cs="Arial"/>
                <w:b/>
                <w:bCs/>
                <w:color w:val="000000"/>
                <w:sz w:val="20"/>
                <w:szCs w:val="20"/>
                <w:lang w:eastAsia="en-NZ"/>
              </w:rPr>
            </w:pPr>
            <w:r w:rsidRPr="00FE7190">
              <w:rPr>
                <w:rFonts w:eastAsia="Times New Roman" w:cs="Arial"/>
                <w:b/>
                <w:bCs/>
                <w:color w:val="000000"/>
                <w:sz w:val="20"/>
                <w:szCs w:val="20"/>
                <w:lang w:eastAsia="en-NZ"/>
              </w:rPr>
              <w:t>Disease</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FE7190" w:rsidRPr="00C8560F" w:rsidRDefault="00FE7190" w:rsidP="00164F8C">
            <w:pPr>
              <w:spacing w:before="40" w:after="40" w:line="240" w:lineRule="auto"/>
              <w:jc w:val="center"/>
              <w:rPr>
                <w:rFonts w:eastAsia="Times New Roman" w:cs="Arial"/>
                <w:b/>
                <w:bCs/>
                <w:color w:val="000000"/>
                <w:sz w:val="18"/>
                <w:szCs w:val="18"/>
                <w:lang w:eastAsia="en-NZ"/>
              </w:rPr>
            </w:pPr>
            <w:r w:rsidRPr="00C8560F">
              <w:rPr>
                <w:rFonts w:eastAsia="Times New Roman" w:cs="Arial"/>
                <w:b/>
                <w:bCs/>
                <w:color w:val="000000"/>
                <w:sz w:val="18"/>
                <w:szCs w:val="18"/>
                <w:lang w:eastAsia="en-NZ"/>
              </w:rPr>
              <w:t>Health</w:t>
            </w:r>
            <w:r w:rsidR="00C8560F" w:rsidRPr="00C8560F">
              <w:rPr>
                <w:rFonts w:eastAsia="Times New Roman" w:cs="Arial"/>
                <w:b/>
                <w:bCs/>
                <w:color w:val="000000"/>
                <w:sz w:val="18"/>
                <w:szCs w:val="18"/>
                <w:lang w:eastAsia="en-NZ"/>
              </w:rPr>
              <w:t xml:space="preserve"> </w:t>
            </w:r>
            <w:r w:rsidRPr="00C8560F">
              <w:rPr>
                <w:rFonts w:eastAsia="Times New Roman" w:cs="Arial"/>
                <w:b/>
                <w:bCs/>
                <w:color w:val="000000"/>
                <w:sz w:val="18"/>
                <w:szCs w:val="18"/>
                <w:lang w:eastAsia="en-NZ"/>
              </w:rPr>
              <w:t>/</w:t>
            </w:r>
            <w:r w:rsidR="00C8560F" w:rsidRPr="00C8560F">
              <w:rPr>
                <w:rFonts w:eastAsia="Times New Roman" w:cs="Arial"/>
                <w:b/>
                <w:bCs/>
                <w:color w:val="000000"/>
                <w:sz w:val="18"/>
                <w:szCs w:val="18"/>
                <w:lang w:eastAsia="en-NZ"/>
              </w:rPr>
              <w:t xml:space="preserve"> </w:t>
            </w:r>
            <w:r w:rsidRPr="00C8560F">
              <w:rPr>
                <w:rFonts w:eastAsia="Times New Roman" w:cs="Arial"/>
                <w:b/>
                <w:bCs/>
                <w:color w:val="000000"/>
                <w:sz w:val="18"/>
                <w:szCs w:val="18"/>
                <w:lang w:eastAsia="en-NZ"/>
              </w:rPr>
              <w:t>Independence</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FE7190" w:rsidRPr="00C8560F" w:rsidRDefault="00FE7190" w:rsidP="00164F8C">
            <w:pPr>
              <w:spacing w:before="40" w:after="40" w:line="240" w:lineRule="auto"/>
              <w:jc w:val="center"/>
              <w:rPr>
                <w:rFonts w:eastAsia="Times New Roman" w:cs="Arial"/>
                <w:b/>
                <w:bCs/>
                <w:color w:val="000000"/>
                <w:sz w:val="18"/>
                <w:szCs w:val="18"/>
                <w:lang w:eastAsia="en-NZ"/>
              </w:rPr>
            </w:pPr>
            <w:r w:rsidRPr="00C8560F">
              <w:rPr>
                <w:rFonts w:eastAsia="Times New Roman" w:cs="Arial"/>
                <w:b/>
                <w:bCs/>
                <w:color w:val="000000"/>
                <w:sz w:val="18"/>
                <w:szCs w:val="18"/>
                <w:lang w:eastAsia="en-NZ"/>
              </w:rPr>
              <w:t>Materiality</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FE7190" w:rsidRPr="00C8560F" w:rsidRDefault="00FE7190" w:rsidP="00164F8C">
            <w:pPr>
              <w:spacing w:before="40" w:after="40" w:line="240" w:lineRule="auto"/>
              <w:jc w:val="center"/>
              <w:rPr>
                <w:rFonts w:eastAsia="Times New Roman" w:cs="Arial"/>
                <w:b/>
                <w:bCs/>
                <w:color w:val="000000"/>
                <w:sz w:val="18"/>
                <w:szCs w:val="18"/>
                <w:lang w:eastAsia="en-NZ"/>
              </w:rPr>
            </w:pPr>
            <w:r w:rsidRPr="00C8560F">
              <w:rPr>
                <w:rFonts w:eastAsia="Times New Roman" w:cs="Arial"/>
                <w:b/>
                <w:bCs/>
                <w:color w:val="000000"/>
                <w:sz w:val="18"/>
                <w:szCs w:val="18"/>
                <w:lang w:eastAsia="en-NZ"/>
              </w:rPr>
              <w:t>Policy Congruence</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FE7190" w:rsidRPr="00C8560F" w:rsidRDefault="00FE7190" w:rsidP="00164F8C">
            <w:pPr>
              <w:spacing w:before="40" w:after="40" w:line="240" w:lineRule="auto"/>
              <w:jc w:val="center"/>
              <w:rPr>
                <w:rFonts w:eastAsia="Times New Roman" w:cs="Arial"/>
                <w:b/>
                <w:bCs/>
                <w:color w:val="000000"/>
                <w:sz w:val="18"/>
                <w:szCs w:val="18"/>
                <w:lang w:eastAsia="en-NZ"/>
              </w:rPr>
            </w:pPr>
            <w:r w:rsidRPr="00C8560F">
              <w:rPr>
                <w:rFonts w:eastAsia="Times New Roman" w:cs="Arial"/>
                <w:b/>
                <w:bCs/>
                <w:color w:val="000000"/>
                <w:sz w:val="18"/>
                <w:szCs w:val="18"/>
                <w:lang w:eastAsia="en-NZ"/>
              </w:rPr>
              <w:t>Equity</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FE7190" w:rsidRPr="00C8560F" w:rsidRDefault="00FE7190" w:rsidP="00164F8C">
            <w:pPr>
              <w:spacing w:before="40" w:after="40" w:line="240" w:lineRule="auto"/>
              <w:jc w:val="center"/>
              <w:rPr>
                <w:rFonts w:eastAsia="Times New Roman" w:cs="Arial"/>
                <w:b/>
                <w:bCs/>
                <w:color w:val="000000"/>
                <w:sz w:val="18"/>
                <w:szCs w:val="18"/>
                <w:lang w:eastAsia="en-NZ"/>
              </w:rPr>
            </w:pPr>
            <w:r w:rsidRPr="00C8560F">
              <w:rPr>
                <w:rFonts w:eastAsia="Times New Roman" w:cs="Arial"/>
                <w:b/>
                <w:bCs/>
                <w:color w:val="000000"/>
                <w:sz w:val="18"/>
                <w:szCs w:val="18"/>
                <w:lang w:eastAsia="en-NZ"/>
              </w:rPr>
              <w:t>Risk</w:t>
            </w:r>
          </w:p>
        </w:tc>
      </w:tr>
      <w:tr w:rsidR="00FE7190" w:rsidRPr="00FE7190" w:rsidTr="00C8560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IHD</w:t>
            </w:r>
          </w:p>
        </w:tc>
        <w:tc>
          <w:tcPr>
            <w:tcW w:w="1495" w:type="dxa"/>
            <w:tcBorders>
              <w:top w:val="nil"/>
              <w:left w:val="nil"/>
              <w:bottom w:val="single" w:sz="4" w:space="0" w:color="auto"/>
              <w:right w:val="single" w:sz="4" w:space="0" w:color="auto"/>
            </w:tcBorders>
            <w:shd w:val="clear" w:color="000000" w:fill="00B05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00B05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5" w:type="dxa"/>
            <w:tcBorders>
              <w:top w:val="nil"/>
              <w:left w:val="nil"/>
              <w:bottom w:val="single" w:sz="4" w:space="0" w:color="auto"/>
              <w:right w:val="single" w:sz="4" w:space="0" w:color="auto"/>
            </w:tcBorders>
            <w:shd w:val="clear" w:color="000000" w:fill="00B05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00B05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00B05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r>
      <w:tr w:rsidR="00FE7190" w:rsidRPr="00FE7190" w:rsidTr="00A2470D">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Stroke</w:t>
            </w:r>
          </w:p>
        </w:tc>
        <w:tc>
          <w:tcPr>
            <w:tcW w:w="1495" w:type="dxa"/>
            <w:tcBorders>
              <w:top w:val="nil"/>
              <w:left w:val="nil"/>
              <w:bottom w:val="single" w:sz="4" w:space="0" w:color="auto"/>
              <w:right w:val="single" w:sz="4" w:space="0" w:color="auto"/>
            </w:tcBorders>
            <w:shd w:val="clear" w:color="auto" w:fill="00B05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auto" w:fill="00B05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5" w:type="dxa"/>
            <w:tcBorders>
              <w:top w:val="nil"/>
              <w:left w:val="nil"/>
              <w:bottom w:val="single" w:sz="4" w:space="0" w:color="auto"/>
              <w:right w:val="single" w:sz="4" w:space="0" w:color="auto"/>
            </w:tcBorders>
            <w:shd w:val="clear" w:color="000000" w:fill="92D05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00B05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00B05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r>
      <w:tr w:rsidR="00FE7190" w:rsidRPr="00FE7190" w:rsidTr="00C8560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NRVHD</w:t>
            </w:r>
          </w:p>
        </w:tc>
        <w:tc>
          <w:tcPr>
            <w:tcW w:w="1495"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5"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00B05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r>
      <w:tr w:rsidR="00FE7190" w:rsidRPr="00FE7190" w:rsidTr="00C8560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Aortic Aneurysms</w:t>
            </w:r>
          </w:p>
        </w:tc>
        <w:tc>
          <w:tcPr>
            <w:tcW w:w="1495"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00B050"/>
                <w:sz w:val="20"/>
                <w:szCs w:val="20"/>
                <w:lang w:eastAsia="en-NZ"/>
              </w:rPr>
            </w:pPr>
            <w:r w:rsidRPr="00FE7190">
              <w:rPr>
                <w:rFonts w:eastAsia="Times New Roman" w:cs="Arial"/>
                <w:color w:val="00B050"/>
                <w:sz w:val="20"/>
                <w:szCs w:val="20"/>
                <w:lang w:eastAsia="en-NZ"/>
              </w:rPr>
              <w:t> </w:t>
            </w:r>
          </w:p>
        </w:tc>
        <w:tc>
          <w:tcPr>
            <w:tcW w:w="1495"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00B05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FFC000"/>
                <w:sz w:val="20"/>
                <w:szCs w:val="20"/>
                <w:lang w:eastAsia="en-NZ"/>
              </w:rPr>
            </w:pPr>
            <w:r w:rsidRPr="00FE7190">
              <w:rPr>
                <w:rFonts w:eastAsia="Times New Roman" w:cs="Arial"/>
                <w:color w:val="FFC000"/>
                <w:sz w:val="20"/>
                <w:szCs w:val="20"/>
                <w:lang w:eastAsia="en-NZ"/>
              </w:rPr>
              <w:t> </w:t>
            </w:r>
          </w:p>
        </w:tc>
      </w:tr>
      <w:tr w:rsidR="00FE7190" w:rsidRPr="00FE7190" w:rsidTr="00C8560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HTN</w:t>
            </w:r>
          </w:p>
        </w:tc>
        <w:tc>
          <w:tcPr>
            <w:tcW w:w="1495" w:type="dxa"/>
            <w:tcBorders>
              <w:top w:val="nil"/>
              <w:left w:val="nil"/>
              <w:bottom w:val="single" w:sz="4" w:space="0" w:color="auto"/>
              <w:right w:val="single" w:sz="4" w:space="0" w:color="auto"/>
            </w:tcBorders>
            <w:shd w:val="clear" w:color="000000" w:fill="FFC0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5" w:type="dxa"/>
            <w:tcBorders>
              <w:top w:val="nil"/>
              <w:left w:val="nil"/>
              <w:bottom w:val="single" w:sz="4" w:space="0" w:color="auto"/>
              <w:right w:val="single" w:sz="4" w:space="0" w:color="auto"/>
            </w:tcBorders>
            <w:shd w:val="clear" w:color="000000" w:fill="00B05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FFC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r>
      <w:tr w:rsidR="00FE7190" w:rsidRPr="00FE7190" w:rsidTr="00C8560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AF</w:t>
            </w:r>
          </w:p>
        </w:tc>
        <w:tc>
          <w:tcPr>
            <w:tcW w:w="1495" w:type="dxa"/>
            <w:tcBorders>
              <w:top w:val="nil"/>
              <w:left w:val="nil"/>
              <w:bottom w:val="single" w:sz="4" w:space="0" w:color="auto"/>
              <w:right w:val="single" w:sz="4" w:space="0" w:color="auto"/>
            </w:tcBorders>
            <w:shd w:val="clear" w:color="000000" w:fill="FFC0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5"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C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FFC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r>
      <w:tr w:rsidR="00FE7190" w:rsidRPr="00FE7190" w:rsidTr="00C8560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Cardiomyopathies</w:t>
            </w:r>
          </w:p>
        </w:tc>
        <w:tc>
          <w:tcPr>
            <w:tcW w:w="1495" w:type="dxa"/>
            <w:tcBorders>
              <w:top w:val="nil"/>
              <w:left w:val="nil"/>
              <w:bottom w:val="single" w:sz="4" w:space="0" w:color="auto"/>
              <w:right w:val="single" w:sz="4" w:space="0" w:color="auto"/>
            </w:tcBorders>
            <w:shd w:val="clear" w:color="000000" w:fill="FFC0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5"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FFC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r>
      <w:tr w:rsidR="00FE7190" w:rsidRPr="00FE7190" w:rsidTr="00C8560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RHD</w:t>
            </w:r>
          </w:p>
        </w:tc>
        <w:tc>
          <w:tcPr>
            <w:tcW w:w="1495"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5" w:type="dxa"/>
            <w:tcBorders>
              <w:top w:val="nil"/>
              <w:left w:val="nil"/>
              <w:bottom w:val="single" w:sz="4" w:space="0" w:color="auto"/>
              <w:right w:val="single" w:sz="4" w:space="0" w:color="auto"/>
            </w:tcBorders>
            <w:shd w:val="clear" w:color="000000" w:fill="00B05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FFC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r>
      <w:tr w:rsidR="00FE7190" w:rsidRPr="00FE7190" w:rsidTr="00C8560F">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PVD</w:t>
            </w:r>
          </w:p>
        </w:tc>
        <w:tc>
          <w:tcPr>
            <w:tcW w:w="1495"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C0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5"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r>
      <w:tr w:rsidR="00FE7190" w:rsidRPr="00FE7190" w:rsidTr="00C8560F">
        <w:trPr>
          <w:trHeight w:val="255"/>
        </w:trPr>
        <w:tc>
          <w:tcPr>
            <w:tcW w:w="2273" w:type="dxa"/>
            <w:tcBorders>
              <w:top w:val="nil"/>
              <w:left w:val="single" w:sz="4" w:space="0" w:color="auto"/>
              <w:bottom w:val="nil"/>
              <w:right w:val="single" w:sz="4" w:space="0" w:color="auto"/>
            </w:tcBorders>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VTE</w:t>
            </w:r>
          </w:p>
        </w:tc>
        <w:tc>
          <w:tcPr>
            <w:tcW w:w="1495"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FFC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5"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r>
      <w:tr w:rsidR="00FE7190" w:rsidRPr="00FE7190" w:rsidTr="00C8560F">
        <w:trPr>
          <w:trHeight w:val="25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190" w:rsidRPr="00FE7190" w:rsidRDefault="002C5590" w:rsidP="002C5590">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I</w:t>
            </w:r>
            <w:r>
              <w:rPr>
                <w:rFonts w:eastAsia="Times New Roman" w:cs="Arial"/>
                <w:color w:val="000000"/>
                <w:sz w:val="20"/>
                <w:szCs w:val="20"/>
                <w:lang w:eastAsia="en-NZ"/>
              </w:rPr>
              <w:t xml:space="preserve">nflammatory </w:t>
            </w:r>
            <w:r w:rsidR="00FE7190" w:rsidRPr="00FE7190">
              <w:rPr>
                <w:rFonts w:eastAsia="Times New Roman" w:cs="Arial"/>
                <w:color w:val="000000"/>
                <w:sz w:val="20"/>
                <w:szCs w:val="20"/>
                <w:lang w:eastAsia="en-NZ"/>
              </w:rPr>
              <w:t>HD</w:t>
            </w:r>
          </w:p>
        </w:tc>
        <w:tc>
          <w:tcPr>
            <w:tcW w:w="1495"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5" w:type="dxa"/>
            <w:tcBorders>
              <w:top w:val="nil"/>
              <w:left w:val="nil"/>
              <w:bottom w:val="single" w:sz="4" w:space="0" w:color="auto"/>
              <w:right w:val="single" w:sz="4" w:space="0" w:color="auto"/>
            </w:tcBorders>
            <w:shd w:val="clear" w:color="000000" w:fill="FFFF00"/>
            <w:noWrap/>
            <w:vAlign w:val="bottom"/>
            <w:hideMark/>
          </w:tcPr>
          <w:p w:rsidR="00FE7190" w:rsidRPr="00FE7190" w:rsidRDefault="00FE7190" w:rsidP="00164F8C">
            <w:pPr>
              <w:spacing w:before="40" w:after="40" w:line="240" w:lineRule="auto"/>
              <w:rPr>
                <w:rFonts w:eastAsia="Times New Roman" w:cs="Arial"/>
                <w:color w:val="FFFFFF"/>
                <w:sz w:val="20"/>
                <w:szCs w:val="20"/>
                <w:lang w:eastAsia="en-NZ"/>
              </w:rPr>
            </w:pPr>
            <w:r w:rsidRPr="00FE7190">
              <w:rPr>
                <w:rFonts w:eastAsia="Times New Roman" w:cs="Arial"/>
                <w:color w:val="FFFFFF"/>
                <w:sz w:val="20"/>
                <w:szCs w:val="20"/>
                <w:lang w:eastAsia="en-NZ"/>
              </w:rPr>
              <w:t> </w:t>
            </w:r>
          </w:p>
        </w:tc>
        <w:tc>
          <w:tcPr>
            <w:tcW w:w="1496"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1496" w:type="dxa"/>
            <w:tcBorders>
              <w:top w:val="nil"/>
              <w:left w:val="nil"/>
              <w:bottom w:val="single" w:sz="4" w:space="0" w:color="auto"/>
              <w:right w:val="single" w:sz="4" w:space="0" w:color="auto"/>
            </w:tcBorders>
            <w:shd w:val="clear" w:color="000000" w:fill="FF0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r>
    </w:tbl>
    <w:p w:rsidR="002C5590" w:rsidRPr="002C5590" w:rsidRDefault="002C5590">
      <w:pPr>
        <w:rPr>
          <w:sz w:val="16"/>
          <w:szCs w:val="16"/>
        </w:rPr>
      </w:pPr>
    </w:p>
    <w:tbl>
      <w:tblPr>
        <w:tblW w:w="97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7478"/>
      </w:tblGrid>
      <w:tr w:rsidR="00FE7190" w:rsidRPr="00FE7190" w:rsidTr="002C5590">
        <w:trPr>
          <w:trHeight w:val="255"/>
        </w:trPr>
        <w:tc>
          <w:tcPr>
            <w:tcW w:w="2273" w:type="dxa"/>
            <w:shd w:val="clear" w:color="auto" w:fill="auto"/>
            <w:noWrap/>
            <w:vAlign w:val="bottom"/>
            <w:hideMark/>
          </w:tcPr>
          <w:p w:rsidR="00FE7190" w:rsidRPr="00FE7190" w:rsidRDefault="00FE7190" w:rsidP="00164F8C">
            <w:pPr>
              <w:spacing w:before="40" w:after="40" w:line="240" w:lineRule="auto"/>
              <w:jc w:val="center"/>
              <w:rPr>
                <w:rFonts w:eastAsia="Times New Roman" w:cs="Arial"/>
                <w:b/>
                <w:bCs/>
                <w:color w:val="000000"/>
                <w:sz w:val="20"/>
                <w:szCs w:val="20"/>
                <w:lang w:eastAsia="en-NZ"/>
              </w:rPr>
            </w:pPr>
            <w:r w:rsidRPr="00FE7190">
              <w:rPr>
                <w:rFonts w:eastAsia="Times New Roman" w:cs="Arial"/>
                <w:b/>
                <w:bCs/>
                <w:color w:val="000000"/>
                <w:sz w:val="20"/>
                <w:szCs w:val="20"/>
                <w:lang w:eastAsia="en-NZ"/>
              </w:rPr>
              <w:t>Key</w:t>
            </w:r>
          </w:p>
        </w:tc>
        <w:tc>
          <w:tcPr>
            <w:tcW w:w="7478" w:type="dxa"/>
            <w:shd w:val="clear" w:color="auto" w:fill="auto"/>
            <w:noWrap/>
            <w:vAlign w:val="bottom"/>
            <w:hideMark/>
          </w:tcPr>
          <w:p w:rsidR="00FE7190" w:rsidRPr="00FE7190" w:rsidRDefault="00FE7190" w:rsidP="00164F8C">
            <w:pPr>
              <w:spacing w:before="40" w:after="40" w:line="240" w:lineRule="auto"/>
              <w:jc w:val="center"/>
              <w:rPr>
                <w:rFonts w:eastAsia="Times New Roman" w:cs="Arial"/>
                <w:color w:val="000000"/>
                <w:sz w:val="20"/>
                <w:szCs w:val="20"/>
                <w:lang w:eastAsia="en-NZ"/>
              </w:rPr>
            </w:pPr>
            <w:r w:rsidRPr="00FE7190">
              <w:rPr>
                <w:rFonts w:eastAsia="Times New Roman" w:cs="Arial"/>
                <w:color w:val="000000"/>
                <w:sz w:val="20"/>
                <w:szCs w:val="20"/>
                <w:lang w:eastAsia="en-NZ"/>
              </w:rPr>
              <w:t> </w:t>
            </w:r>
          </w:p>
        </w:tc>
      </w:tr>
      <w:tr w:rsidR="00FE7190" w:rsidRPr="00FE7190" w:rsidTr="002C5590">
        <w:trPr>
          <w:trHeight w:val="255"/>
        </w:trPr>
        <w:tc>
          <w:tcPr>
            <w:tcW w:w="2273" w:type="dxa"/>
            <w:shd w:val="clear" w:color="000000" w:fill="00B05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7478" w:type="dxa"/>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Very Well/Low Risk of Assessment/High Risk of No Assessment</w:t>
            </w:r>
          </w:p>
        </w:tc>
      </w:tr>
      <w:tr w:rsidR="00FE7190" w:rsidRPr="00FE7190" w:rsidTr="002C5590">
        <w:trPr>
          <w:trHeight w:val="255"/>
        </w:trPr>
        <w:tc>
          <w:tcPr>
            <w:tcW w:w="2273" w:type="dxa"/>
            <w:shd w:val="clear" w:color="000000" w:fill="92D05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7478" w:type="dxa"/>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Well/Some Risk of Assessment or No Assessment</w:t>
            </w:r>
          </w:p>
        </w:tc>
      </w:tr>
      <w:tr w:rsidR="00FE7190" w:rsidRPr="00FE7190" w:rsidTr="002C5590">
        <w:trPr>
          <w:trHeight w:val="255"/>
        </w:trPr>
        <w:tc>
          <w:tcPr>
            <w:tcW w:w="2273" w:type="dxa"/>
            <w:shd w:val="clear" w:color="000000" w:fill="FFFF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7478" w:type="dxa"/>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Somewhat/Some Risk of Assessment/Low Risk of No Assessment</w:t>
            </w:r>
          </w:p>
        </w:tc>
      </w:tr>
      <w:tr w:rsidR="00FE7190" w:rsidRPr="00FE7190" w:rsidTr="002C5590">
        <w:trPr>
          <w:trHeight w:val="255"/>
        </w:trPr>
        <w:tc>
          <w:tcPr>
            <w:tcW w:w="2273" w:type="dxa"/>
            <w:shd w:val="clear" w:color="000000" w:fill="FFC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7478" w:type="dxa"/>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Not Really/Some Risk of Assessment/High Risk of No Assessment</w:t>
            </w:r>
          </w:p>
        </w:tc>
      </w:tr>
      <w:tr w:rsidR="00FE7190" w:rsidRPr="00FE7190" w:rsidTr="002C5590">
        <w:trPr>
          <w:trHeight w:val="255"/>
        </w:trPr>
        <w:tc>
          <w:tcPr>
            <w:tcW w:w="2273" w:type="dxa"/>
            <w:shd w:val="clear" w:color="000000" w:fill="FF0000"/>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 </w:t>
            </w:r>
          </w:p>
        </w:tc>
        <w:tc>
          <w:tcPr>
            <w:tcW w:w="7478" w:type="dxa"/>
            <w:shd w:val="clear" w:color="auto" w:fill="auto"/>
            <w:noWrap/>
            <w:vAlign w:val="bottom"/>
            <w:hideMark/>
          </w:tcPr>
          <w:p w:rsidR="00FE7190" w:rsidRPr="00FE7190" w:rsidRDefault="00FE7190" w:rsidP="00164F8C">
            <w:pPr>
              <w:spacing w:before="40" w:after="40" w:line="240" w:lineRule="auto"/>
              <w:rPr>
                <w:rFonts w:eastAsia="Times New Roman" w:cs="Arial"/>
                <w:color w:val="000000"/>
                <w:sz w:val="20"/>
                <w:szCs w:val="20"/>
                <w:lang w:eastAsia="en-NZ"/>
              </w:rPr>
            </w:pPr>
            <w:r w:rsidRPr="00FE7190">
              <w:rPr>
                <w:rFonts w:eastAsia="Times New Roman" w:cs="Arial"/>
                <w:color w:val="000000"/>
                <w:sz w:val="20"/>
                <w:szCs w:val="20"/>
                <w:lang w:eastAsia="en-NZ"/>
              </w:rPr>
              <w:t>None/High Risk of Assessment/Low Risk of No Assessment</w:t>
            </w:r>
          </w:p>
        </w:tc>
      </w:tr>
    </w:tbl>
    <w:p w:rsidR="00365A3A" w:rsidRDefault="00365A3A" w:rsidP="00365A3A">
      <w:pPr>
        <w:pStyle w:val="Caption"/>
      </w:pPr>
    </w:p>
    <w:p w:rsidR="00C8560F" w:rsidRDefault="002C5590" w:rsidP="00365A3A">
      <w:pPr>
        <w:pStyle w:val="Caption"/>
      </w:pPr>
      <w:r>
        <w:t xml:space="preserve">Source: </w:t>
      </w:r>
      <w:r w:rsidR="00F4171A">
        <w:t xml:space="preserve">2013 </w:t>
      </w:r>
      <w:r>
        <w:t>NHC Executive Appraisal</w:t>
      </w:r>
      <w:r w:rsidR="00C8560F">
        <w:br w:type="page"/>
      </w:r>
    </w:p>
    <w:p w:rsidR="00F4171A" w:rsidRPr="00F4171A" w:rsidRDefault="00FD0607" w:rsidP="00C8560F">
      <w:pPr>
        <w:pStyle w:val="Heading1"/>
      </w:pPr>
      <w:bookmarkStart w:id="290" w:name="_Toc365276947"/>
      <w:r>
        <w:lastRenderedPageBreak/>
        <w:t xml:space="preserve">Appendix 1: NMDS </w:t>
      </w:r>
      <w:r w:rsidR="00D93602">
        <w:t>Summary Data for Publically Funded Hospital Casemix Events (inpatient or day patient) for 20</w:t>
      </w:r>
      <w:r w:rsidR="00F4171A">
        <w:t>11/12</w:t>
      </w:r>
      <w:bookmarkEnd w:id="290"/>
    </w:p>
    <w:p w:rsidR="00C8560F" w:rsidRDefault="00C8560F" w:rsidP="00C8560F">
      <w:pPr>
        <w:pStyle w:val="Figure"/>
        <w:jc w:val="center"/>
      </w:pPr>
      <w:r>
        <w:rPr>
          <w:noProof/>
          <w:lang w:eastAsia="en-NZ"/>
        </w:rPr>
        <w:drawing>
          <wp:inline distT="0" distB="0" distL="0" distR="0" wp14:anchorId="1BBC81C0" wp14:editId="29CA5D7F">
            <wp:extent cx="7841022" cy="4616330"/>
            <wp:effectExtent l="0" t="6668" r="953" b="952"/>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rot="16200000">
                      <a:off x="0" y="0"/>
                      <a:ext cx="7873036" cy="4635178"/>
                    </a:xfrm>
                    <a:prstGeom prst="rect">
                      <a:avLst/>
                    </a:prstGeom>
                  </pic:spPr>
                </pic:pic>
              </a:graphicData>
            </a:graphic>
          </wp:inline>
        </w:drawing>
      </w:r>
    </w:p>
    <w:p w:rsidR="00F4171A" w:rsidRPr="00F4171A" w:rsidRDefault="00F4171A" w:rsidP="00365A3A">
      <w:pPr>
        <w:pStyle w:val="Caption"/>
      </w:pPr>
      <w:r>
        <w:t>Source: 2013 NHC Executive analysis of 2009/10–2011/12 NMDS and 2010 National Mortality Collection data</w:t>
      </w:r>
    </w:p>
    <w:p w:rsidR="00F4171A" w:rsidRPr="00F4171A" w:rsidRDefault="00F4171A" w:rsidP="00F4171A"/>
    <w:p w:rsidR="00C22D87" w:rsidRDefault="00FD0607" w:rsidP="009F3F4E">
      <w:pPr>
        <w:pStyle w:val="Heading1"/>
        <w:rPr>
          <w:noProof/>
          <w:lang w:eastAsia="en-NZ"/>
        </w:rPr>
      </w:pPr>
      <w:bookmarkStart w:id="291" w:name="_Toc365276948"/>
      <w:r>
        <w:rPr>
          <w:noProof/>
          <w:lang w:eastAsia="en-NZ"/>
        </w:rPr>
        <w:lastRenderedPageBreak/>
        <w:t>Appendix 2: Cardiovascular Disease Growth</w:t>
      </w:r>
      <w:r w:rsidR="00D93602">
        <w:rPr>
          <w:noProof/>
          <w:lang w:eastAsia="en-NZ"/>
        </w:rPr>
        <w:t xml:space="preserve"> in terms of Mean Price for Publically Funded Hospital Casemix Events (inpatient or day patient) from 200</w:t>
      </w:r>
      <w:r w:rsidR="00F4171A">
        <w:rPr>
          <w:noProof/>
          <w:lang w:eastAsia="en-NZ"/>
        </w:rPr>
        <w:t>9/10 to 2011</w:t>
      </w:r>
      <w:r w:rsidR="00D93602">
        <w:rPr>
          <w:noProof/>
          <w:lang w:eastAsia="en-NZ"/>
        </w:rPr>
        <w:t>/1</w:t>
      </w:r>
      <w:r w:rsidR="00F4171A">
        <w:rPr>
          <w:noProof/>
          <w:lang w:eastAsia="en-NZ"/>
        </w:rPr>
        <w:t>2</w:t>
      </w:r>
      <w:bookmarkEnd w:id="291"/>
    </w:p>
    <w:p w:rsidR="00C8560F" w:rsidRPr="00C8560F" w:rsidRDefault="00C8560F" w:rsidP="00C8560F">
      <w:pPr>
        <w:pStyle w:val="Figure"/>
        <w:jc w:val="center"/>
        <w:rPr>
          <w:lang w:eastAsia="en-NZ"/>
        </w:rPr>
      </w:pPr>
      <w:r>
        <w:rPr>
          <w:noProof/>
          <w:lang w:eastAsia="en-NZ"/>
        </w:rPr>
        <w:drawing>
          <wp:inline distT="0" distB="0" distL="0" distR="0" wp14:anchorId="53719432" wp14:editId="474F31CF">
            <wp:extent cx="4420235" cy="78581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20235" cy="7858125"/>
                    </a:xfrm>
                    <a:prstGeom prst="rect">
                      <a:avLst/>
                    </a:prstGeom>
                    <a:noFill/>
                  </pic:spPr>
                </pic:pic>
              </a:graphicData>
            </a:graphic>
          </wp:inline>
        </w:drawing>
      </w:r>
    </w:p>
    <w:p w:rsidR="00F4171A" w:rsidRPr="00F4171A" w:rsidRDefault="00F4171A" w:rsidP="00365A3A">
      <w:pPr>
        <w:pStyle w:val="Caption"/>
      </w:pPr>
      <w:r>
        <w:t>Source: 2013 NHC Executive analysis of 2009/10–2011/12 NMDS</w:t>
      </w:r>
    </w:p>
    <w:p w:rsidR="00D51958" w:rsidRPr="00F4171A" w:rsidRDefault="00D51958" w:rsidP="00F4171A">
      <w:pPr>
        <w:sectPr w:rsidR="00D51958" w:rsidRPr="00F4171A" w:rsidSect="00910E8F">
          <w:headerReference w:type="even" r:id="rId29"/>
          <w:footerReference w:type="even" r:id="rId30"/>
          <w:footerReference w:type="default" r:id="rId31"/>
          <w:headerReference w:type="first" r:id="rId32"/>
          <w:footerReference w:type="first" r:id="rId33"/>
          <w:pgSz w:w="11906" w:h="16838" w:code="9"/>
          <w:pgMar w:top="1418" w:right="1134" w:bottom="1134" w:left="1134" w:header="425" w:footer="425" w:gutter="0"/>
          <w:cols w:space="708"/>
          <w:titlePg/>
          <w:docGrid w:linePitch="360"/>
        </w:sectPr>
      </w:pPr>
    </w:p>
    <w:p w:rsidR="002009B0" w:rsidRPr="009F3F4E" w:rsidRDefault="002009B0" w:rsidP="009F3F4E">
      <w:pPr>
        <w:pStyle w:val="Heading1"/>
      </w:pPr>
      <w:bookmarkStart w:id="292" w:name="_Toc365276950"/>
      <w:r w:rsidRPr="009F3F4E">
        <w:lastRenderedPageBreak/>
        <w:t>References</w:t>
      </w:r>
      <w:bookmarkEnd w:id="292"/>
    </w:p>
    <w:p w:rsidR="001418E1" w:rsidRPr="001418E1" w:rsidRDefault="00A2470D" w:rsidP="001418E1">
      <w:pPr>
        <w:spacing w:after="0" w:line="240" w:lineRule="auto"/>
        <w:rPr>
          <w:rFonts w:cs="Arial"/>
          <w:noProof/>
          <w:color w:val="000000"/>
          <w:szCs w:val="16"/>
        </w:rPr>
      </w:pPr>
      <w:r w:rsidRPr="00A2470D">
        <w:rPr>
          <w:color w:val="000000"/>
          <w:sz w:val="16"/>
          <w:szCs w:val="16"/>
        </w:rPr>
        <w:fldChar w:fldCharType="begin"/>
      </w:r>
      <w:r w:rsidRPr="00A2470D">
        <w:rPr>
          <w:color w:val="000000"/>
          <w:sz w:val="16"/>
          <w:szCs w:val="16"/>
        </w:rPr>
        <w:instrText xml:space="preserve"> ADDIN EN.REFLIST </w:instrText>
      </w:r>
      <w:r w:rsidRPr="00A2470D">
        <w:rPr>
          <w:color w:val="000000"/>
          <w:sz w:val="16"/>
          <w:szCs w:val="16"/>
        </w:rPr>
        <w:fldChar w:fldCharType="separate"/>
      </w:r>
      <w:bookmarkStart w:id="293" w:name="_ENREF_1"/>
      <w:r w:rsidR="001418E1" w:rsidRPr="001418E1">
        <w:rPr>
          <w:rFonts w:cs="Arial"/>
          <w:noProof/>
          <w:color w:val="000000"/>
          <w:szCs w:val="16"/>
        </w:rPr>
        <w:t>1.</w:t>
      </w:r>
      <w:r w:rsidR="001418E1" w:rsidRPr="001418E1">
        <w:rPr>
          <w:rFonts w:cs="Arial"/>
          <w:noProof/>
          <w:color w:val="000000"/>
          <w:szCs w:val="16"/>
        </w:rPr>
        <w:tab/>
        <w:t>Ministry of Health. New Zealand Burden of Diseases, Injuries and Risk Factors Study. Wellington: 2013.</w:t>
      </w:r>
      <w:bookmarkEnd w:id="293"/>
    </w:p>
    <w:p w:rsidR="001418E1" w:rsidRPr="001418E1" w:rsidRDefault="001418E1" w:rsidP="001418E1">
      <w:pPr>
        <w:spacing w:after="0" w:line="240" w:lineRule="auto"/>
        <w:rPr>
          <w:rFonts w:cs="Arial"/>
          <w:noProof/>
          <w:color w:val="000000"/>
          <w:szCs w:val="16"/>
        </w:rPr>
      </w:pPr>
      <w:bookmarkStart w:id="294" w:name="_ENREF_2"/>
      <w:r w:rsidRPr="001418E1">
        <w:rPr>
          <w:rFonts w:cs="Arial"/>
          <w:noProof/>
          <w:color w:val="000000"/>
          <w:szCs w:val="16"/>
        </w:rPr>
        <w:t>2.</w:t>
      </w:r>
      <w:r w:rsidRPr="001418E1">
        <w:rPr>
          <w:rFonts w:cs="Arial"/>
          <w:noProof/>
          <w:color w:val="000000"/>
          <w:szCs w:val="16"/>
        </w:rPr>
        <w:tab/>
        <w:t>Hay DR. Cardiovascular Disease in New Zealand, 2001: A Summary of Recent Statistical Information: National Heart Foundation of New Zealand; 2002.</w:t>
      </w:r>
      <w:bookmarkEnd w:id="294"/>
    </w:p>
    <w:p w:rsidR="001418E1" w:rsidRPr="001418E1" w:rsidRDefault="001418E1" w:rsidP="001418E1">
      <w:pPr>
        <w:spacing w:after="0" w:line="240" w:lineRule="auto"/>
        <w:rPr>
          <w:rFonts w:cs="Arial"/>
          <w:noProof/>
          <w:color w:val="000000"/>
          <w:szCs w:val="16"/>
        </w:rPr>
      </w:pPr>
      <w:bookmarkStart w:id="295" w:name="_ENREF_3"/>
      <w:r w:rsidRPr="001418E1">
        <w:rPr>
          <w:rFonts w:cs="Arial"/>
          <w:noProof/>
          <w:color w:val="000000"/>
          <w:szCs w:val="16"/>
        </w:rPr>
        <w:t>3.</w:t>
      </w:r>
      <w:r w:rsidRPr="001418E1">
        <w:rPr>
          <w:rFonts w:cs="Arial"/>
          <w:noProof/>
          <w:color w:val="000000"/>
          <w:szCs w:val="16"/>
        </w:rPr>
        <w:tab/>
        <w:t>Ministry of Health. New Zealand Health Survey 2011/2012. Wellington: Ministry of Health, 2012.</w:t>
      </w:r>
      <w:bookmarkEnd w:id="295"/>
    </w:p>
    <w:p w:rsidR="001418E1" w:rsidRPr="001418E1" w:rsidRDefault="001418E1" w:rsidP="001418E1">
      <w:pPr>
        <w:spacing w:after="0" w:line="240" w:lineRule="auto"/>
        <w:rPr>
          <w:rFonts w:cs="Arial"/>
          <w:noProof/>
          <w:color w:val="000000"/>
          <w:szCs w:val="16"/>
        </w:rPr>
      </w:pPr>
      <w:bookmarkStart w:id="296" w:name="_ENREF_4"/>
      <w:r w:rsidRPr="001418E1">
        <w:rPr>
          <w:rFonts w:cs="Arial"/>
          <w:noProof/>
          <w:color w:val="000000"/>
          <w:szCs w:val="16"/>
        </w:rPr>
        <w:t>4.</w:t>
      </w:r>
      <w:r w:rsidRPr="001418E1">
        <w:rPr>
          <w:rFonts w:cs="Arial"/>
          <w:noProof/>
          <w:color w:val="000000"/>
          <w:szCs w:val="16"/>
        </w:rPr>
        <w:tab/>
        <w:t>Fauci AS, Longo DL, Kasper DL, Hauser SL, Jameson JL, Loscalzo J, et al. Harrison's Principles of Internal Medicine: McGraw-Hill Medical New York; 2008.</w:t>
      </w:r>
      <w:bookmarkEnd w:id="296"/>
    </w:p>
    <w:p w:rsidR="001418E1" w:rsidRPr="001418E1" w:rsidRDefault="001418E1" w:rsidP="001418E1">
      <w:pPr>
        <w:spacing w:after="0" w:line="240" w:lineRule="auto"/>
        <w:rPr>
          <w:rFonts w:cs="Arial"/>
          <w:noProof/>
          <w:color w:val="000000"/>
          <w:szCs w:val="16"/>
        </w:rPr>
      </w:pPr>
      <w:bookmarkStart w:id="297" w:name="_ENREF_5"/>
      <w:r w:rsidRPr="001418E1">
        <w:rPr>
          <w:rFonts w:cs="Arial"/>
          <w:noProof/>
          <w:color w:val="000000"/>
          <w:szCs w:val="16"/>
        </w:rPr>
        <w:t>5.</w:t>
      </w:r>
      <w:r w:rsidRPr="001418E1">
        <w:rPr>
          <w:rFonts w:cs="Arial"/>
          <w:noProof/>
          <w:color w:val="000000"/>
          <w:szCs w:val="16"/>
        </w:rPr>
        <w:tab/>
        <w:t>Feigin V, Carter K, Hackett M, Barber PA, McNaughton H, Dyall L, et al. Ethnic Disparities in Incidence of Stroke Subtypes: Auckland Regional Community Stroke Study, 2002–2003. The Lancet Neurology. 2006;5(2):130-9.</w:t>
      </w:r>
      <w:bookmarkEnd w:id="297"/>
    </w:p>
    <w:p w:rsidR="001418E1" w:rsidRPr="001418E1" w:rsidRDefault="001418E1" w:rsidP="001418E1">
      <w:pPr>
        <w:spacing w:after="0" w:line="240" w:lineRule="auto"/>
        <w:rPr>
          <w:rFonts w:cs="Arial"/>
          <w:noProof/>
          <w:color w:val="000000"/>
          <w:szCs w:val="16"/>
        </w:rPr>
      </w:pPr>
      <w:bookmarkStart w:id="298" w:name="_ENREF_6"/>
      <w:r w:rsidRPr="001418E1">
        <w:rPr>
          <w:rFonts w:cs="Arial"/>
          <w:noProof/>
          <w:color w:val="000000"/>
          <w:szCs w:val="16"/>
        </w:rPr>
        <w:t>6.</w:t>
      </w:r>
      <w:r w:rsidRPr="001418E1">
        <w:rPr>
          <w:rFonts w:cs="Arial"/>
          <w:noProof/>
          <w:color w:val="000000"/>
          <w:szCs w:val="16"/>
        </w:rPr>
        <w:tab/>
        <w:t>Gommans J, Barber A, McNaughton H, Hanger C, Bennett P, Spriggs D, et al. Stroke Rehabilitation Services in New Zealand. Journal of the New Zealand Medical Association. 2003;116(1174).</w:t>
      </w:r>
      <w:bookmarkEnd w:id="298"/>
    </w:p>
    <w:p w:rsidR="001418E1" w:rsidRPr="001418E1" w:rsidRDefault="001418E1" w:rsidP="001418E1">
      <w:pPr>
        <w:spacing w:after="0" w:line="240" w:lineRule="auto"/>
        <w:rPr>
          <w:rFonts w:cs="Arial"/>
          <w:noProof/>
          <w:color w:val="000000"/>
          <w:szCs w:val="16"/>
        </w:rPr>
      </w:pPr>
      <w:bookmarkStart w:id="299" w:name="_ENREF_7"/>
      <w:r w:rsidRPr="001418E1">
        <w:rPr>
          <w:rFonts w:cs="Arial"/>
          <w:noProof/>
          <w:color w:val="000000"/>
          <w:szCs w:val="16"/>
        </w:rPr>
        <w:t>7.</w:t>
      </w:r>
      <w:r w:rsidRPr="001418E1">
        <w:rPr>
          <w:rFonts w:cs="Arial"/>
          <w:noProof/>
          <w:color w:val="000000"/>
          <w:szCs w:val="16"/>
        </w:rPr>
        <w:tab/>
        <w:t>Anderson CS, Carter KN, Brownlee WJ, Hackett ML, Broad JB, Bonita R. Very Long-Term Outcome after Stroke in Auckland, New Zealand. Stroke. 2004;35(8):1920-4.</w:t>
      </w:r>
      <w:bookmarkEnd w:id="299"/>
    </w:p>
    <w:p w:rsidR="001418E1" w:rsidRPr="001418E1" w:rsidRDefault="001418E1" w:rsidP="001418E1">
      <w:pPr>
        <w:spacing w:after="0" w:line="240" w:lineRule="auto"/>
        <w:rPr>
          <w:rFonts w:cs="Arial"/>
          <w:noProof/>
          <w:color w:val="000000"/>
          <w:szCs w:val="16"/>
        </w:rPr>
      </w:pPr>
      <w:bookmarkStart w:id="300" w:name="_ENREF_8"/>
      <w:r w:rsidRPr="001418E1">
        <w:rPr>
          <w:rFonts w:cs="Arial"/>
          <w:noProof/>
          <w:color w:val="000000"/>
          <w:szCs w:val="16"/>
        </w:rPr>
        <w:t>8.</w:t>
      </w:r>
      <w:r w:rsidRPr="001418E1">
        <w:rPr>
          <w:rFonts w:cs="Arial"/>
          <w:noProof/>
          <w:color w:val="000000"/>
          <w:szCs w:val="16"/>
        </w:rPr>
        <w:tab/>
        <w:t>Te Ao BJ, Brown PM, Feigin VL, Anderson CS. Are Stroke Units Cost Effective? Evidence from a New Zealand Stroke Incidence and Population</w:t>
      </w:r>
      <w:r w:rsidRPr="001418E1">
        <w:rPr>
          <w:rFonts w:ascii="Cambria Math" w:hAnsi="Cambria Math" w:cs="Cambria Math"/>
          <w:noProof/>
          <w:color w:val="000000"/>
          <w:szCs w:val="16"/>
        </w:rPr>
        <w:t>‐</w:t>
      </w:r>
      <w:r w:rsidRPr="001418E1">
        <w:rPr>
          <w:rFonts w:cs="Arial"/>
          <w:noProof/>
          <w:color w:val="000000"/>
          <w:szCs w:val="16"/>
        </w:rPr>
        <w:t>Based Study. International Journal of Stroke. 2012;7(8):623-30.</w:t>
      </w:r>
      <w:bookmarkEnd w:id="300"/>
    </w:p>
    <w:p w:rsidR="001418E1" w:rsidRPr="001418E1" w:rsidRDefault="001418E1" w:rsidP="001418E1">
      <w:pPr>
        <w:spacing w:after="0" w:line="240" w:lineRule="auto"/>
        <w:rPr>
          <w:rFonts w:cs="Arial"/>
          <w:noProof/>
          <w:color w:val="000000"/>
          <w:szCs w:val="16"/>
        </w:rPr>
      </w:pPr>
      <w:bookmarkStart w:id="301" w:name="_ENREF_9"/>
      <w:r w:rsidRPr="001418E1">
        <w:rPr>
          <w:rFonts w:cs="Arial"/>
          <w:noProof/>
          <w:color w:val="000000"/>
          <w:szCs w:val="16"/>
        </w:rPr>
        <w:t>9.</w:t>
      </w:r>
      <w:r w:rsidRPr="001418E1">
        <w:rPr>
          <w:rFonts w:cs="Arial"/>
          <w:noProof/>
          <w:color w:val="000000"/>
          <w:szCs w:val="16"/>
        </w:rPr>
        <w:tab/>
        <w:t>Suhrcke M, Nugent RA, Stuckler D, Rocco L. Chronic Disease: An Economic Perspective. 2006.</w:t>
      </w:r>
      <w:bookmarkEnd w:id="301"/>
    </w:p>
    <w:p w:rsidR="001418E1" w:rsidRPr="001418E1" w:rsidRDefault="001418E1" w:rsidP="001418E1">
      <w:pPr>
        <w:spacing w:after="0" w:line="240" w:lineRule="auto"/>
        <w:rPr>
          <w:rFonts w:cs="Arial"/>
          <w:noProof/>
          <w:color w:val="000000"/>
          <w:szCs w:val="16"/>
        </w:rPr>
      </w:pPr>
      <w:bookmarkStart w:id="302" w:name="_ENREF_10"/>
      <w:r w:rsidRPr="001418E1">
        <w:rPr>
          <w:rFonts w:cs="Arial"/>
          <w:noProof/>
          <w:color w:val="000000"/>
          <w:szCs w:val="16"/>
        </w:rPr>
        <w:t>10.</w:t>
      </w:r>
      <w:r w:rsidRPr="001418E1">
        <w:rPr>
          <w:rFonts w:cs="Arial"/>
          <w:noProof/>
          <w:color w:val="000000"/>
          <w:szCs w:val="16"/>
        </w:rPr>
        <w:tab/>
        <w:t>Adeyi O, Smith O, Robles S. Public Policy and the Challenge of Chronic Noncommunicable Diseases: World Bank-free PDF; 2007.</w:t>
      </w:r>
      <w:bookmarkEnd w:id="302"/>
    </w:p>
    <w:p w:rsidR="001418E1" w:rsidRPr="001418E1" w:rsidRDefault="001418E1" w:rsidP="001418E1">
      <w:pPr>
        <w:spacing w:after="0" w:line="240" w:lineRule="auto"/>
        <w:rPr>
          <w:rFonts w:cs="Arial"/>
          <w:noProof/>
          <w:color w:val="000000"/>
          <w:szCs w:val="16"/>
        </w:rPr>
      </w:pPr>
      <w:bookmarkStart w:id="303" w:name="_ENREF_11"/>
      <w:r w:rsidRPr="001418E1">
        <w:rPr>
          <w:rFonts w:cs="Arial"/>
          <w:noProof/>
          <w:color w:val="000000"/>
          <w:szCs w:val="16"/>
        </w:rPr>
        <w:t>11.</w:t>
      </w:r>
      <w:r w:rsidRPr="001418E1">
        <w:rPr>
          <w:rFonts w:cs="Arial"/>
          <w:noProof/>
          <w:color w:val="000000"/>
          <w:szCs w:val="16"/>
        </w:rPr>
        <w:tab/>
        <w:t>Ministry of Health. Report on New Zealand Cost-of-Illness Studies on Long-Term Conditions. Wellington: 2009.</w:t>
      </w:r>
      <w:bookmarkEnd w:id="303"/>
    </w:p>
    <w:p w:rsidR="001418E1" w:rsidRPr="001418E1" w:rsidRDefault="001418E1" w:rsidP="001418E1">
      <w:pPr>
        <w:spacing w:after="0" w:line="240" w:lineRule="auto"/>
        <w:rPr>
          <w:rFonts w:cs="Arial"/>
          <w:noProof/>
          <w:color w:val="000000"/>
          <w:szCs w:val="16"/>
        </w:rPr>
      </w:pPr>
      <w:bookmarkStart w:id="304" w:name="_ENREF_12"/>
      <w:r w:rsidRPr="001418E1">
        <w:rPr>
          <w:rFonts w:cs="Arial"/>
          <w:noProof/>
          <w:color w:val="000000"/>
          <w:szCs w:val="16"/>
        </w:rPr>
        <w:t>12.</w:t>
      </w:r>
      <w:r w:rsidRPr="001418E1">
        <w:rPr>
          <w:rFonts w:cs="Arial"/>
          <w:noProof/>
          <w:color w:val="000000"/>
          <w:szCs w:val="16"/>
        </w:rPr>
        <w:tab/>
        <w:t>Brown P. Economic Burden of Stroke in New Zealand. Three Decades of Auckland Regional Community Stroke (Arcos) Studies: What Have We Learned and What Is Next for Stroke Care and Stroke Research? Wellington: 2009.</w:t>
      </w:r>
      <w:bookmarkEnd w:id="304"/>
    </w:p>
    <w:p w:rsidR="001418E1" w:rsidRPr="001418E1" w:rsidRDefault="001418E1" w:rsidP="001418E1">
      <w:pPr>
        <w:spacing w:after="0" w:line="240" w:lineRule="auto"/>
        <w:rPr>
          <w:rFonts w:cs="Arial"/>
          <w:noProof/>
          <w:color w:val="000000"/>
          <w:szCs w:val="16"/>
        </w:rPr>
      </w:pPr>
      <w:bookmarkStart w:id="305" w:name="_ENREF_13"/>
      <w:r w:rsidRPr="001418E1">
        <w:rPr>
          <w:rFonts w:cs="Arial"/>
          <w:noProof/>
          <w:color w:val="000000"/>
          <w:szCs w:val="16"/>
        </w:rPr>
        <w:t>13.</w:t>
      </w:r>
      <w:r w:rsidRPr="001418E1">
        <w:rPr>
          <w:rFonts w:cs="Arial"/>
          <w:noProof/>
          <w:color w:val="000000"/>
          <w:szCs w:val="16"/>
        </w:rPr>
        <w:tab/>
        <w:t>Aburto NJ, Ziolkovska A, Hooper L, Elliott P, Cappuccio FP, Meerpohl JJ. Effect of Lower Sodium Intake on Health: Systematic Review and Meta-Analyses. British Medical Journal. 2013;346:f1326.</w:t>
      </w:r>
      <w:bookmarkEnd w:id="305"/>
    </w:p>
    <w:p w:rsidR="001418E1" w:rsidRPr="001418E1" w:rsidRDefault="001418E1" w:rsidP="001418E1">
      <w:pPr>
        <w:spacing w:after="0" w:line="240" w:lineRule="auto"/>
        <w:rPr>
          <w:rFonts w:cs="Arial"/>
          <w:noProof/>
          <w:color w:val="000000"/>
          <w:szCs w:val="16"/>
        </w:rPr>
      </w:pPr>
      <w:bookmarkStart w:id="306" w:name="_ENREF_14"/>
      <w:r w:rsidRPr="001418E1">
        <w:rPr>
          <w:rFonts w:cs="Arial"/>
          <w:noProof/>
          <w:color w:val="000000"/>
          <w:szCs w:val="16"/>
        </w:rPr>
        <w:t>14.</w:t>
      </w:r>
      <w:r w:rsidRPr="001418E1">
        <w:rPr>
          <w:rFonts w:cs="Arial"/>
          <w:noProof/>
          <w:color w:val="000000"/>
          <w:szCs w:val="16"/>
        </w:rPr>
        <w:tab/>
        <w:t>Milne RJ, Lennon DR, Stewart JM, Vander Hoorn S, Scuffham PA. Incidence of Acute Rheumatic Fever in New Zealand Children and Youth. Journal of Paediatrics and Child Health. 2012;48(8):685-91.</w:t>
      </w:r>
      <w:bookmarkEnd w:id="306"/>
    </w:p>
    <w:p w:rsidR="001418E1" w:rsidRPr="001418E1" w:rsidRDefault="001418E1" w:rsidP="001418E1">
      <w:pPr>
        <w:spacing w:after="0" w:line="240" w:lineRule="auto"/>
        <w:rPr>
          <w:rFonts w:cs="Arial"/>
          <w:noProof/>
          <w:color w:val="000000"/>
          <w:szCs w:val="16"/>
        </w:rPr>
      </w:pPr>
      <w:bookmarkStart w:id="307" w:name="_ENREF_15"/>
      <w:r w:rsidRPr="001418E1">
        <w:rPr>
          <w:rFonts w:cs="Arial"/>
          <w:noProof/>
          <w:color w:val="000000"/>
          <w:szCs w:val="16"/>
        </w:rPr>
        <w:t>15.</w:t>
      </w:r>
      <w:r w:rsidRPr="001418E1">
        <w:rPr>
          <w:rFonts w:cs="Arial"/>
          <w:noProof/>
          <w:color w:val="000000"/>
          <w:szCs w:val="16"/>
        </w:rPr>
        <w:tab/>
        <w:t>Ministry of Health. Health Tracker. In: Ministry of Health, editor. Wellington2013.</w:t>
      </w:r>
      <w:bookmarkEnd w:id="307"/>
    </w:p>
    <w:p w:rsidR="001418E1" w:rsidRPr="001418E1" w:rsidRDefault="001418E1" w:rsidP="001418E1">
      <w:pPr>
        <w:spacing w:after="0" w:line="240" w:lineRule="auto"/>
        <w:rPr>
          <w:rFonts w:cs="Arial"/>
          <w:noProof/>
          <w:color w:val="000000"/>
          <w:szCs w:val="16"/>
        </w:rPr>
      </w:pPr>
      <w:bookmarkStart w:id="308" w:name="_ENREF_16"/>
      <w:r w:rsidRPr="001418E1">
        <w:rPr>
          <w:rFonts w:cs="Arial"/>
          <w:noProof/>
          <w:color w:val="000000"/>
          <w:szCs w:val="16"/>
        </w:rPr>
        <w:t>16.</w:t>
      </w:r>
      <w:r w:rsidRPr="001418E1">
        <w:rPr>
          <w:rFonts w:cs="Arial"/>
          <w:noProof/>
          <w:color w:val="000000"/>
          <w:szCs w:val="16"/>
        </w:rPr>
        <w:tab/>
        <w:t>Clouse WD, Hallett Jr JW, Schaff HV, Gayari MM, Ilstrup DM, Melton III LJ. Improved Prognosis of Thoracic Aortic Aneurysms. JAMA: the journal of the American Medical Association. 1998;280(22):1926-9.</w:t>
      </w:r>
      <w:bookmarkEnd w:id="308"/>
    </w:p>
    <w:p w:rsidR="001418E1" w:rsidRPr="001418E1" w:rsidRDefault="001418E1" w:rsidP="001418E1">
      <w:pPr>
        <w:spacing w:after="0" w:line="240" w:lineRule="auto"/>
        <w:rPr>
          <w:rFonts w:cs="Arial"/>
          <w:noProof/>
          <w:color w:val="000000"/>
          <w:szCs w:val="16"/>
        </w:rPr>
      </w:pPr>
      <w:bookmarkStart w:id="309" w:name="_ENREF_17"/>
      <w:r w:rsidRPr="001418E1">
        <w:rPr>
          <w:rFonts w:cs="Arial"/>
          <w:noProof/>
          <w:color w:val="000000"/>
          <w:szCs w:val="16"/>
        </w:rPr>
        <w:t>17.</w:t>
      </w:r>
      <w:r w:rsidRPr="001418E1">
        <w:rPr>
          <w:rFonts w:cs="Arial"/>
          <w:noProof/>
          <w:color w:val="000000"/>
          <w:szCs w:val="16"/>
        </w:rPr>
        <w:tab/>
        <w:t>Bickerstaff L, Pairolero P, Hollier L, Melton LJ, Van Peenen H, Cherry K, et al. Thoracic Aortic Aneurysms: A Population-Based Study. Surgery. 1982;92(6):1103-8.</w:t>
      </w:r>
      <w:bookmarkEnd w:id="309"/>
    </w:p>
    <w:p w:rsidR="001418E1" w:rsidRPr="001418E1" w:rsidRDefault="001418E1" w:rsidP="001418E1">
      <w:pPr>
        <w:spacing w:after="0" w:line="240" w:lineRule="auto"/>
        <w:rPr>
          <w:rFonts w:cs="Arial"/>
          <w:noProof/>
          <w:color w:val="000000"/>
          <w:szCs w:val="16"/>
        </w:rPr>
      </w:pPr>
      <w:bookmarkStart w:id="310" w:name="_ENREF_18"/>
      <w:r w:rsidRPr="001418E1">
        <w:rPr>
          <w:rFonts w:cs="Arial"/>
          <w:noProof/>
          <w:color w:val="000000"/>
          <w:szCs w:val="16"/>
        </w:rPr>
        <w:t>18.</w:t>
      </w:r>
      <w:r w:rsidRPr="001418E1">
        <w:rPr>
          <w:rFonts w:cs="Arial"/>
          <w:noProof/>
          <w:color w:val="000000"/>
          <w:szCs w:val="16"/>
        </w:rPr>
        <w:tab/>
        <w:t>Bavaria JE, Appoo JJ, Makaroun MS, Verter J, Yu Z-F, Mitchell RS. Endovascular Stent Grafting Versus Open Surgical Repair of Descending Thoracic Aortic Aneurysms in Low-Risk Patients: A Multicenter Comparative Trial. Journal of thoracic and cardiovascular surgery. 2007;133(2):369-74.</w:t>
      </w:r>
      <w:bookmarkEnd w:id="310"/>
    </w:p>
    <w:p w:rsidR="001418E1" w:rsidRPr="001418E1" w:rsidRDefault="001418E1" w:rsidP="001418E1">
      <w:pPr>
        <w:spacing w:after="0" w:line="240" w:lineRule="auto"/>
        <w:rPr>
          <w:rFonts w:cs="Arial"/>
          <w:noProof/>
          <w:color w:val="000000"/>
          <w:szCs w:val="16"/>
        </w:rPr>
      </w:pPr>
      <w:bookmarkStart w:id="311" w:name="_ENREF_19"/>
      <w:r w:rsidRPr="001418E1">
        <w:rPr>
          <w:rFonts w:cs="Arial"/>
          <w:noProof/>
          <w:color w:val="000000"/>
          <w:szCs w:val="16"/>
        </w:rPr>
        <w:t>19.</w:t>
      </w:r>
      <w:r w:rsidRPr="001418E1">
        <w:rPr>
          <w:rFonts w:cs="Arial"/>
          <w:noProof/>
          <w:color w:val="000000"/>
          <w:szCs w:val="16"/>
        </w:rPr>
        <w:tab/>
        <w:t>Fleming C, Whitlock EP, Beil TL, Lederle FA. Screening for Abdominal Aortic Aneurysm: A Best-Evidence Systematic Review for the Us Preventive Services Task Force. Journal of Vascular Surgery. 2005;41(6):1078.</w:t>
      </w:r>
      <w:bookmarkEnd w:id="311"/>
    </w:p>
    <w:p w:rsidR="001418E1" w:rsidRPr="001418E1" w:rsidRDefault="001418E1" w:rsidP="001418E1">
      <w:pPr>
        <w:spacing w:after="0" w:line="240" w:lineRule="auto"/>
        <w:rPr>
          <w:rFonts w:cs="Arial"/>
          <w:noProof/>
          <w:color w:val="000000"/>
          <w:szCs w:val="16"/>
        </w:rPr>
      </w:pPr>
      <w:bookmarkStart w:id="312" w:name="_ENREF_20"/>
      <w:r w:rsidRPr="001418E1">
        <w:rPr>
          <w:rFonts w:cs="Arial"/>
          <w:noProof/>
          <w:color w:val="000000"/>
          <w:szCs w:val="16"/>
        </w:rPr>
        <w:t>20.</w:t>
      </w:r>
      <w:r w:rsidRPr="001418E1">
        <w:rPr>
          <w:rFonts w:cs="Arial"/>
          <w:noProof/>
          <w:color w:val="000000"/>
          <w:szCs w:val="16"/>
        </w:rPr>
        <w:tab/>
        <w:t>Prystowsky EN. Management of Atrial Fibrillation: Therapeutic Options and Clinical Decisions. The American Journal of Cardiology. 2000;85(10):3-11.</w:t>
      </w:r>
      <w:bookmarkEnd w:id="312"/>
    </w:p>
    <w:p w:rsidR="001418E1" w:rsidRPr="001418E1" w:rsidRDefault="001418E1" w:rsidP="001418E1">
      <w:pPr>
        <w:spacing w:after="0" w:line="240" w:lineRule="auto"/>
        <w:rPr>
          <w:rFonts w:cs="Arial"/>
          <w:noProof/>
          <w:color w:val="000000"/>
          <w:szCs w:val="16"/>
        </w:rPr>
      </w:pPr>
      <w:bookmarkStart w:id="313" w:name="_ENREF_21"/>
      <w:r w:rsidRPr="001418E1">
        <w:rPr>
          <w:rFonts w:cs="Arial"/>
          <w:noProof/>
          <w:color w:val="000000"/>
          <w:szCs w:val="16"/>
        </w:rPr>
        <w:lastRenderedPageBreak/>
        <w:t>21.</w:t>
      </w:r>
      <w:r w:rsidRPr="001418E1">
        <w:rPr>
          <w:rFonts w:cs="Arial"/>
          <w:noProof/>
          <w:color w:val="000000"/>
          <w:szCs w:val="16"/>
        </w:rPr>
        <w:tab/>
        <w:t>New Zealand Guidelines Group. The Management of People with Atrial Fibrillation and Flutter. Wellington: New Zealand Guidelines Group, 2005 0-476-01460-3.</w:t>
      </w:r>
      <w:bookmarkEnd w:id="313"/>
    </w:p>
    <w:p w:rsidR="001418E1" w:rsidRPr="001418E1" w:rsidRDefault="001418E1" w:rsidP="001418E1">
      <w:pPr>
        <w:spacing w:after="0" w:line="240" w:lineRule="auto"/>
        <w:rPr>
          <w:rFonts w:cs="Arial"/>
          <w:noProof/>
          <w:color w:val="000000"/>
          <w:szCs w:val="16"/>
        </w:rPr>
      </w:pPr>
      <w:bookmarkStart w:id="314" w:name="_ENREF_22"/>
      <w:r w:rsidRPr="001418E1">
        <w:rPr>
          <w:rFonts w:cs="Arial"/>
          <w:noProof/>
          <w:color w:val="000000"/>
          <w:szCs w:val="16"/>
        </w:rPr>
        <w:t>22.</w:t>
      </w:r>
      <w:r w:rsidRPr="001418E1">
        <w:rPr>
          <w:rFonts w:cs="Arial"/>
          <w:noProof/>
          <w:color w:val="000000"/>
          <w:szCs w:val="16"/>
        </w:rPr>
        <w:tab/>
        <w:t>Creager MA, White CJ, Hiatt WR, Criqui MH, Josephs SC, Alberts MJ, et al. Atherosclerotic Peripheral Vascular Disease Symposium Ii. Circulation. 2008;118(25):2811-25.</w:t>
      </w:r>
      <w:bookmarkEnd w:id="314"/>
    </w:p>
    <w:p w:rsidR="001418E1" w:rsidRPr="001418E1" w:rsidRDefault="001418E1" w:rsidP="001418E1">
      <w:pPr>
        <w:spacing w:after="0" w:line="240" w:lineRule="auto"/>
        <w:rPr>
          <w:rFonts w:cs="Arial"/>
          <w:noProof/>
          <w:color w:val="000000"/>
          <w:szCs w:val="16"/>
        </w:rPr>
      </w:pPr>
      <w:bookmarkStart w:id="315" w:name="_ENREF_23"/>
      <w:r w:rsidRPr="001418E1">
        <w:rPr>
          <w:rFonts w:cs="Arial"/>
          <w:noProof/>
          <w:color w:val="000000"/>
          <w:szCs w:val="16"/>
        </w:rPr>
        <w:t>23.</w:t>
      </w:r>
      <w:r w:rsidRPr="001418E1">
        <w:rPr>
          <w:rFonts w:cs="Arial"/>
          <w:noProof/>
          <w:color w:val="000000"/>
          <w:szCs w:val="16"/>
        </w:rPr>
        <w:tab/>
        <w:t>Oger E. Incidence of Venous Thromboembolism: A Community-Based Study in Western France. Epi-Getbp Study Group. Groupe D'etude De La Thrombose De Bretagne Occidentale. Thrombosis and haemostasis. 2000;83(5):657.</w:t>
      </w:r>
      <w:bookmarkEnd w:id="315"/>
    </w:p>
    <w:p w:rsidR="001418E1" w:rsidRPr="001418E1" w:rsidRDefault="001418E1" w:rsidP="001418E1">
      <w:pPr>
        <w:spacing w:after="0" w:line="240" w:lineRule="auto"/>
        <w:rPr>
          <w:rFonts w:cs="Arial"/>
          <w:noProof/>
          <w:color w:val="000000"/>
          <w:szCs w:val="16"/>
        </w:rPr>
      </w:pPr>
      <w:bookmarkStart w:id="316" w:name="_ENREF_24"/>
      <w:r w:rsidRPr="001418E1">
        <w:rPr>
          <w:rFonts w:cs="Arial"/>
          <w:noProof/>
          <w:color w:val="000000"/>
          <w:szCs w:val="16"/>
        </w:rPr>
        <w:t>24.</w:t>
      </w:r>
      <w:r w:rsidRPr="001418E1">
        <w:rPr>
          <w:rFonts w:cs="Arial"/>
          <w:noProof/>
          <w:color w:val="000000"/>
          <w:szCs w:val="16"/>
        </w:rPr>
        <w:tab/>
        <w:t xml:space="preserve">Health Promotion Agency. Tobacco Control 2013 [cited 2013 1 July]. Available from: </w:t>
      </w:r>
      <w:hyperlink r:id="rId34" w:history="1">
        <w:r w:rsidRPr="001418E1">
          <w:rPr>
            <w:rStyle w:val="Hyperlink"/>
            <w:rFonts w:cs="Arial"/>
            <w:noProof/>
            <w:szCs w:val="16"/>
          </w:rPr>
          <w:t>http://www.hpa.org.nz/what-we-do/tobacco-control</w:t>
        </w:r>
      </w:hyperlink>
      <w:r w:rsidRPr="001418E1">
        <w:rPr>
          <w:rFonts w:cs="Arial"/>
          <w:noProof/>
          <w:color w:val="000000"/>
          <w:szCs w:val="16"/>
        </w:rPr>
        <w:t>.</w:t>
      </w:r>
      <w:bookmarkEnd w:id="316"/>
    </w:p>
    <w:p w:rsidR="001418E1" w:rsidRPr="001418E1" w:rsidRDefault="001418E1" w:rsidP="001418E1">
      <w:pPr>
        <w:spacing w:after="0" w:line="240" w:lineRule="auto"/>
        <w:rPr>
          <w:rFonts w:cs="Arial"/>
          <w:noProof/>
          <w:color w:val="000000"/>
          <w:szCs w:val="16"/>
        </w:rPr>
      </w:pPr>
      <w:bookmarkStart w:id="317" w:name="_ENREF_25"/>
      <w:r w:rsidRPr="001418E1">
        <w:rPr>
          <w:rFonts w:cs="Arial"/>
          <w:noProof/>
          <w:color w:val="000000"/>
          <w:szCs w:val="16"/>
        </w:rPr>
        <w:t>25.</w:t>
      </w:r>
      <w:r w:rsidRPr="001418E1">
        <w:rPr>
          <w:rFonts w:cs="Arial"/>
          <w:noProof/>
          <w:color w:val="000000"/>
          <w:szCs w:val="16"/>
        </w:rPr>
        <w:tab/>
        <w:t>Statistics New Zealand. National Population Estimates. Wellington 2012.</w:t>
      </w:r>
      <w:bookmarkEnd w:id="317"/>
    </w:p>
    <w:p w:rsidR="001418E1" w:rsidRPr="001418E1" w:rsidRDefault="001418E1" w:rsidP="001418E1">
      <w:pPr>
        <w:spacing w:after="0" w:line="240" w:lineRule="auto"/>
        <w:rPr>
          <w:rFonts w:cs="Arial"/>
          <w:noProof/>
          <w:color w:val="000000"/>
          <w:szCs w:val="16"/>
        </w:rPr>
      </w:pPr>
      <w:bookmarkStart w:id="318" w:name="_ENREF_26"/>
      <w:r w:rsidRPr="001418E1">
        <w:rPr>
          <w:rFonts w:cs="Arial"/>
          <w:noProof/>
          <w:color w:val="000000"/>
          <w:szCs w:val="16"/>
        </w:rPr>
        <w:t>26.</w:t>
      </w:r>
      <w:r w:rsidRPr="001418E1">
        <w:rPr>
          <w:rFonts w:cs="Arial"/>
          <w:noProof/>
          <w:color w:val="000000"/>
          <w:szCs w:val="16"/>
        </w:rPr>
        <w:tab/>
        <w:t>Dai S, Bancej C, Bienek A, Walsh P, Stewart P, Weilgosz A. Tracking Heart Disease and Stroke in Canada 2009. Chronic Dis Can. 2009;29:192-3.</w:t>
      </w:r>
      <w:bookmarkEnd w:id="318"/>
    </w:p>
    <w:p w:rsidR="001418E1" w:rsidRPr="001418E1" w:rsidRDefault="001418E1" w:rsidP="001418E1">
      <w:pPr>
        <w:spacing w:line="240" w:lineRule="auto"/>
        <w:rPr>
          <w:rFonts w:cs="Arial"/>
          <w:noProof/>
          <w:color w:val="000000"/>
          <w:szCs w:val="16"/>
        </w:rPr>
      </w:pPr>
      <w:bookmarkStart w:id="319" w:name="_ENREF_27"/>
      <w:r w:rsidRPr="001418E1">
        <w:rPr>
          <w:rFonts w:cs="Arial"/>
          <w:noProof/>
          <w:color w:val="000000"/>
          <w:szCs w:val="16"/>
        </w:rPr>
        <w:t>27.</w:t>
      </w:r>
      <w:r w:rsidRPr="001418E1">
        <w:rPr>
          <w:rFonts w:cs="Arial"/>
          <w:noProof/>
          <w:color w:val="000000"/>
          <w:szCs w:val="16"/>
        </w:rPr>
        <w:tab/>
        <w:t>Ministry of Health. Tatau Kahukura: Māori Health Chart Book. Wellington: Ministry of Health, 2010.</w:t>
      </w:r>
      <w:bookmarkEnd w:id="319"/>
    </w:p>
    <w:p w:rsidR="001418E1" w:rsidRDefault="001418E1" w:rsidP="001418E1">
      <w:pPr>
        <w:spacing w:line="240" w:lineRule="auto"/>
        <w:rPr>
          <w:rFonts w:cs="Arial"/>
          <w:noProof/>
          <w:color w:val="000000"/>
          <w:szCs w:val="16"/>
        </w:rPr>
      </w:pPr>
    </w:p>
    <w:p w:rsidR="00FD0607" w:rsidRDefault="00A2470D" w:rsidP="00A2470D">
      <w:pPr>
        <w:spacing w:line="240" w:lineRule="auto"/>
        <w:rPr>
          <w:b/>
        </w:rPr>
      </w:pPr>
      <w:r w:rsidRPr="00A2470D">
        <w:rPr>
          <w:color w:val="000000"/>
          <w:sz w:val="16"/>
          <w:szCs w:val="16"/>
        </w:rPr>
        <w:fldChar w:fldCharType="end"/>
      </w:r>
    </w:p>
    <w:p w:rsidR="00927C7E" w:rsidRPr="00356872" w:rsidRDefault="00927C7E" w:rsidP="00927C7E">
      <w:pPr>
        <w:rPr>
          <w:rFonts w:cs="Arial"/>
          <w:color w:val="000000"/>
        </w:rPr>
        <w:sectPr w:rsidR="00927C7E" w:rsidRPr="00356872" w:rsidSect="00D93602">
          <w:pgSz w:w="11906" w:h="16838" w:code="9"/>
          <w:pgMar w:top="1134" w:right="1134" w:bottom="1134" w:left="1134" w:header="425" w:footer="425" w:gutter="0"/>
          <w:cols w:space="708"/>
          <w:docGrid w:linePitch="360"/>
        </w:sectPr>
      </w:pPr>
    </w:p>
    <w:p w:rsidR="00D93602" w:rsidRDefault="00D93602" w:rsidP="00927C7E">
      <w:pPr>
        <w:pStyle w:val="Heading2"/>
      </w:pPr>
      <w:bookmarkStart w:id="320" w:name="_Toc358124658"/>
      <w:bookmarkStart w:id="321" w:name="_Toc360641467"/>
    </w:p>
    <w:p w:rsidR="00927C7E" w:rsidRPr="006424B7" w:rsidRDefault="00927C7E" w:rsidP="00927C7E">
      <w:pPr>
        <w:pStyle w:val="Heading2"/>
      </w:pPr>
      <w:bookmarkStart w:id="322" w:name="_Toc360714658"/>
      <w:bookmarkStart w:id="323" w:name="_Toc363122593"/>
      <w:bookmarkStart w:id="324" w:name="_Toc365276951"/>
      <w:r w:rsidRPr="006424B7">
        <w:t>National Health Committee (NHC) and Executive</w:t>
      </w:r>
      <w:bookmarkEnd w:id="320"/>
      <w:bookmarkEnd w:id="321"/>
      <w:bookmarkEnd w:id="322"/>
      <w:bookmarkEnd w:id="323"/>
      <w:bookmarkEnd w:id="324"/>
    </w:p>
    <w:p w:rsidR="00A81AFC" w:rsidRDefault="00A81AFC" w:rsidP="00A81AFC">
      <w:pPr>
        <w:spacing w:line="240" w:lineRule="auto"/>
        <w:rPr>
          <w:rFonts w:cs="Arial"/>
          <w:color w:val="000000"/>
          <w:sz w:val="22"/>
        </w:rPr>
      </w:pPr>
      <w:r w:rsidRPr="00A81AFC">
        <w:rPr>
          <w:rFonts w:cs="Arial"/>
          <w:color w:val="000000"/>
          <w:sz w:val="22"/>
        </w:rPr>
        <w:t xml:space="preserve">The National Health Committee (NHC) is an independent statutory body which provides advice to the New Zealand Minister of Health.  It was reformed in 2011 to establish evaluation systems that would provide the New Zealand people and health sector with greater value for the money invested in health.  The NHC Executive </w:t>
      </w:r>
      <w:proofErr w:type="gramStart"/>
      <w:r w:rsidRPr="00A81AFC">
        <w:rPr>
          <w:rFonts w:cs="Arial"/>
          <w:color w:val="000000"/>
          <w:sz w:val="22"/>
        </w:rPr>
        <w:t>are</w:t>
      </w:r>
      <w:proofErr w:type="gramEnd"/>
      <w:r w:rsidRPr="00A81AFC">
        <w:rPr>
          <w:rFonts w:cs="Arial"/>
          <w:color w:val="000000"/>
          <w:sz w:val="22"/>
        </w:rPr>
        <w:t xml:space="preserve"> the secretariat that supports the Committee.  The NHC Executive’s primary objective is to provide the Committee with sufficient information for them to make recommendations regarding the prioritisation and reprioritisation of interventions.  The Executive do this through a range of evidence-based reports that are tailored to the nature of the decision required and time-frame within which decisions need to be made.</w:t>
      </w:r>
    </w:p>
    <w:p w:rsidR="00A81AFC" w:rsidRDefault="00A81AFC" w:rsidP="00927C7E">
      <w:pPr>
        <w:spacing w:line="240" w:lineRule="auto"/>
        <w:jc w:val="center"/>
        <w:rPr>
          <w:rFonts w:cs="Arial"/>
          <w:sz w:val="22"/>
        </w:rPr>
      </w:pPr>
    </w:p>
    <w:p w:rsidR="00927C7E" w:rsidRPr="00D93602" w:rsidRDefault="00927C7E" w:rsidP="00927C7E">
      <w:pPr>
        <w:spacing w:line="240" w:lineRule="auto"/>
        <w:jc w:val="center"/>
        <w:rPr>
          <w:rFonts w:cs="Arial"/>
          <w:sz w:val="22"/>
        </w:rPr>
      </w:pPr>
      <w:r w:rsidRPr="00D93602">
        <w:rPr>
          <w:rFonts w:cs="Arial"/>
          <w:sz w:val="22"/>
        </w:rPr>
        <w:t>Citation:  National Health Committee.</w:t>
      </w:r>
      <w:r w:rsidR="00397E97" w:rsidRPr="00D93602">
        <w:rPr>
          <w:rFonts w:cs="Arial"/>
          <w:sz w:val="22"/>
        </w:rPr>
        <w:t xml:space="preserve"> </w:t>
      </w:r>
      <w:r w:rsidRPr="00F444E5">
        <w:rPr>
          <w:rStyle w:val="Hyperlink"/>
          <w:color w:val="auto"/>
          <w:sz w:val="22"/>
        </w:rPr>
        <w:t>2013.</w:t>
      </w:r>
      <w:r w:rsidRPr="00D93602">
        <w:rPr>
          <w:rStyle w:val="Hyperlink"/>
          <w:color w:val="auto"/>
          <w:sz w:val="22"/>
        </w:rPr>
        <w:t xml:space="preserve"> </w:t>
      </w:r>
      <w:r w:rsidR="00A63BA1">
        <w:rPr>
          <w:rStyle w:val="Hyperlink"/>
          <w:color w:val="auto"/>
          <w:sz w:val="22"/>
        </w:rPr>
        <w:t>Strategic Overview</w:t>
      </w:r>
      <w:r w:rsidRPr="00D93602">
        <w:rPr>
          <w:rStyle w:val="Hyperlink"/>
          <w:color w:val="auto"/>
          <w:sz w:val="22"/>
        </w:rPr>
        <w:t>:</w:t>
      </w:r>
      <w:r w:rsidR="001B31A2" w:rsidRPr="00D93602">
        <w:rPr>
          <w:rStyle w:val="Hyperlink"/>
          <w:color w:val="auto"/>
          <w:sz w:val="22"/>
        </w:rPr>
        <w:t xml:space="preserve"> Cardiovascular</w:t>
      </w:r>
      <w:r w:rsidRPr="00D93602">
        <w:rPr>
          <w:rStyle w:val="Hyperlink"/>
          <w:color w:val="auto"/>
          <w:sz w:val="22"/>
        </w:rPr>
        <w:t xml:space="preserve"> Disease</w:t>
      </w:r>
      <w:r w:rsidR="00E32C54" w:rsidRPr="00D93602">
        <w:rPr>
          <w:rStyle w:val="Hyperlink"/>
          <w:color w:val="auto"/>
          <w:sz w:val="22"/>
        </w:rPr>
        <w:t xml:space="preserve"> in New Zealand</w:t>
      </w:r>
      <w:r w:rsidR="00F444E5">
        <w:rPr>
          <w:rStyle w:val="Hyperlink"/>
          <w:color w:val="auto"/>
          <w:sz w:val="22"/>
        </w:rPr>
        <w:t xml:space="preserve"> (Working Draft)</w:t>
      </w:r>
      <w:r w:rsidRPr="00D93602">
        <w:rPr>
          <w:rFonts w:cs="Arial"/>
          <w:sz w:val="22"/>
        </w:rPr>
        <w:t>. Wellington:  National Health Committee.</w:t>
      </w:r>
    </w:p>
    <w:p w:rsidR="00927C7E" w:rsidRPr="00D93602" w:rsidRDefault="00927C7E" w:rsidP="00927C7E">
      <w:pPr>
        <w:spacing w:after="0" w:line="240" w:lineRule="auto"/>
        <w:jc w:val="center"/>
        <w:rPr>
          <w:rFonts w:cs="Arial"/>
          <w:sz w:val="22"/>
        </w:rPr>
      </w:pPr>
      <w:r w:rsidRPr="00D93602">
        <w:rPr>
          <w:rFonts w:cs="Arial"/>
          <w:sz w:val="22"/>
        </w:rPr>
        <w:t xml:space="preserve">Published in </w:t>
      </w:r>
      <w:r w:rsidR="000E3070">
        <w:rPr>
          <w:rFonts w:cs="Arial"/>
          <w:sz w:val="22"/>
        </w:rPr>
        <w:t>December</w:t>
      </w:r>
      <w:r w:rsidRPr="00D93602">
        <w:rPr>
          <w:rFonts w:cs="Arial"/>
          <w:sz w:val="22"/>
        </w:rPr>
        <w:t xml:space="preserve"> 2013 by the National Health Committee</w:t>
      </w:r>
    </w:p>
    <w:p w:rsidR="00927C7E" w:rsidRPr="00D93602" w:rsidRDefault="00927C7E" w:rsidP="00546A6A">
      <w:pPr>
        <w:spacing w:after="0" w:line="240" w:lineRule="auto"/>
        <w:jc w:val="center"/>
        <w:rPr>
          <w:rFonts w:cs="Arial"/>
          <w:sz w:val="22"/>
        </w:rPr>
      </w:pPr>
      <w:r w:rsidRPr="00D93602">
        <w:rPr>
          <w:rFonts w:cs="Arial"/>
          <w:sz w:val="22"/>
        </w:rPr>
        <w:t>PO Bo</w:t>
      </w:r>
      <w:r w:rsidR="00546A6A" w:rsidRPr="00D93602">
        <w:rPr>
          <w:rFonts w:cs="Arial"/>
          <w:sz w:val="22"/>
        </w:rPr>
        <w:t>x 5013, Wellington, New Zealand</w:t>
      </w:r>
    </w:p>
    <w:p w:rsidR="00D93602" w:rsidRDefault="00D93602" w:rsidP="00927C7E">
      <w:pPr>
        <w:spacing w:after="0" w:line="240" w:lineRule="auto"/>
        <w:jc w:val="center"/>
        <w:rPr>
          <w:rFonts w:cs="Arial"/>
          <w:sz w:val="22"/>
        </w:rPr>
      </w:pPr>
    </w:p>
    <w:p w:rsidR="00927C7E" w:rsidRPr="00D93602" w:rsidRDefault="00927C7E" w:rsidP="00927C7E">
      <w:pPr>
        <w:spacing w:after="0" w:line="240" w:lineRule="auto"/>
        <w:jc w:val="center"/>
        <w:rPr>
          <w:rFonts w:cs="Arial"/>
          <w:sz w:val="22"/>
        </w:rPr>
      </w:pPr>
      <w:r w:rsidRPr="00D93602">
        <w:rPr>
          <w:rFonts w:cs="Arial"/>
          <w:sz w:val="22"/>
        </w:rPr>
        <w:t>This document is available on the National Health Committee’s website:</w:t>
      </w:r>
    </w:p>
    <w:p w:rsidR="00927C7E" w:rsidRPr="00D93602" w:rsidRDefault="00BD3E2A" w:rsidP="006A1BFB">
      <w:pPr>
        <w:spacing w:after="0" w:line="240" w:lineRule="auto"/>
        <w:jc w:val="center"/>
        <w:rPr>
          <w:rFonts w:cs="Arial"/>
          <w:sz w:val="22"/>
        </w:rPr>
      </w:pPr>
      <w:hyperlink r:id="rId35" w:history="1">
        <w:r w:rsidR="00927C7E" w:rsidRPr="00D93602">
          <w:rPr>
            <w:rStyle w:val="Hyperlink"/>
            <w:sz w:val="22"/>
          </w:rPr>
          <w:t>http://www.nhc.health.govt.nz/</w:t>
        </w:r>
      </w:hyperlink>
    </w:p>
    <w:p w:rsidR="00927C7E" w:rsidRPr="006424B7" w:rsidRDefault="00927C7E" w:rsidP="00927C7E">
      <w:pPr>
        <w:pStyle w:val="Heading2"/>
      </w:pPr>
      <w:bookmarkStart w:id="325" w:name="_Toc365276952"/>
      <w:r w:rsidRPr="006424B7">
        <w:t>Disclaimer</w:t>
      </w:r>
      <w:bookmarkEnd w:id="325"/>
    </w:p>
    <w:p w:rsidR="00927C7E" w:rsidRPr="00D93602" w:rsidRDefault="00927C7E" w:rsidP="00927C7E">
      <w:pPr>
        <w:spacing w:after="80" w:line="240" w:lineRule="auto"/>
        <w:rPr>
          <w:rFonts w:cs="Arial"/>
          <w:color w:val="000000"/>
          <w:sz w:val="22"/>
        </w:rPr>
      </w:pPr>
      <w:r w:rsidRPr="00D93602">
        <w:rPr>
          <w:rFonts w:cs="Arial"/>
          <w:color w:val="000000"/>
          <w:sz w:val="22"/>
        </w:rPr>
        <w:t>The information provided in this report is intended to provide general information to clinicians, health and disability service providers and the public, and is not intended to address specific circumstances of any particular individual or entity. All reasonable measures have been taken to ensure the quality and accuracy of the information provided.</w:t>
      </w:r>
    </w:p>
    <w:p w:rsidR="00927C7E" w:rsidRPr="00D93602" w:rsidRDefault="00927C7E" w:rsidP="00927C7E">
      <w:pPr>
        <w:spacing w:after="80" w:line="240" w:lineRule="auto"/>
        <w:rPr>
          <w:rFonts w:cs="Arial"/>
          <w:color w:val="000000"/>
          <w:sz w:val="22"/>
        </w:rPr>
      </w:pPr>
      <w:r w:rsidRPr="00D93602">
        <w:rPr>
          <w:rFonts w:cs="Arial"/>
          <w:color w:val="000000"/>
          <w:sz w:val="22"/>
        </w:rPr>
        <w:t>If you find any information that you believe may be inaccurate, please email to NHC_Info@nhc.govt.nz.</w:t>
      </w:r>
    </w:p>
    <w:p w:rsidR="00927C7E" w:rsidRPr="00D93602" w:rsidRDefault="00927C7E" w:rsidP="00927C7E">
      <w:pPr>
        <w:spacing w:after="80" w:line="240" w:lineRule="auto"/>
        <w:rPr>
          <w:rFonts w:cs="Arial"/>
          <w:color w:val="000000"/>
          <w:sz w:val="22"/>
        </w:rPr>
      </w:pPr>
      <w:r w:rsidRPr="00D93602">
        <w:rPr>
          <w:rFonts w:cs="Arial"/>
          <w:color w:val="000000"/>
          <w:sz w:val="22"/>
        </w:rPr>
        <w:t>The National Health Committee is an independent committee established by the Minister of Health. The information in this report is the work of the National Health Committee and does not necessarily represent the views of the Ministry of Health.</w:t>
      </w:r>
    </w:p>
    <w:p w:rsidR="00927C7E" w:rsidRPr="00D93602" w:rsidRDefault="00927C7E" w:rsidP="00927C7E">
      <w:pPr>
        <w:spacing w:after="80" w:line="240" w:lineRule="auto"/>
        <w:rPr>
          <w:rFonts w:cs="Arial"/>
          <w:color w:val="000000"/>
          <w:sz w:val="22"/>
        </w:rPr>
      </w:pPr>
      <w:r w:rsidRPr="00D93602">
        <w:rPr>
          <w:rFonts w:cs="Arial"/>
          <w:color w:val="000000"/>
          <w:sz w:val="22"/>
        </w:rPr>
        <w:t xml:space="preserve">The National Health Committee make no </w:t>
      </w:r>
      <w:proofErr w:type="gramStart"/>
      <w:r w:rsidRPr="00D93602">
        <w:rPr>
          <w:rFonts w:cs="Arial"/>
          <w:color w:val="000000"/>
          <w:sz w:val="22"/>
        </w:rPr>
        <w:t>warranty, express</w:t>
      </w:r>
      <w:proofErr w:type="gramEnd"/>
      <w:r w:rsidRPr="00D93602">
        <w:rPr>
          <w:rFonts w:cs="Arial"/>
          <w:color w:val="000000"/>
          <w:sz w:val="22"/>
        </w:rPr>
        <w:t xml:space="preserve"> or implied, nor assumes any legal liability or responsibility for the accuracy, correctness, completeness or use of any information provided.  Nothing contained in this report shall be relied on as a promise or representation by the New Zealand government or the National Health Committee.</w:t>
      </w:r>
    </w:p>
    <w:p w:rsidR="00927C7E" w:rsidRPr="00D93602" w:rsidRDefault="00927C7E" w:rsidP="00927C7E">
      <w:pPr>
        <w:spacing w:after="80" w:line="240" w:lineRule="auto"/>
        <w:rPr>
          <w:rFonts w:cs="Arial"/>
          <w:color w:val="000000"/>
          <w:sz w:val="22"/>
        </w:rPr>
      </w:pPr>
      <w:r w:rsidRPr="00D93602">
        <w:rPr>
          <w:rFonts w:cs="Arial"/>
          <w:color w:val="000000"/>
          <w:sz w:val="22"/>
        </w:rPr>
        <w:t>The contents of this report should not be construed as legal or professional advice and specific advice from qualified professional people should be sought before undertaking any action following information in this report.</w:t>
      </w:r>
    </w:p>
    <w:p w:rsidR="00927C7E" w:rsidRPr="00D93602" w:rsidRDefault="00927C7E" w:rsidP="00927C7E">
      <w:pPr>
        <w:spacing w:after="80" w:line="240" w:lineRule="auto"/>
        <w:rPr>
          <w:rFonts w:cs="Arial"/>
          <w:color w:val="000000"/>
          <w:sz w:val="22"/>
        </w:rPr>
      </w:pPr>
      <w:r w:rsidRPr="00D93602">
        <w:rPr>
          <w:rFonts w:cs="Arial"/>
          <w:color w:val="000000"/>
          <w:sz w:val="22"/>
        </w:rPr>
        <w:t>Any reference to any specific commercial product, process, or service by trade name, trademark, manufacture</w:t>
      </w:r>
      <w:r w:rsidR="00A854C9">
        <w:rPr>
          <w:rFonts w:cs="Arial"/>
          <w:color w:val="000000"/>
          <w:sz w:val="22"/>
        </w:rPr>
        <w:t>r</w:t>
      </w:r>
      <w:r w:rsidRPr="00D93602">
        <w:rPr>
          <w:rFonts w:cs="Arial"/>
          <w:color w:val="000000"/>
          <w:sz w:val="22"/>
        </w:rPr>
        <w:t>, or otherwise does not constitute an endorsement or recommendation by the New Zealand government or the National Health Committee.</w:t>
      </w:r>
    </w:p>
    <w:p w:rsidR="00793A70" w:rsidRPr="006A1BFB" w:rsidRDefault="00927C7E" w:rsidP="00A2470D">
      <w:pPr>
        <w:spacing w:before="720"/>
        <w:jc w:val="center"/>
        <w:rPr>
          <w:b/>
          <w:color w:val="000000"/>
          <w:sz w:val="16"/>
          <w:szCs w:val="16"/>
        </w:rPr>
      </w:pPr>
      <w:r>
        <w:rPr>
          <w:noProof/>
          <w:color w:val="000000"/>
          <w:lang w:eastAsia="en-NZ"/>
        </w:rPr>
        <w:drawing>
          <wp:anchor distT="0" distB="0" distL="114300" distR="114300" simplePos="0" relativeHeight="251659264" behindDoc="1" locked="0" layoutInCell="1" allowOverlap="1" wp14:anchorId="13BD2AC8" wp14:editId="5B1EECC8">
            <wp:simplePos x="0" y="0"/>
            <wp:positionH relativeFrom="column">
              <wp:posOffset>2128520</wp:posOffset>
            </wp:positionH>
            <wp:positionV relativeFrom="paragraph">
              <wp:posOffset>118745</wp:posOffset>
            </wp:positionV>
            <wp:extent cx="1400175" cy="742950"/>
            <wp:effectExtent l="0" t="0" r="9525" b="0"/>
            <wp:wrapTight wrapText="bothSides">
              <wp:wrapPolygon edited="0">
                <wp:start x="0" y="0"/>
                <wp:lineTo x="0" y="21046"/>
                <wp:lineTo x="21453" y="21046"/>
                <wp:lineTo x="21453" y="0"/>
                <wp:lineTo x="0" y="0"/>
              </wp:wrapPolygon>
            </wp:wrapTight>
            <wp:docPr id="7" name="Picture 7" descr="Description: Description: N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NHC"/>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01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93A70" w:rsidRPr="006A1BFB" w:rsidSect="00D93602">
      <w:pgSz w:w="11906" w:h="16838"/>
      <w:pgMar w:top="1134" w:right="1440"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2A" w:rsidRDefault="00BD3E2A" w:rsidP="00927C7E">
      <w:pPr>
        <w:spacing w:after="0" w:line="240" w:lineRule="auto"/>
      </w:pPr>
      <w:r>
        <w:separator/>
      </w:r>
    </w:p>
  </w:endnote>
  <w:endnote w:type="continuationSeparator" w:id="0">
    <w:p w:rsidR="00BD3E2A" w:rsidRDefault="00BD3E2A" w:rsidP="0092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Mäori">
    <w:altName w:val="Arial"/>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85" w:rsidRDefault="00E96985">
    <w:pPr>
      <w:pStyle w:val="Footer"/>
    </w:pPr>
  </w:p>
  <w:p w:rsidR="00E96985" w:rsidRDefault="00E96985"/>
  <w:p w:rsidR="00E96985" w:rsidRDefault="00E96985"/>
  <w:p w:rsidR="00E96985" w:rsidRDefault="00E96985"/>
  <w:p w:rsidR="00E96985" w:rsidRDefault="00E96985"/>
  <w:p w:rsidR="00E96985" w:rsidRDefault="00E96985"/>
  <w:p w:rsidR="00E96985" w:rsidRDefault="00E969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85" w:rsidRPr="00FF33DC" w:rsidRDefault="00E96985" w:rsidP="00FF33DC">
    <w:pPr>
      <w:pStyle w:val="Footer"/>
      <w:jc w:val="center"/>
      <w:rPr>
        <w:sz w:val="20"/>
        <w:szCs w:val="20"/>
      </w:rPr>
    </w:pPr>
    <w:r w:rsidRPr="0060049D">
      <w:rPr>
        <w:color w:val="23532C"/>
        <w:sz w:val="20"/>
        <w:szCs w:val="20"/>
      </w:rPr>
      <w:t>Cardiovascular Disease in New Zealand</w:t>
    </w:r>
    <w:r w:rsidRPr="0060049D">
      <w:rPr>
        <w:sz w:val="20"/>
        <w:szCs w:val="20"/>
      </w:rPr>
      <w:tab/>
    </w:r>
    <w:r w:rsidRPr="0060049D">
      <w:rPr>
        <w:rStyle w:val="PageNumber"/>
        <w:color w:val="1F6121"/>
        <w:sz w:val="20"/>
        <w:szCs w:val="20"/>
      </w:rPr>
      <w:fldChar w:fldCharType="begin"/>
    </w:r>
    <w:r w:rsidRPr="0060049D">
      <w:rPr>
        <w:rStyle w:val="PageNumber"/>
        <w:color w:val="1F6121"/>
        <w:sz w:val="20"/>
        <w:szCs w:val="20"/>
      </w:rPr>
      <w:instrText xml:space="preserve"> PAGE </w:instrText>
    </w:r>
    <w:r w:rsidRPr="0060049D">
      <w:rPr>
        <w:rStyle w:val="PageNumber"/>
        <w:color w:val="1F6121"/>
        <w:sz w:val="20"/>
        <w:szCs w:val="20"/>
      </w:rPr>
      <w:fldChar w:fldCharType="separate"/>
    </w:r>
    <w:r w:rsidR="008676D3">
      <w:rPr>
        <w:rStyle w:val="PageNumber"/>
        <w:noProof/>
        <w:color w:val="1F6121"/>
        <w:sz w:val="20"/>
        <w:szCs w:val="20"/>
      </w:rPr>
      <w:t>44</w:t>
    </w:r>
    <w:r w:rsidRPr="0060049D">
      <w:rPr>
        <w:rStyle w:val="PageNumber"/>
        <w:color w:val="1F6121"/>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85" w:rsidRPr="00FF33DC" w:rsidRDefault="00E96985" w:rsidP="00FF33DC">
    <w:pPr>
      <w:pStyle w:val="Footer"/>
      <w:jc w:val="center"/>
      <w:rPr>
        <w:color w:val="1F6121"/>
        <w:sz w:val="20"/>
        <w:szCs w:val="20"/>
      </w:rPr>
    </w:pPr>
    <w:r w:rsidRPr="0060049D">
      <w:rPr>
        <w:color w:val="23532C"/>
        <w:sz w:val="20"/>
        <w:szCs w:val="20"/>
      </w:rPr>
      <w:t>Cardiovascular Disease in New Zealand</w:t>
    </w:r>
    <w:r w:rsidRPr="0060049D">
      <w:rPr>
        <w:color w:val="1F6121"/>
        <w:sz w:val="20"/>
        <w:szCs w:val="20"/>
      </w:rPr>
      <w:tab/>
    </w:r>
    <w:r w:rsidRPr="0060049D">
      <w:rPr>
        <w:rStyle w:val="PageNumber"/>
        <w:color w:val="1F6121"/>
        <w:sz w:val="20"/>
        <w:szCs w:val="20"/>
      </w:rPr>
      <w:fldChar w:fldCharType="begin"/>
    </w:r>
    <w:r w:rsidRPr="0060049D">
      <w:rPr>
        <w:rStyle w:val="PageNumber"/>
        <w:color w:val="1F6121"/>
        <w:sz w:val="20"/>
        <w:szCs w:val="20"/>
      </w:rPr>
      <w:instrText xml:space="preserve"> PAGE </w:instrText>
    </w:r>
    <w:r w:rsidRPr="0060049D">
      <w:rPr>
        <w:rStyle w:val="PageNumber"/>
        <w:color w:val="1F6121"/>
        <w:sz w:val="20"/>
        <w:szCs w:val="20"/>
      </w:rPr>
      <w:fldChar w:fldCharType="separate"/>
    </w:r>
    <w:r w:rsidR="008676D3">
      <w:rPr>
        <w:rStyle w:val="PageNumber"/>
        <w:noProof/>
        <w:color w:val="1F6121"/>
        <w:sz w:val="20"/>
        <w:szCs w:val="20"/>
      </w:rPr>
      <w:t>1</w:t>
    </w:r>
    <w:r w:rsidRPr="0060049D">
      <w:rPr>
        <w:rStyle w:val="PageNumber"/>
        <w:color w:val="1F612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2A" w:rsidRDefault="00BD3E2A" w:rsidP="00927C7E">
      <w:pPr>
        <w:spacing w:after="0" w:line="240" w:lineRule="auto"/>
      </w:pPr>
      <w:r>
        <w:separator/>
      </w:r>
    </w:p>
  </w:footnote>
  <w:footnote w:type="continuationSeparator" w:id="0">
    <w:p w:rsidR="00BD3E2A" w:rsidRDefault="00BD3E2A" w:rsidP="00927C7E">
      <w:pPr>
        <w:spacing w:after="0" w:line="240" w:lineRule="auto"/>
      </w:pPr>
      <w:r>
        <w:continuationSeparator/>
      </w:r>
    </w:p>
  </w:footnote>
  <w:footnote w:id="1">
    <w:p w:rsidR="00E96985" w:rsidRPr="00365A3A" w:rsidRDefault="00E96985">
      <w:pPr>
        <w:pStyle w:val="FootnoteText"/>
        <w:rPr>
          <w:sz w:val="18"/>
          <w:szCs w:val="18"/>
        </w:rPr>
      </w:pPr>
      <w:r w:rsidRPr="00365A3A">
        <w:rPr>
          <w:rStyle w:val="FootnoteReference"/>
          <w:sz w:val="18"/>
          <w:szCs w:val="18"/>
        </w:rPr>
        <w:footnoteRef/>
      </w:r>
      <w:r w:rsidRPr="00365A3A">
        <w:rPr>
          <w:sz w:val="18"/>
          <w:szCs w:val="18"/>
        </w:rPr>
        <w:t xml:space="preserve"> </w:t>
      </w:r>
      <w:r w:rsidRPr="00A2470D">
        <w:rPr>
          <w:sz w:val="16"/>
          <w:szCs w:val="16"/>
        </w:rPr>
        <w:t>Using the National Minimum Data Set, this includes inpatient and day patient public casemix hospitalisations, see the Hospital Events section below for further detail.</w:t>
      </w:r>
    </w:p>
  </w:footnote>
  <w:footnote w:id="2">
    <w:p w:rsidR="00E96985" w:rsidRDefault="00E96985">
      <w:pPr>
        <w:pStyle w:val="FootnoteText"/>
      </w:pPr>
      <w:r>
        <w:rPr>
          <w:rStyle w:val="FootnoteReference"/>
        </w:rPr>
        <w:footnoteRef/>
      </w:r>
      <w:r>
        <w:t xml:space="preserve"> </w:t>
      </w:r>
      <w:r w:rsidRPr="00A2470D">
        <w:rPr>
          <w:sz w:val="16"/>
          <w:szCs w:val="16"/>
        </w:rPr>
        <w:t>May be an over-estimate since other conditions (i.e. proteinuria, some liver diseases, etc.) also require HTN medications</w:t>
      </w:r>
    </w:p>
  </w:footnote>
  <w:footnote w:id="3">
    <w:p w:rsidR="00E96985" w:rsidRDefault="00E96985">
      <w:pPr>
        <w:pStyle w:val="FootnoteText"/>
      </w:pPr>
      <w:r>
        <w:rPr>
          <w:rStyle w:val="FootnoteReference"/>
        </w:rPr>
        <w:footnoteRef/>
      </w:r>
      <w:r>
        <w:t xml:space="preserve"> </w:t>
      </w:r>
      <w:r w:rsidRPr="00FE7190">
        <w:rPr>
          <w:sz w:val="16"/>
          <w:szCs w:val="16"/>
        </w:rPr>
        <w:t>For more information, see the Public Health section of this report</w:t>
      </w:r>
    </w:p>
  </w:footnote>
  <w:footnote w:id="4">
    <w:p w:rsidR="00E96985" w:rsidRDefault="00E96985">
      <w:pPr>
        <w:pStyle w:val="FootnoteText"/>
      </w:pPr>
      <w:r>
        <w:rPr>
          <w:rStyle w:val="FootnoteReference"/>
        </w:rPr>
        <w:footnoteRef/>
      </w:r>
      <w:r>
        <w:t xml:space="preserve"> </w:t>
      </w:r>
      <w:r w:rsidRPr="00017FF7">
        <w:rPr>
          <w:sz w:val="16"/>
          <w:szCs w:val="16"/>
        </w:rPr>
        <w:t xml:space="preserve">Available at </w:t>
      </w:r>
      <w:r w:rsidRPr="00692C4B">
        <w:rPr>
          <w:sz w:val="16"/>
          <w:szCs w:val="16"/>
        </w:rPr>
        <w:t>http://nhc.health.govt.nz/committee-publications/new-and-emerging-cardiac-technologies-australian-and-new-zealand-public</w:t>
      </w:r>
    </w:p>
  </w:footnote>
  <w:footnote w:id="5">
    <w:p w:rsidR="00E96985" w:rsidRDefault="00E96985" w:rsidP="00043E90">
      <w:pPr>
        <w:pStyle w:val="FootnoteText"/>
      </w:pPr>
      <w:r>
        <w:rPr>
          <w:rStyle w:val="FootnoteReference"/>
        </w:rPr>
        <w:footnoteRef/>
      </w:r>
      <w:r>
        <w:t xml:space="preserve"> </w:t>
      </w:r>
      <w:r w:rsidRPr="00D23B03">
        <w:rPr>
          <w:sz w:val="16"/>
          <w:szCs w:val="16"/>
        </w:rPr>
        <w:t>A base popula</w:t>
      </w:r>
      <w:r>
        <w:rPr>
          <w:sz w:val="16"/>
          <w:szCs w:val="16"/>
        </w:rPr>
        <w:t xml:space="preserve">tion of 4,405,200 was assumed.  Source: </w:t>
      </w:r>
      <w:r>
        <w:rPr>
          <w:sz w:val="16"/>
          <w:szCs w:val="16"/>
        </w:rPr>
        <w:fldChar w:fldCharType="begin"/>
      </w:r>
      <w:r w:rsidR="001418E1">
        <w:rPr>
          <w:sz w:val="16"/>
          <w:szCs w:val="16"/>
        </w:rPr>
        <w:instrText xml:space="preserve"> ADDIN EN.CITE &lt;EndNote&gt;&lt;Cite&gt;&lt;Author&gt;Statistics New Zealand&lt;/Author&gt;&lt;Year&gt;2012&lt;/Year&gt;&lt;RecNum&gt;42&lt;/RecNum&gt;&lt;DisplayText&gt;25.&amp;#x9;Statistics New Zealand. National Population Estimates. Wellington 2012.&lt;/DisplayText&gt;&lt;record&gt;&lt;rec-number&gt;42&lt;/rec-number&gt;&lt;foreign-keys&gt;&lt;key app="EN" db-id="paxef0v91tx5e7eaev8xxf2xd92zvrfrv592"&gt;42&lt;/key&gt;&lt;/foreign-keys&gt;&lt;ref-type name="Dataset"&gt;59&lt;/ref-type&gt;&lt;contributors&gt;&lt;authors&gt;&lt;author&gt;Statistics New Zealand,&lt;/author&gt;&lt;/authors&gt;&lt;/contributors&gt;&lt;titles&gt;&lt;title&gt;National Population Estimates&lt;/title&gt;&lt;/titles&gt;&lt;dates&gt;&lt;year&gt;2012&lt;/year&gt;&lt;/dates&gt;&lt;pub-location&gt;Wellington &lt;/pub-location&gt;&lt;urls&gt;&lt;/urls&gt;&lt;/record&gt;&lt;/Cite&gt;&lt;/EndNote&gt;</w:instrText>
      </w:r>
      <w:r>
        <w:rPr>
          <w:sz w:val="16"/>
          <w:szCs w:val="16"/>
        </w:rPr>
        <w:fldChar w:fldCharType="separate"/>
      </w:r>
      <w:r w:rsidR="001418E1">
        <w:rPr>
          <w:noProof/>
          <w:sz w:val="16"/>
          <w:szCs w:val="16"/>
        </w:rPr>
        <w:t>25.</w:t>
      </w:r>
      <w:r w:rsidR="001418E1">
        <w:rPr>
          <w:noProof/>
          <w:sz w:val="16"/>
          <w:szCs w:val="16"/>
        </w:rPr>
        <w:tab/>
        <w:t>Statistics New Zealand. National Population Estimates. Wellington 2012.</w:t>
      </w:r>
      <w:r>
        <w:rPr>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85" w:rsidRDefault="00E96985">
    <w:pPr>
      <w:pStyle w:val="Header"/>
    </w:pPr>
  </w:p>
  <w:p w:rsidR="00E96985" w:rsidRDefault="00E96985"/>
  <w:p w:rsidR="00E96985" w:rsidRDefault="00E96985"/>
  <w:p w:rsidR="00E96985" w:rsidRDefault="00E96985"/>
  <w:p w:rsidR="00E96985" w:rsidRDefault="00E96985"/>
  <w:p w:rsidR="00E96985" w:rsidRDefault="00E96985"/>
  <w:p w:rsidR="00E96985" w:rsidRDefault="00E969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85" w:rsidRDefault="00E96985" w:rsidP="00FF33DC">
    <w:pPr>
      <w:pStyle w:val="Header"/>
      <w:spacing w:after="360"/>
      <w:ind w:right="-2"/>
    </w:pPr>
    <w:r>
      <w:rPr>
        <w:noProof/>
        <w:lang w:eastAsia="en-NZ"/>
      </w:rPr>
      <mc:AlternateContent>
        <mc:Choice Requires="wpg">
          <w:drawing>
            <wp:anchor distT="0" distB="0" distL="114300" distR="114300" simplePos="0" relativeHeight="251659264" behindDoc="0" locked="0" layoutInCell="1" allowOverlap="1" wp14:anchorId="038ACC86" wp14:editId="7ED4D1F2">
              <wp:simplePos x="0" y="0"/>
              <wp:positionH relativeFrom="page">
                <wp:align>center</wp:align>
              </wp:positionH>
              <wp:positionV relativeFrom="paragraph">
                <wp:posOffset>34925</wp:posOffset>
              </wp:positionV>
              <wp:extent cx="6210000" cy="820800"/>
              <wp:effectExtent l="0" t="0" r="19685" b="17780"/>
              <wp:wrapNone/>
              <wp:docPr id="10" name="Group 10"/>
              <wp:cNvGraphicFramePr/>
              <a:graphic xmlns:a="http://schemas.openxmlformats.org/drawingml/2006/main">
                <a:graphicData uri="http://schemas.microsoft.com/office/word/2010/wordprocessingGroup">
                  <wpg:wgp>
                    <wpg:cNvGrpSpPr/>
                    <wpg:grpSpPr>
                      <a:xfrm>
                        <a:off x="0" y="0"/>
                        <a:ext cx="6210000" cy="820800"/>
                        <a:chOff x="0" y="0"/>
                        <a:chExt cx="6610350" cy="819150"/>
                      </a:xfrm>
                    </wpg:grpSpPr>
                    <wps:wsp>
                      <wps:cNvPr id="2" name="Rectangle 1"/>
                      <wps:cNvSpPr>
                        <a:spLocks noChangeArrowheads="1"/>
                      </wps:cNvSpPr>
                      <wps:spPr bwMode="auto">
                        <a:xfrm>
                          <a:off x="0" y="0"/>
                          <a:ext cx="6610350" cy="817880"/>
                        </a:xfrm>
                        <a:prstGeom prst="rect">
                          <a:avLst/>
                        </a:prstGeom>
                        <a:gradFill rotWithShape="1">
                          <a:gsLst>
                            <a:gs pos="0">
                              <a:srgbClr val="1F6121"/>
                            </a:gs>
                            <a:gs pos="100000">
                              <a:srgbClr val="1F6121">
                                <a:gamma/>
                                <a:shade val="46275"/>
                                <a:invGamma/>
                              </a:srgbClr>
                            </a:gs>
                          </a:gsLst>
                          <a:lin ang="2700000" scaled="1"/>
                        </a:gradFill>
                        <a:ln w="9525">
                          <a:solidFill>
                            <a:srgbClr val="1F6121"/>
                          </a:solidFill>
                          <a:miter lim="800000"/>
                          <a:headEnd/>
                          <a:tailEnd/>
                        </a:ln>
                      </wps:spPr>
                      <wps:bodyPr rot="0" vert="horz" wrap="square" lIns="91440" tIns="45720" rIns="91440" bIns="45720" anchor="t" anchorCtr="0" upright="1">
                        <a:noAutofit/>
                      </wps:bodyPr>
                    </wps:wsp>
                    <pic:pic xmlns:pic="http://schemas.openxmlformats.org/drawingml/2006/picture">
                      <pic:nvPicPr>
                        <pic:cNvPr id="7" name="Picture 1" descr="Description: NH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00650" y="0"/>
                          <a:ext cx="1409700" cy="819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0;margin-top:2.75pt;width:489pt;height:64.65pt;z-index:251659264;mso-position-horizontal:center;mso-position-horizontal-relative:page;mso-width-relative:margin;mso-height-relative:margin" coordsize="66103,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">
              <v:rect id="Rectangle 1" o:spid="_x0000_s1027" style="position:absolute;width:66103;height:8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r+8AA&#10;AADaAAAADwAAAGRycy9kb3ducmV2LnhtbESPQYvCMBSE7wv+h/AEb2uqiEg1iiiC4KVWPXh7NM+2&#10;2LyUJNr67zcLC3scZuYbZrXpTSPe5HxtWcFknIAgLqyuuVRwvRy+FyB8QNbYWCYFH/KwWQ++Vphq&#10;2/GZ3nkoRYSwT1FBFUKbSumLigz6sW2Jo/ewzmCI0pVSO+wi3DRymiRzabDmuFBhS7uKimf+Mgo6&#10;82gpm+1nHWd3l2en4vbaeaVGw367BBGoD//hv/ZRK5jC75V4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mr+8AAAADaAAAADwAAAAAAAAAAAAAAAACYAgAAZHJzL2Rvd25y&#10;ZXYueG1sUEsFBgAAAAAEAAQA9QAAAIUDAAAAAA==&#10;" fillcolor="#1f6121" strokecolor="#1f6121">
                <v:fill color2="#0e2d0f" rotate="t" angle="45"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NHC" style="position:absolute;left:52006;width:14097;height:8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G/NPDAAAA2gAAAA8AAABkcnMvZG93bnJldi54bWxEj0FrAjEUhO9C/0N4Qm+aVdHKapTSWhBv&#10;awvq7bl53SzdvCxJqtt/bwShx2FmvmGW68424kI+1I4VjIYZCOLS6ZorBV+fH4M5iBCRNTaOScEf&#10;BVivnnpLzLW7ckGXfaxEgnDIUYGJsc2lDKUhi2HoWuLkfTtvMSbpK6k9XhPcNnKcZTNpsea0YLCl&#10;N0Plz/7XKijeC/LlbDLe8PZ4OpzNdLObTJV67nevCxCRuvgffrS3WsEL3K+kGy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4b808MAAADaAAAADwAAAAAAAAAAAAAAAACf&#10;AgAAZHJzL2Rvd25yZXYueG1sUEsFBgAAAAAEAAQA9wAAAI8DAAAAAA==&#10;">
                <v:imagedata r:id="rId2" o:title=" NHC"/>
                <v:path arrowok="t"/>
              </v:shape>
              <w10:wrap anchorx="page"/>
            </v:group>
          </w:pict>
        </mc:Fallback>
      </mc:AlternateContent>
    </w:r>
  </w:p>
  <w:p w:rsidR="00E96985" w:rsidRDefault="00E969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B02"/>
    <w:multiLevelType w:val="multilevel"/>
    <w:tmpl w:val="3ECA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310A1"/>
    <w:multiLevelType w:val="multilevel"/>
    <w:tmpl w:val="280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D62F3"/>
    <w:multiLevelType w:val="multilevel"/>
    <w:tmpl w:val="85BCF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9929A7"/>
    <w:multiLevelType w:val="multilevel"/>
    <w:tmpl w:val="5E40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B53C8"/>
    <w:multiLevelType w:val="hybridMultilevel"/>
    <w:tmpl w:val="DBD65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C3D6870"/>
    <w:multiLevelType w:val="multilevel"/>
    <w:tmpl w:val="A60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42720"/>
    <w:multiLevelType w:val="hybridMultilevel"/>
    <w:tmpl w:val="5530AE66"/>
    <w:lvl w:ilvl="0" w:tplc="14090001">
      <w:start w:val="1"/>
      <w:numFmt w:val="bullet"/>
      <w:lvlText w:val=""/>
      <w:lvlJc w:val="left"/>
      <w:pPr>
        <w:ind w:left="4326" w:hanging="360"/>
      </w:pPr>
      <w:rPr>
        <w:rFonts w:ascii="Symbol" w:hAnsi="Symbol" w:hint="default"/>
      </w:rPr>
    </w:lvl>
    <w:lvl w:ilvl="1" w:tplc="14090003" w:tentative="1">
      <w:start w:val="1"/>
      <w:numFmt w:val="bullet"/>
      <w:lvlText w:val="o"/>
      <w:lvlJc w:val="left"/>
      <w:pPr>
        <w:ind w:left="5046" w:hanging="360"/>
      </w:pPr>
      <w:rPr>
        <w:rFonts w:ascii="Courier New" w:hAnsi="Courier New" w:cs="Courier New" w:hint="default"/>
      </w:rPr>
    </w:lvl>
    <w:lvl w:ilvl="2" w:tplc="14090005" w:tentative="1">
      <w:start w:val="1"/>
      <w:numFmt w:val="bullet"/>
      <w:lvlText w:val=""/>
      <w:lvlJc w:val="left"/>
      <w:pPr>
        <w:ind w:left="5766" w:hanging="360"/>
      </w:pPr>
      <w:rPr>
        <w:rFonts w:ascii="Wingdings" w:hAnsi="Wingdings" w:hint="default"/>
      </w:rPr>
    </w:lvl>
    <w:lvl w:ilvl="3" w:tplc="14090001" w:tentative="1">
      <w:start w:val="1"/>
      <w:numFmt w:val="bullet"/>
      <w:lvlText w:val=""/>
      <w:lvlJc w:val="left"/>
      <w:pPr>
        <w:ind w:left="6486" w:hanging="360"/>
      </w:pPr>
      <w:rPr>
        <w:rFonts w:ascii="Symbol" w:hAnsi="Symbol" w:hint="default"/>
      </w:rPr>
    </w:lvl>
    <w:lvl w:ilvl="4" w:tplc="14090003" w:tentative="1">
      <w:start w:val="1"/>
      <w:numFmt w:val="bullet"/>
      <w:lvlText w:val="o"/>
      <w:lvlJc w:val="left"/>
      <w:pPr>
        <w:ind w:left="7206" w:hanging="360"/>
      </w:pPr>
      <w:rPr>
        <w:rFonts w:ascii="Courier New" w:hAnsi="Courier New" w:cs="Courier New" w:hint="default"/>
      </w:rPr>
    </w:lvl>
    <w:lvl w:ilvl="5" w:tplc="14090005" w:tentative="1">
      <w:start w:val="1"/>
      <w:numFmt w:val="bullet"/>
      <w:lvlText w:val=""/>
      <w:lvlJc w:val="left"/>
      <w:pPr>
        <w:ind w:left="7926" w:hanging="360"/>
      </w:pPr>
      <w:rPr>
        <w:rFonts w:ascii="Wingdings" w:hAnsi="Wingdings" w:hint="default"/>
      </w:rPr>
    </w:lvl>
    <w:lvl w:ilvl="6" w:tplc="14090001" w:tentative="1">
      <w:start w:val="1"/>
      <w:numFmt w:val="bullet"/>
      <w:lvlText w:val=""/>
      <w:lvlJc w:val="left"/>
      <w:pPr>
        <w:ind w:left="8646" w:hanging="360"/>
      </w:pPr>
      <w:rPr>
        <w:rFonts w:ascii="Symbol" w:hAnsi="Symbol" w:hint="default"/>
      </w:rPr>
    </w:lvl>
    <w:lvl w:ilvl="7" w:tplc="14090003" w:tentative="1">
      <w:start w:val="1"/>
      <w:numFmt w:val="bullet"/>
      <w:lvlText w:val="o"/>
      <w:lvlJc w:val="left"/>
      <w:pPr>
        <w:ind w:left="9366" w:hanging="360"/>
      </w:pPr>
      <w:rPr>
        <w:rFonts w:ascii="Courier New" w:hAnsi="Courier New" w:cs="Courier New" w:hint="default"/>
      </w:rPr>
    </w:lvl>
    <w:lvl w:ilvl="8" w:tplc="14090005" w:tentative="1">
      <w:start w:val="1"/>
      <w:numFmt w:val="bullet"/>
      <w:lvlText w:val=""/>
      <w:lvlJc w:val="left"/>
      <w:pPr>
        <w:ind w:left="10086" w:hanging="360"/>
      </w:pPr>
      <w:rPr>
        <w:rFonts w:ascii="Wingdings" w:hAnsi="Wingdings" w:hint="default"/>
      </w:rPr>
    </w:lvl>
  </w:abstractNum>
  <w:abstractNum w:abstractNumId="7">
    <w:nsid w:val="358D2ED3"/>
    <w:multiLevelType w:val="multilevel"/>
    <w:tmpl w:val="0A58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12184"/>
    <w:multiLevelType w:val="hybridMultilevel"/>
    <w:tmpl w:val="DD9438A4"/>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9">
    <w:nsid w:val="3CC930B9"/>
    <w:multiLevelType w:val="hybridMultilevel"/>
    <w:tmpl w:val="B3869EAE"/>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0">
    <w:nsid w:val="42685CE4"/>
    <w:multiLevelType w:val="hybridMultilevel"/>
    <w:tmpl w:val="ACA01A32"/>
    <w:lvl w:ilvl="0" w:tplc="14090001">
      <w:start w:val="1"/>
      <w:numFmt w:val="bullet"/>
      <w:lvlText w:val=""/>
      <w:lvlJc w:val="left"/>
      <w:pPr>
        <w:ind w:left="4326" w:hanging="360"/>
      </w:pPr>
      <w:rPr>
        <w:rFonts w:ascii="Symbol" w:hAnsi="Symbol" w:hint="default"/>
      </w:rPr>
    </w:lvl>
    <w:lvl w:ilvl="1" w:tplc="14090003" w:tentative="1">
      <w:start w:val="1"/>
      <w:numFmt w:val="bullet"/>
      <w:lvlText w:val="o"/>
      <w:lvlJc w:val="left"/>
      <w:pPr>
        <w:ind w:left="5046" w:hanging="360"/>
      </w:pPr>
      <w:rPr>
        <w:rFonts w:ascii="Courier New" w:hAnsi="Courier New" w:cs="Courier New" w:hint="default"/>
      </w:rPr>
    </w:lvl>
    <w:lvl w:ilvl="2" w:tplc="14090005" w:tentative="1">
      <w:start w:val="1"/>
      <w:numFmt w:val="bullet"/>
      <w:lvlText w:val=""/>
      <w:lvlJc w:val="left"/>
      <w:pPr>
        <w:ind w:left="5766" w:hanging="360"/>
      </w:pPr>
      <w:rPr>
        <w:rFonts w:ascii="Wingdings" w:hAnsi="Wingdings" w:hint="default"/>
      </w:rPr>
    </w:lvl>
    <w:lvl w:ilvl="3" w:tplc="14090001" w:tentative="1">
      <w:start w:val="1"/>
      <w:numFmt w:val="bullet"/>
      <w:lvlText w:val=""/>
      <w:lvlJc w:val="left"/>
      <w:pPr>
        <w:ind w:left="6486" w:hanging="360"/>
      </w:pPr>
      <w:rPr>
        <w:rFonts w:ascii="Symbol" w:hAnsi="Symbol" w:hint="default"/>
      </w:rPr>
    </w:lvl>
    <w:lvl w:ilvl="4" w:tplc="14090003" w:tentative="1">
      <w:start w:val="1"/>
      <w:numFmt w:val="bullet"/>
      <w:lvlText w:val="o"/>
      <w:lvlJc w:val="left"/>
      <w:pPr>
        <w:ind w:left="7206" w:hanging="360"/>
      </w:pPr>
      <w:rPr>
        <w:rFonts w:ascii="Courier New" w:hAnsi="Courier New" w:cs="Courier New" w:hint="default"/>
      </w:rPr>
    </w:lvl>
    <w:lvl w:ilvl="5" w:tplc="14090005" w:tentative="1">
      <w:start w:val="1"/>
      <w:numFmt w:val="bullet"/>
      <w:lvlText w:val=""/>
      <w:lvlJc w:val="left"/>
      <w:pPr>
        <w:ind w:left="7926" w:hanging="360"/>
      </w:pPr>
      <w:rPr>
        <w:rFonts w:ascii="Wingdings" w:hAnsi="Wingdings" w:hint="default"/>
      </w:rPr>
    </w:lvl>
    <w:lvl w:ilvl="6" w:tplc="14090001" w:tentative="1">
      <w:start w:val="1"/>
      <w:numFmt w:val="bullet"/>
      <w:lvlText w:val=""/>
      <w:lvlJc w:val="left"/>
      <w:pPr>
        <w:ind w:left="8646" w:hanging="360"/>
      </w:pPr>
      <w:rPr>
        <w:rFonts w:ascii="Symbol" w:hAnsi="Symbol" w:hint="default"/>
      </w:rPr>
    </w:lvl>
    <w:lvl w:ilvl="7" w:tplc="14090003" w:tentative="1">
      <w:start w:val="1"/>
      <w:numFmt w:val="bullet"/>
      <w:lvlText w:val="o"/>
      <w:lvlJc w:val="left"/>
      <w:pPr>
        <w:ind w:left="9366" w:hanging="360"/>
      </w:pPr>
      <w:rPr>
        <w:rFonts w:ascii="Courier New" w:hAnsi="Courier New" w:cs="Courier New" w:hint="default"/>
      </w:rPr>
    </w:lvl>
    <w:lvl w:ilvl="8" w:tplc="14090005" w:tentative="1">
      <w:start w:val="1"/>
      <w:numFmt w:val="bullet"/>
      <w:lvlText w:val=""/>
      <w:lvlJc w:val="left"/>
      <w:pPr>
        <w:ind w:left="10086" w:hanging="360"/>
      </w:pPr>
      <w:rPr>
        <w:rFonts w:ascii="Wingdings" w:hAnsi="Wingdings" w:hint="default"/>
      </w:rPr>
    </w:lvl>
  </w:abstractNum>
  <w:abstractNum w:abstractNumId="11">
    <w:nsid w:val="58237850"/>
    <w:multiLevelType w:val="hybridMultilevel"/>
    <w:tmpl w:val="AA68C360"/>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2">
    <w:nsid w:val="654C676A"/>
    <w:multiLevelType w:val="hybridMultilevel"/>
    <w:tmpl w:val="1EE6DEFA"/>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3">
    <w:nsid w:val="72C841BE"/>
    <w:multiLevelType w:val="hybridMultilevel"/>
    <w:tmpl w:val="D5A0D2D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num w:numId="1">
    <w:abstractNumId w:val="9"/>
  </w:num>
  <w:num w:numId="2">
    <w:abstractNumId w:val="8"/>
  </w:num>
  <w:num w:numId="3">
    <w:abstractNumId w:val="10"/>
  </w:num>
  <w:num w:numId="4">
    <w:abstractNumId w:val="6"/>
  </w:num>
  <w:num w:numId="5">
    <w:abstractNumId w:val="11"/>
  </w:num>
  <w:num w:numId="6">
    <w:abstractNumId w:val="12"/>
  </w:num>
  <w:num w:numId="7">
    <w:abstractNumId w:val="5"/>
  </w:num>
  <w:num w:numId="8">
    <w:abstractNumId w:val="1"/>
  </w:num>
  <w:num w:numId="9">
    <w:abstractNumId w:val="7"/>
  </w:num>
  <w:num w:numId="10">
    <w:abstractNumId w:val="0"/>
  </w:num>
  <w:num w:numId="11">
    <w:abstractNumId w:val="3"/>
  </w:num>
  <w:num w:numId="12">
    <w:abstractNumId w:val="4"/>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HC Reference Style &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axef0v91tx5e7eaev8xxf2xd92zvrfrv592&quot;&gt;My EndNote Library&lt;record-ids&gt;&lt;item&gt;21&lt;/item&gt;&lt;item&gt;42&lt;/item&gt;&lt;item&gt;657&lt;/item&gt;&lt;item&gt;678&lt;/item&gt;&lt;item&gt;709&lt;/item&gt;&lt;item&gt;710&lt;/item&gt;&lt;item&gt;711&lt;/item&gt;&lt;item&gt;713&lt;/item&gt;&lt;item&gt;724&lt;/item&gt;&lt;item&gt;726&lt;/item&gt;&lt;item&gt;727&lt;/item&gt;&lt;item&gt;729&lt;/item&gt;&lt;item&gt;730&lt;/item&gt;&lt;item&gt;731&lt;/item&gt;&lt;item&gt;739&lt;/item&gt;&lt;item&gt;742&lt;/item&gt;&lt;item&gt;743&lt;/item&gt;&lt;item&gt;753&lt;/item&gt;&lt;item&gt;754&lt;/item&gt;&lt;item&gt;829&lt;/item&gt;&lt;item&gt;830&lt;/item&gt;&lt;item&gt;831&lt;/item&gt;&lt;item&gt;832&lt;/item&gt;&lt;item&gt;833&lt;/item&gt;&lt;item&gt;834&lt;/item&gt;&lt;item&gt;835&lt;/item&gt;&lt;item&gt;836&lt;/item&gt;&lt;/record-ids&gt;&lt;/item&gt;&lt;/Libraries&gt;"/>
  </w:docVars>
  <w:rsids>
    <w:rsidRoot w:val="00793A70"/>
    <w:rsid w:val="00007C74"/>
    <w:rsid w:val="0001095A"/>
    <w:rsid w:val="00013C45"/>
    <w:rsid w:val="000153CB"/>
    <w:rsid w:val="00017FF7"/>
    <w:rsid w:val="00025690"/>
    <w:rsid w:val="00031A90"/>
    <w:rsid w:val="00043E90"/>
    <w:rsid w:val="0004432E"/>
    <w:rsid w:val="000533FE"/>
    <w:rsid w:val="00062971"/>
    <w:rsid w:val="000672CB"/>
    <w:rsid w:val="00074FDD"/>
    <w:rsid w:val="00082382"/>
    <w:rsid w:val="0009158E"/>
    <w:rsid w:val="00095922"/>
    <w:rsid w:val="000B3E5D"/>
    <w:rsid w:val="000B7617"/>
    <w:rsid w:val="000D163D"/>
    <w:rsid w:val="000D30DD"/>
    <w:rsid w:val="000D4330"/>
    <w:rsid w:val="000E3070"/>
    <w:rsid w:val="000E79EC"/>
    <w:rsid w:val="000E7DF6"/>
    <w:rsid w:val="000F3578"/>
    <w:rsid w:val="000F4118"/>
    <w:rsid w:val="000F5026"/>
    <w:rsid w:val="0010588B"/>
    <w:rsid w:val="00106234"/>
    <w:rsid w:val="001110AF"/>
    <w:rsid w:val="00112D43"/>
    <w:rsid w:val="00116994"/>
    <w:rsid w:val="00120CEB"/>
    <w:rsid w:val="001418E1"/>
    <w:rsid w:val="001503E6"/>
    <w:rsid w:val="001506FA"/>
    <w:rsid w:val="00152870"/>
    <w:rsid w:val="00152F3C"/>
    <w:rsid w:val="001533D6"/>
    <w:rsid w:val="001534A9"/>
    <w:rsid w:val="00154557"/>
    <w:rsid w:val="00163629"/>
    <w:rsid w:val="00164F8C"/>
    <w:rsid w:val="00173803"/>
    <w:rsid w:val="00176C26"/>
    <w:rsid w:val="001770C5"/>
    <w:rsid w:val="001A2600"/>
    <w:rsid w:val="001B31A2"/>
    <w:rsid w:val="001B41F3"/>
    <w:rsid w:val="001C3A06"/>
    <w:rsid w:val="001D0A63"/>
    <w:rsid w:val="001D425C"/>
    <w:rsid w:val="001D5E9D"/>
    <w:rsid w:val="001E0145"/>
    <w:rsid w:val="001E6AF7"/>
    <w:rsid w:val="001E7DCA"/>
    <w:rsid w:val="002009B0"/>
    <w:rsid w:val="0026381B"/>
    <w:rsid w:val="002643CF"/>
    <w:rsid w:val="002730E1"/>
    <w:rsid w:val="002875D9"/>
    <w:rsid w:val="002941DA"/>
    <w:rsid w:val="002A4429"/>
    <w:rsid w:val="002B0B39"/>
    <w:rsid w:val="002B3FC5"/>
    <w:rsid w:val="002C2F38"/>
    <w:rsid w:val="002C5590"/>
    <w:rsid w:val="002D6600"/>
    <w:rsid w:val="002D7496"/>
    <w:rsid w:val="002E426C"/>
    <w:rsid w:val="002F0B9D"/>
    <w:rsid w:val="002F1E01"/>
    <w:rsid w:val="002F2D01"/>
    <w:rsid w:val="002F33A8"/>
    <w:rsid w:val="002F5D0C"/>
    <w:rsid w:val="003051E4"/>
    <w:rsid w:val="00305D17"/>
    <w:rsid w:val="00326505"/>
    <w:rsid w:val="00331DE8"/>
    <w:rsid w:val="00351372"/>
    <w:rsid w:val="00353BF1"/>
    <w:rsid w:val="003566DA"/>
    <w:rsid w:val="00365A3A"/>
    <w:rsid w:val="00366AB0"/>
    <w:rsid w:val="00392824"/>
    <w:rsid w:val="00397E97"/>
    <w:rsid w:val="003B174C"/>
    <w:rsid w:val="003B6303"/>
    <w:rsid w:val="003C0B36"/>
    <w:rsid w:val="003D4962"/>
    <w:rsid w:val="003E617B"/>
    <w:rsid w:val="003F3F94"/>
    <w:rsid w:val="003F5BBC"/>
    <w:rsid w:val="003F76B9"/>
    <w:rsid w:val="00403D3B"/>
    <w:rsid w:val="004075A8"/>
    <w:rsid w:val="004150F2"/>
    <w:rsid w:val="00415A6F"/>
    <w:rsid w:val="00416390"/>
    <w:rsid w:val="004246DE"/>
    <w:rsid w:val="00431D60"/>
    <w:rsid w:val="004333B6"/>
    <w:rsid w:val="00443C89"/>
    <w:rsid w:val="00453FB9"/>
    <w:rsid w:val="004568FC"/>
    <w:rsid w:val="004606ED"/>
    <w:rsid w:val="00460FDC"/>
    <w:rsid w:val="00472D8D"/>
    <w:rsid w:val="00485514"/>
    <w:rsid w:val="004B656E"/>
    <w:rsid w:val="004C760C"/>
    <w:rsid w:val="004C7E01"/>
    <w:rsid w:val="004D6A1E"/>
    <w:rsid w:val="004E1D11"/>
    <w:rsid w:val="004E2454"/>
    <w:rsid w:val="004E2C05"/>
    <w:rsid w:val="004F4ACB"/>
    <w:rsid w:val="004F7D44"/>
    <w:rsid w:val="0050392C"/>
    <w:rsid w:val="00505940"/>
    <w:rsid w:val="005079BD"/>
    <w:rsid w:val="0051255D"/>
    <w:rsid w:val="00523F30"/>
    <w:rsid w:val="005250CB"/>
    <w:rsid w:val="00526F41"/>
    <w:rsid w:val="00533D09"/>
    <w:rsid w:val="00535632"/>
    <w:rsid w:val="00535840"/>
    <w:rsid w:val="00536A0E"/>
    <w:rsid w:val="00543C22"/>
    <w:rsid w:val="00546A6A"/>
    <w:rsid w:val="00550D09"/>
    <w:rsid w:val="005649E1"/>
    <w:rsid w:val="0057053A"/>
    <w:rsid w:val="005770A2"/>
    <w:rsid w:val="00583797"/>
    <w:rsid w:val="005901A4"/>
    <w:rsid w:val="005E5C7A"/>
    <w:rsid w:val="005F1D79"/>
    <w:rsid w:val="005F6BCB"/>
    <w:rsid w:val="0060049D"/>
    <w:rsid w:val="00606752"/>
    <w:rsid w:val="00606DFA"/>
    <w:rsid w:val="00613127"/>
    <w:rsid w:val="00616C37"/>
    <w:rsid w:val="00637321"/>
    <w:rsid w:val="00640248"/>
    <w:rsid w:val="00653959"/>
    <w:rsid w:val="00654BD2"/>
    <w:rsid w:val="00656FC3"/>
    <w:rsid w:val="00686EA5"/>
    <w:rsid w:val="00692C4B"/>
    <w:rsid w:val="00693088"/>
    <w:rsid w:val="00693599"/>
    <w:rsid w:val="0069368B"/>
    <w:rsid w:val="006A1BFB"/>
    <w:rsid w:val="006A27BC"/>
    <w:rsid w:val="006B41D6"/>
    <w:rsid w:val="006C6596"/>
    <w:rsid w:val="006D1BCA"/>
    <w:rsid w:val="006D2D9F"/>
    <w:rsid w:val="006D32C0"/>
    <w:rsid w:val="006E7EFD"/>
    <w:rsid w:val="006F06C0"/>
    <w:rsid w:val="006F3409"/>
    <w:rsid w:val="00712C23"/>
    <w:rsid w:val="00717E39"/>
    <w:rsid w:val="00733218"/>
    <w:rsid w:val="00734A51"/>
    <w:rsid w:val="007351E1"/>
    <w:rsid w:val="0074325F"/>
    <w:rsid w:val="00780F8F"/>
    <w:rsid w:val="00793A70"/>
    <w:rsid w:val="00793CFC"/>
    <w:rsid w:val="007C46E7"/>
    <w:rsid w:val="007C5FB6"/>
    <w:rsid w:val="007C6E9A"/>
    <w:rsid w:val="007D6D12"/>
    <w:rsid w:val="007E7084"/>
    <w:rsid w:val="007E7FF1"/>
    <w:rsid w:val="007F10F7"/>
    <w:rsid w:val="008069EE"/>
    <w:rsid w:val="00807DE6"/>
    <w:rsid w:val="008349AA"/>
    <w:rsid w:val="00842676"/>
    <w:rsid w:val="0084421A"/>
    <w:rsid w:val="00844F03"/>
    <w:rsid w:val="008645E4"/>
    <w:rsid w:val="008676D3"/>
    <w:rsid w:val="00872328"/>
    <w:rsid w:val="00885541"/>
    <w:rsid w:val="00890722"/>
    <w:rsid w:val="00890ED2"/>
    <w:rsid w:val="008B3359"/>
    <w:rsid w:val="008F1945"/>
    <w:rsid w:val="008F35C6"/>
    <w:rsid w:val="009046BD"/>
    <w:rsid w:val="00910E8F"/>
    <w:rsid w:val="009138C8"/>
    <w:rsid w:val="0092688D"/>
    <w:rsid w:val="00927C7E"/>
    <w:rsid w:val="00930482"/>
    <w:rsid w:val="009414BE"/>
    <w:rsid w:val="009440B1"/>
    <w:rsid w:val="0095046C"/>
    <w:rsid w:val="0096163D"/>
    <w:rsid w:val="009866FE"/>
    <w:rsid w:val="009874DB"/>
    <w:rsid w:val="009952A3"/>
    <w:rsid w:val="009B0EE7"/>
    <w:rsid w:val="009B10AE"/>
    <w:rsid w:val="009C2A3C"/>
    <w:rsid w:val="009E1FEB"/>
    <w:rsid w:val="009E324D"/>
    <w:rsid w:val="009F3F4E"/>
    <w:rsid w:val="009F6B0D"/>
    <w:rsid w:val="009F7B18"/>
    <w:rsid w:val="00A100FE"/>
    <w:rsid w:val="00A10BD9"/>
    <w:rsid w:val="00A11281"/>
    <w:rsid w:val="00A17B0D"/>
    <w:rsid w:val="00A20220"/>
    <w:rsid w:val="00A20636"/>
    <w:rsid w:val="00A2470D"/>
    <w:rsid w:val="00A27E5B"/>
    <w:rsid w:val="00A434D9"/>
    <w:rsid w:val="00A63BA1"/>
    <w:rsid w:val="00A66056"/>
    <w:rsid w:val="00A74062"/>
    <w:rsid w:val="00A75CBB"/>
    <w:rsid w:val="00A80751"/>
    <w:rsid w:val="00A81AFC"/>
    <w:rsid w:val="00A854C9"/>
    <w:rsid w:val="00A90488"/>
    <w:rsid w:val="00A9766A"/>
    <w:rsid w:val="00AA7230"/>
    <w:rsid w:val="00AA7E28"/>
    <w:rsid w:val="00AB0D09"/>
    <w:rsid w:val="00AE5209"/>
    <w:rsid w:val="00AF3065"/>
    <w:rsid w:val="00B067EA"/>
    <w:rsid w:val="00B22446"/>
    <w:rsid w:val="00B34D3D"/>
    <w:rsid w:val="00B52138"/>
    <w:rsid w:val="00B6234D"/>
    <w:rsid w:val="00B63E0A"/>
    <w:rsid w:val="00B66433"/>
    <w:rsid w:val="00B767BA"/>
    <w:rsid w:val="00B82F36"/>
    <w:rsid w:val="00B91C6F"/>
    <w:rsid w:val="00B94EC9"/>
    <w:rsid w:val="00BA2D26"/>
    <w:rsid w:val="00BA44BB"/>
    <w:rsid w:val="00BC2106"/>
    <w:rsid w:val="00BD3E2A"/>
    <w:rsid w:val="00BD46D9"/>
    <w:rsid w:val="00BE4102"/>
    <w:rsid w:val="00BE4D3A"/>
    <w:rsid w:val="00BF116B"/>
    <w:rsid w:val="00BF7FEA"/>
    <w:rsid w:val="00C07B91"/>
    <w:rsid w:val="00C13C28"/>
    <w:rsid w:val="00C15852"/>
    <w:rsid w:val="00C1595B"/>
    <w:rsid w:val="00C20E3C"/>
    <w:rsid w:val="00C22D87"/>
    <w:rsid w:val="00C34BCA"/>
    <w:rsid w:val="00C359FE"/>
    <w:rsid w:val="00C42C4F"/>
    <w:rsid w:val="00C47A4F"/>
    <w:rsid w:val="00C54C15"/>
    <w:rsid w:val="00C658FE"/>
    <w:rsid w:val="00C75C3E"/>
    <w:rsid w:val="00C76570"/>
    <w:rsid w:val="00C7732C"/>
    <w:rsid w:val="00C84DE1"/>
    <w:rsid w:val="00C8560F"/>
    <w:rsid w:val="00C859AC"/>
    <w:rsid w:val="00C907C7"/>
    <w:rsid w:val="00C90FA4"/>
    <w:rsid w:val="00CA12B4"/>
    <w:rsid w:val="00CA5197"/>
    <w:rsid w:val="00CA6174"/>
    <w:rsid w:val="00CB56C4"/>
    <w:rsid w:val="00CE7FEF"/>
    <w:rsid w:val="00CF3AC9"/>
    <w:rsid w:val="00CF76DC"/>
    <w:rsid w:val="00D23487"/>
    <w:rsid w:val="00D51958"/>
    <w:rsid w:val="00D5520E"/>
    <w:rsid w:val="00D57A1F"/>
    <w:rsid w:val="00D7532F"/>
    <w:rsid w:val="00D916F9"/>
    <w:rsid w:val="00D93602"/>
    <w:rsid w:val="00D94003"/>
    <w:rsid w:val="00D969F4"/>
    <w:rsid w:val="00DA7FC6"/>
    <w:rsid w:val="00DB2C77"/>
    <w:rsid w:val="00DB6096"/>
    <w:rsid w:val="00DB6D42"/>
    <w:rsid w:val="00DC178D"/>
    <w:rsid w:val="00DC2CC1"/>
    <w:rsid w:val="00DC4E50"/>
    <w:rsid w:val="00DC64E5"/>
    <w:rsid w:val="00DC6811"/>
    <w:rsid w:val="00DD2083"/>
    <w:rsid w:val="00DD6520"/>
    <w:rsid w:val="00DD69A8"/>
    <w:rsid w:val="00DE7B5F"/>
    <w:rsid w:val="00E01CBF"/>
    <w:rsid w:val="00E1265E"/>
    <w:rsid w:val="00E147D0"/>
    <w:rsid w:val="00E22CFE"/>
    <w:rsid w:val="00E26572"/>
    <w:rsid w:val="00E32C54"/>
    <w:rsid w:val="00E37644"/>
    <w:rsid w:val="00E37D57"/>
    <w:rsid w:val="00E57B68"/>
    <w:rsid w:val="00E60E8E"/>
    <w:rsid w:val="00E72081"/>
    <w:rsid w:val="00E8170C"/>
    <w:rsid w:val="00E825B0"/>
    <w:rsid w:val="00E82AE0"/>
    <w:rsid w:val="00E93315"/>
    <w:rsid w:val="00E96985"/>
    <w:rsid w:val="00EB2739"/>
    <w:rsid w:val="00EC17EC"/>
    <w:rsid w:val="00EC40BE"/>
    <w:rsid w:val="00EE1A88"/>
    <w:rsid w:val="00EE4074"/>
    <w:rsid w:val="00EE7EDC"/>
    <w:rsid w:val="00F025E7"/>
    <w:rsid w:val="00F134A9"/>
    <w:rsid w:val="00F149FE"/>
    <w:rsid w:val="00F24FBD"/>
    <w:rsid w:val="00F250B7"/>
    <w:rsid w:val="00F30238"/>
    <w:rsid w:val="00F30E03"/>
    <w:rsid w:val="00F32B26"/>
    <w:rsid w:val="00F4171A"/>
    <w:rsid w:val="00F444E5"/>
    <w:rsid w:val="00F4616D"/>
    <w:rsid w:val="00F67494"/>
    <w:rsid w:val="00F67532"/>
    <w:rsid w:val="00F677AF"/>
    <w:rsid w:val="00F778D4"/>
    <w:rsid w:val="00F82B7B"/>
    <w:rsid w:val="00F9542A"/>
    <w:rsid w:val="00FA0728"/>
    <w:rsid w:val="00FA2B4B"/>
    <w:rsid w:val="00FB3E52"/>
    <w:rsid w:val="00FC7FB5"/>
    <w:rsid w:val="00FD0607"/>
    <w:rsid w:val="00FD1807"/>
    <w:rsid w:val="00FE264F"/>
    <w:rsid w:val="00FE4D96"/>
    <w:rsid w:val="00FE7190"/>
    <w:rsid w:val="00FF33DC"/>
    <w:rsid w:val="00FF54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9952A3"/>
    <w:pPr>
      <w:keepNext/>
      <w:keepLines/>
      <w:spacing w:before="480" w:after="0"/>
      <w:outlineLvl w:val="0"/>
    </w:pPr>
    <w:rPr>
      <w:rFonts w:eastAsiaTheme="majorEastAsia" w:cstheme="majorBidi"/>
      <w:b/>
      <w:bCs/>
      <w:color w:val="23532C"/>
      <w:sz w:val="28"/>
      <w:szCs w:val="28"/>
    </w:rPr>
  </w:style>
  <w:style w:type="paragraph" w:styleId="Heading2">
    <w:name w:val="heading 2"/>
    <w:basedOn w:val="Normal"/>
    <w:next w:val="Normal"/>
    <w:link w:val="Heading2Char"/>
    <w:autoRedefine/>
    <w:qFormat/>
    <w:rsid w:val="00C75C3E"/>
    <w:pPr>
      <w:keepNext/>
      <w:spacing w:before="220" w:after="220" w:line="240" w:lineRule="auto"/>
      <w:outlineLvl w:val="1"/>
    </w:pPr>
    <w:rPr>
      <w:rFonts w:eastAsia="Times New Roman" w:cs="Arial"/>
      <w:b/>
      <w:bCs/>
      <w:iCs/>
      <w:color w:val="23532C"/>
      <w:szCs w:val="24"/>
    </w:rPr>
  </w:style>
  <w:style w:type="paragraph" w:styleId="Heading3">
    <w:name w:val="heading 3"/>
    <w:basedOn w:val="Normal"/>
    <w:next w:val="Normal"/>
    <w:link w:val="Heading3Char"/>
    <w:uiPriority w:val="9"/>
    <w:unhideWhenUsed/>
    <w:qFormat/>
    <w:rsid w:val="00927C7E"/>
    <w:pPr>
      <w:keepNext/>
      <w:keepLines/>
      <w:spacing w:before="200" w:after="0" w:line="360" w:lineRule="auto"/>
      <w:outlineLvl w:val="2"/>
    </w:pPr>
    <w:rPr>
      <w:rFonts w:asciiTheme="majorHAnsi" w:eastAsiaTheme="majorEastAsia" w:hAnsiTheme="majorHAnsi" w:cstheme="majorBidi"/>
      <w:b/>
      <w:bCs/>
      <w:color w:val="4F81BD" w:themeColor="accen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F3F4E"/>
    <w:rPr>
      <w:rFonts w:eastAsia="Times New Roman" w:cs="Arial"/>
      <w:b/>
      <w:bCs/>
      <w:color w:val="23532C"/>
      <w:sz w:val="20"/>
      <w:szCs w:val="20"/>
    </w:rPr>
  </w:style>
  <w:style w:type="character" w:customStyle="1" w:styleId="Heading2Char">
    <w:name w:val="Heading 2 Char"/>
    <w:basedOn w:val="DefaultParagraphFont"/>
    <w:link w:val="Heading2"/>
    <w:rsid w:val="00C75C3E"/>
    <w:rPr>
      <w:rFonts w:eastAsia="Times New Roman" w:cs="Arial"/>
      <w:b/>
      <w:bCs/>
      <w:iCs/>
      <w:color w:val="23532C"/>
      <w:szCs w:val="24"/>
    </w:rPr>
  </w:style>
  <w:style w:type="character" w:customStyle="1" w:styleId="Heading3Char">
    <w:name w:val="Heading 3 Char"/>
    <w:basedOn w:val="DefaultParagraphFont"/>
    <w:link w:val="Heading3"/>
    <w:uiPriority w:val="9"/>
    <w:rsid w:val="00927C7E"/>
    <w:rPr>
      <w:rFonts w:asciiTheme="majorHAnsi" w:eastAsiaTheme="majorEastAsia" w:hAnsiTheme="majorHAnsi" w:cstheme="majorBidi"/>
      <w:b/>
      <w:bCs/>
      <w:color w:val="4F81BD" w:themeColor="accent1"/>
      <w:sz w:val="22"/>
      <w:szCs w:val="24"/>
    </w:rPr>
  </w:style>
  <w:style w:type="paragraph" w:styleId="ListParagraph">
    <w:name w:val="List Paragraph"/>
    <w:basedOn w:val="Normal"/>
    <w:uiPriority w:val="34"/>
    <w:qFormat/>
    <w:rsid w:val="00927C7E"/>
    <w:pPr>
      <w:ind w:left="720"/>
      <w:contextualSpacing/>
    </w:pPr>
  </w:style>
  <w:style w:type="paragraph" w:styleId="BalloonText">
    <w:name w:val="Balloon Text"/>
    <w:basedOn w:val="Normal"/>
    <w:link w:val="BalloonTextChar"/>
    <w:uiPriority w:val="99"/>
    <w:semiHidden/>
    <w:unhideWhenUsed/>
    <w:rsid w:val="00927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7E"/>
    <w:rPr>
      <w:rFonts w:ascii="Tahoma" w:hAnsi="Tahoma" w:cs="Tahoma"/>
      <w:sz w:val="16"/>
      <w:szCs w:val="16"/>
    </w:rPr>
  </w:style>
  <w:style w:type="paragraph" w:styleId="FootnoteText">
    <w:name w:val="footnote text"/>
    <w:basedOn w:val="Normal"/>
    <w:link w:val="FootnoteTextChar"/>
    <w:uiPriority w:val="99"/>
    <w:semiHidden/>
    <w:unhideWhenUsed/>
    <w:rsid w:val="00927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C7E"/>
    <w:rPr>
      <w:sz w:val="20"/>
      <w:szCs w:val="20"/>
    </w:rPr>
  </w:style>
  <w:style w:type="character" w:styleId="FootnoteReference">
    <w:name w:val="footnote reference"/>
    <w:basedOn w:val="DefaultParagraphFont"/>
    <w:uiPriority w:val="99"/>
    <w:unhideWhenUsed/>
    <w:rsid w:val="00927C7E"/>
    <w:rPr>
      <w:vertAlign w:val="superscript"/>
    </w:rPr>
  </w:style>
  <w:style w:type="character" w:styleId="Hyperlink">
    <w:name w:val="Hyperlink"/>
    <w:basedOn w:val="DefaultParagraphFont"/>
    <w:uiPriority w:val="99"/>
    <w:unhideWhenUsed/>
    <w:rsid w:val="00927C7E"/>
    <w:rPr>
      <w:color w:val="0000FF" w:themeColor="hyperlink"/>
      <w:u w:val="single"/>
    </w:rPr>
  </w:style>
  <w:style w:type="table" w:styleId="TableGrid">
    <w:name w:val="Table Grid"/>
    <w:basedOn w:val="TableNormal"/>
    <w:uiPriority w:val="59"/>
    <w:rsid w:val="00927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p1">
    <w:name w:val="specialp1"/>
    <w:basedOn w:val="DefaultParagraphFont"/>
    <w:rsid w:val="00927C7E"/>
    <w:rPr>
      <w:rFonts w:ascii="Verdana" w:hAnsi="Verdana" w:hint="default"/>
      <w:color w:val="000000"/>
      <w:sz w:val="17"/>
      <w:szCs w:val="17"/>
    </w:rPr>
  </w:style>
  <w:style w:type="paragraph" w:customStyle="1" w:styleId="Default">
    <w:name w:val="Default"/>
    <w:rsid w:val="00927C7E"/>
    <w:pPr>
      <w:autoSpaceDE w:val="0"/>
      <w:autoSpaceDN w:val="0"/>
      <w:adjustRightInd w:val="0"/>
      <w:spacing w:after="0" w:line="240" w:lineRule="auto"/>
    </w:pPr>
    <w:rPr>
      <w:rFonts w:ascii="Verdana" w:hAnsi="Verdana" w:cs="Verdana"/>
      <w:color w:val="000000"/>
      <w:szCs w:val="24"/>
    </w:rPr>
  </w:style>
  <w:style w:type="paragraph" w:customStyle="1" w:styleId="BodyTextKeepChar">
    <w:name w:val="Body Text Keep Char"/>
    <w:basedOn w:val="Default"/>
    <w:next w:val="Default"/>
    <w:uiPriority w:val="99"/>
    <w:rsid w:val="00927C7E"/>
    <w:rPr>
      <w:rFonts w:cstheme="minorBidi"/>
      <w:color w:val="auto"/>
    </w:rPr>
  </w:style>
  <w:style w:type="paragraph" w:styleId="Header">
    <w:name w:val="header"/>
    <w:basedOn w:val="Normal"/>
    <w:link w:val="HeaderChar"/>
    <w:rsid w:val="00927C7E"/>
    <w:pPr>
      <w:spacing w:after="220" w:line="360" w:lineRule="auto"/>
    </w:pPr>
    <w:rPr>
      <w:rFonts w:eastAsia="Times New Roman" w:cs="Times New Roman"/>
      <w:sz w:val="22"/>
      <w:szCs w:val="24"/>
    </w:rPr>
  </w:style>
  <w:style w:type="character" w:customStyle="1" w:styleId="HeaderChar">
    <w:name w:val="Header Char"/>
    <w:basedOn w:val="DefaultParagraphFont"/>
    <w:link w:val="Header"/>
    <w:rsid w:val="00927C7E"/>
    <w:rPr>
      <w:rFonts w:eastAsia="Times New Roman" w:cs="Times New Roman"/>
      <w:sz w:val="22"/>
      <w:szCs w:val="24"/>
    </w:rPr>
  </w:style>
  <w:style w:type="paragraph" w:styleId="Footer">
    <w:name w:val="footer"/>
    <w:basedOn w:val="Normal"/>
    <w:link w:val="FooterChar"/>
    <w:rsid w:val="00927C7E"/>
    <w:pPr>
      <w:tabs>
        <w:tab w:val="right" w:pos="8647"/>
        <w:tab w:val="right" w:pos="9356"/>
      </w:tabs>
      <w:spacing w:after="220" w:line="360" w:lineRule="auto"/>
    </w:pPr>
    <w:rPr>
      <w:rFonts w:eastAsia="Times New Roman" w:cs="Times New Roman"/>
      <w:color w:val="002B7F"/>
      <w:sz w:val="22"/>
      <w:szCs w:val="24"/>
    </w:rPr>
  </w:style>
  <w:style w:type="character" w:customStyle="1" w:styleId="FooterChar">
    <w:name w:val="Footer Char"/>
    <w:basedOn w:val="DefaultParagraphFont"/>
    <w:link w:val="Footer"/>
    <w:rsid w:val="00927C7E"/>
    <w:rPr>
      <w:rFonts w:eastAsia="Times New Roman" w:cs="Times New Roman"/>
      <w:color w:val="002B7F"/>
      <w:sz w:val="22"/>
      <w:szCs w:val="24"/>
    </w:rPr>
  </w:style>
  <w:style w:type="character" w:styleId="PageNumber">
    <w:name w:val="page number"/>
    <w:rsid w:val="00927C7E"/>
    <w:rPr>
      <w:sz w:val="24"/>
    </w:rPr>
  </w:style>
  <w:style w:type="paragraph" w:customStyle="1" w:styleId="TableText">
    <w:name w:val="TableText"/>
    <w:basedOn w:val="Normal"/>
    <w:rsid w:val="00927C7E"/>
    <w:pPr>
      <w:spacing w:before="80" w:after="80" w:line="360" w:lineRule="auto"/>
    </w:pPr>
    <w:rPr>
      <w:rFonts w:eastAsia="Times New Roman" w:cs="Times New Roman"/>
      <w:sz w:val="22"/>
      <w:szCs w:val="24"/>
    </w:rPr>
  </w:style>
  <w:style w:type="paragraph" w:customStyle="1" w:styleId="Source">
    <w:name w:val="Source"/>
    <w:basedOn w:val="Normal"/>
    <w:next w:val="Normal"/>
    <w:rsid w:val="00927C7E"/>
    <w:pPr>
      <w:pBdr>
        <w:bottom w:val="single" w:sz="18" w:space="6" w:color="808080"/>
      </w:pBdr>
      <w:spacing w:after="220" w:line="360" w:lineRule="auto"/>
    </w:pPr>
    <w:rPr>
      <w:rFonts w:eastAsia="Times New Roman" w:cs="Times New Roman"/>
      <w:sz w:val="18"/>
      <w:szCs w:val="24"/>
    </w:rPr>
  </w:style>
  <w:style w:type="paragraph" w:styleId="Title">
    <w:name w:val="Title"/>
    <w:basedOn w:val="Normal"/>
    <w:next w:val="Normal"/>
    <w:link w:val="TitleChar"/>
    <w:autoRedefine/>
    <w:uiPriority w:val="10"/>
    <w:qFormat/>
    <w:rsid w:val="0060049D"/>
    <w:pPr>
      <w:framePr w:hSpace="180" w:wrap="around" w:vAnchor="page" w:hAnchor="margin" w:x="-284" w:y="1786"/>
      <w:spacing w:before="240" w:after="240" w:line="360" w:lineRule="auto"/>
      <w:contextualSpacing/>
    </w:pPr>
    <w:rPr>
      <w:rFonts w:eastAsiaTheme="majorEastAsia" w:cstheme="majorBidi"/>
      <w:b/>
      <w:color w:val="23532C"/>
      <w:spacing w:val="5"/>
      <w:kern w:val="28"/>
      <w:sz w:val="44"/>
      <w:szCs w:val="52"/>
    </w:rPr>
  </w:style>
  <w:style w:type="character" w:customStyle="1" w:styleId="TitleChar">
    <w:name w:val="Title Char"/>
    <w:basedOn w:val="DefaultParagraphFont"/>
    <w:link w:val="Title"/>
    <w:uiPriority w:val="10"/>
    <w:rsid w:val="0060049D"/>
    <w:rPr>
      <w:rFonts w:eastAsiaTheme="majorEastAsia" w:cstheme="majorBidi"/>
      <w:b/>
      <w:color w:val="23532C"/>
      <w:spacing w:val="5"/>
      <w:kern w:val="28"/>
      <w:sz w:val="44"/>
      <w:szCs w:val="52"/>
    </w:rPr>
  </w:style>
  <w:style w:type="paragraph" w:styleId="TOCHeading">
    <w:name w:val="TOC Heading"/>
    <w:basedOn w:val="Normal"/>
    <w:next w:val="Normal"/>
    <w:uiPriority w:val="39"/>
    <w:unhideWhenUsed/>
    <w:qFormat/>
    <w:rsid w:val="009952A3"/>
    <w:pPr>
      <w:keepNext/>
      <w:keepLines/>
      <w:spacing w:before="480" w:after="240"/>
    </w:pPr>
    <w:rPr>
      <w:rFonts w:eastAsiaTheme="majorEastAsia" w:cstheme="majorBidi"/>
      <w:b/>
      <w:color w:val="23532C"/>
      <w:sz w:val="28"/>
      <w:szCs w:val="28"/>
      <w:lang w:val="en-US" w:eastAsia="ja-JP"/>
    </w:rPr>
  </w:style>
  <w:style w:type="paragraph" w:styleId="TOC1">
    <w:name w:val="toc 1"/>
    <w:basedOn w:val="Normal"/>
    <w:next w:val="Normal"/>
    <w:autoRedefine/>
    <w:uiPriority w:val="39"/>
    <w:unhideWhenUsed/>
    <w:rsid w:val="00927C7E"/>
    <w:pPr>
      <w:spacing w:after="100" w:line="360" w:lineRule="auto"/>
    </w:pPr>
    <w:rPr>
      <w:rFonts w:eastAsia="Times New Roman" w:cs="Times New Roman"/>
      <w:sz w:val="22"/>
      <w:szCs w:val="24"/>
    </w:rPr>
  </w:style>
  <w:style w:type="paragraph" w:styleId="TOC2">
    <w:name w:val="toc 2"/>
    <w:basedOn w:val="Normal"/>
    <w:next w:val="Normal"/>
    <w:autoRedefine/>
    <w:uiPriority w:val="39"/>
    <w:unhideWhenUsed/>
    <w:rsid w:val="00927C7E"/>
    <w:pPr>
      <w:spacing w:after="100" w:line="360" w:lineRule="auto"/>
      <w:ind w:left="220"/>
    </w:pPr>
    <w:rPr>
      <w:rFonts w:eastAsia="Times New Roman" w:cs="Times New Roman"/>
      <w:sz w:val="22"/>
      <w:szCs w:val="24"/>
    </w:rPr>
  </w:style>
  <w:style w:type="paragraph" w:styleId="TOC3">
    <w:name w:val="toc 3"/>
    <w:basedOn w:val="Normal"/>
    <w:next w:val="Normal"/>
    <w:autoRedefine/>
    <w:uiPriority w:val="39"/>
    <w:unhideWhenUsed/>
    <w:rsid w:val="00927C7E"/>
    <w:pPr>
      <w:spacing w:after="100" w:line="360" w:lineRule="auto"/>
      <w:ind w:left="440"/>
    </w:pPr>
    <w:rPr>
      <w:rFonts w:eastAsia="Times New Roman" w:cs="Times New Roman"/>
      <w:sz w:val="22"/>
      <w:szCs w:val="24"/>
    </w:rPr>
  </w:style>
  <w:style w:type="character" w:styleId="CommentReference">
    <w:name w:val="annotation reference"/>
    <w:basedOn w:val="DefaultParagraphFont"/>
    <w:uiPriority w:val="99"/>
    <w:semiHidden/>
    <w:unhideWhenUsed/>
    <w:rsid w:val="00927C7E"/>
    <w:rPr>
      <w:sz w:val="16"/>
      <w:szCs w:val="16"/>
    </w:rPr>
  </w:style>
  <w:style w:type="paragraph" w:styleId="CommentText">
    <w:name w:val="annotation text"/>
    <w:basedOn w:val="Normal"/>
    <w:link w:val="CommentTextChar"/>
    <w:uiPriority w:val="99"/>
    <w:unhideWhenUsed/>
    <w:rsid w:val="00927C7E"/>
    <w:pPr>
      <w:spacing w:after="22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927C7E"/>
    <w:rPr>
      <w:rFonts w:eastAsia="Times New Roman" w:cs="Times New Roman"/>
      <w:sz w:val="20"/>
      <w:szCs w:val="20"/>
    </w:rPr>
  </w:style>
  <w:style w:type="paragraph" w:customStyle="1" w:styleId="Figure">
    <w:name w:val="Figure"/>
    <w:basedOn w:val="Normal"/>
    <w:next w:val="Normal"/>
    <w:qFormat/>
    <w:rsid w:val="00305D17"/>
    <w:pPr>
      <w:keepNext/>
      <w:pBdr>
        <w:top w:val="single" w:sz="18" w:space="6" w:color="23532C"/>
      </w:pBdr>
      <w:spacing w:before="120" w:after="120" w:line="360" w:lineRule="auto"/>
    </w:pPr>
    <w:rPr>
      <w:rFonts w:eastAsia="Times New Roman" w:cs="Times New Roman"/>
      <w:b/>
      <w:color w:val="23532C"/>
      <w:sz w:val="18"/>
      <w:szCs w:val="18"/>
    </w:rPr>
  </w:style>
  <w:style w:type="paragraph" w:styleId="Caption">
    <w:name w:val="caption"/>
    <w:basedOn w:val="Normal"/>
    <w:next w:val="Normal"/>
    <w:autoRedefine/>
    <w:unhideWhenUsed/>
    <w:qFormat/>
    <w:rsid w:val="00365A3A"/>
    <w:pPr>
      <w:pBdr>
        <w:bottom w:val="single" w:sz="18" w:space="1" w:color="23532C"/>
      </w:pBdr>
      <w:spacing w:before="60" w:after="60" w:line="240" w:lineRule="auto"/>
    </w:pPr>
    <w:rPr>
      <w:rFonts w:eastAsia="Times New Roman" w:cs="Times New Roman"/>
      <w:bCs/>
      <w:color w:val="23532C"/>
      <w:sz w:val="16"/>
      <w:szCs w:val="16"/>
      <w:lang w:eastAsia="en-GB"/>
    </w:rPr>
  </w:style>
  <w:style w:type="paragraph" w:styleId="CommentSubject">
    <w:name w:val="annotation subject"/>
    <w:basedOn w:val="CommentText"/>
    <w:next w:val="CommentText"/>
    <w:link w:val="CommentSubjectChar"/>
    <w:uiPriority w:val="99"/>
    <w:semiHidden/>
    <w:unhideWhenUsed/>
    <w:rsid w:val="000533FE"/>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0533FE"/>
    <w:rPr>
      <w:rFonts w:eastAsia="Times New Roman" w:cs="Times New Roman"/>
      <w:b/>
      <w:bCs/>
      <w:sz w:val="20"/>
      <w:szCs w:val="20"/>
    </w:rPr>
  </w:style>
  <w:style w:type="paragraph" w:styleId="Revision">
    <w:name w:val="Revision"/>
    <w:hidden/>
    <w:uiPriority w:val="99"/>
    <w:semiHidden/>
    <w:rsid w:val="000533FE"/>
    <w:pPr>
      <w:spacing w:after="0" w:line="240" w:lineRule="auto"/>
    </w:pPr>
  </w:style>
  <w:style w:type="paragraph" w:customStyle="1" w:styleId="para10">
    <w:name w:val="para10"/>
    <w:basedOn w:val="Normal"/>
    <w:rsid w:val="00533D09"/>
    <w:pPr>
      <w:spacing w:after="240" w:line="360" w:lineRule="atLeast"/>
    </w:pPr>
    <w:rPr>
      <w:rFonts w:ascii="Times New Roman" w:eastAsia="Times New Roman" w:hAnsi="Times New Roman" w:cs="Times New Roman"/>
      <w:sz w:val="29"/>
      <w:szCs w:val="29"/>
      <w:lang w:eastAsia="en-NZ"/>
    </w:rPr>
  </w:style>
  <w:style w:type="character" w:customStyle="1" w:styleId="disease3">
    <w:name w:val="disease3"/>
    <w:basedOn w:val="DefaultParagraphFont"/>
    <w:rsid w:val="00FD1807"/>
  </w:style>
  <w:style w:type="table" w:styleId="MediumShading1-Accent3">
    <w:name w:val="Medium Shading 1 Accent 3"/>
    <w:basedOn w:val="TableNormal"/>
    <w:uiPriority w:val="63"/>
    <w:rsid w:val="00D5195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717E39"/>
    <w:pPr>
      <w:spacing w:before="100" w:beforeAutospacing="1" w:after="100" w:afterAutospacing="1" w:line="240" w:lineRule="auto"/>
    </w:pPr>
    <w:rPr>
      <w:rFonts w:ascii="Times New Roman" w:eastAsia="Times New Roman" w:hAnsi="Times New Roman" w:cs="Times New Roman"/>
      <w:szCs w:val="24"/>
      <w:lang w:eastAsia="en-NZ"/>
    </w:rPr>
  </w:style>
  <w:style w:type="paragraph" w:customStyle="1" w:styleId="svarticle">
    <w:name w:val="svarticle"/>
    <w:basedOn w:val="Normal"/>
    <w:rsid w:val="001E6AF7"/>
    <w:pPr>
      <w:spacing w:before="100" w:beforeAutospacing="1" w:after="100" w:afterAutospacing="1" w:line="240" w:lineRule="auto"/>
    </w:pPr>
    <w:rPr>
      <w:rFonts w:ascii="Times New Roman" w:eastAsia="Times New Roman" w:hAnsi="Times New Roman" w:cs="Times New Roman"/>
      <w:szCs w:val="24"/>
      <w:lang w:eastAsia="en-NZ"/>
    </w:rPr>
  </w:style>
  <w:style w:type="table" w:styleId="LightGrid-Accent3">
    <w:name w:val="Light Grid Accent 3"/>
    <w:basedOn w:val="TableNormal"/>
    <w:uiPriority w:val="62"/>
    <w:rsid w:val="00EC40B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ntentbody">
    <w:name w:val="contentbody"/>
    <w:basedOn w:val="Normal"/>
    <w:rsid w:val="00CA12B4"/>
    <w:pPr>
      <w:spacing w:before="100" w:beforeAutospacing="1" w:after="100" w:afterAutospacing="1" w:line="240" w:lineRule="auto"/>
    </w:pPr>
    <w:rPr>
      <w:rFonts w:ascii="Times New Roman" w:eastAsia="Times New Roman" w:hAnsi="Times New Roman" w:cs="Times New Roman"/>
      <w:szCs w:val="24"/>
      <w:lang w:eastAsia="en-NZ"/>
    </w:rPr>
  </w:style>
  <w:style w:type="table" w:styleId="LightShading-Accent3">
    <w:name w:val="Light Shading Accent 3"/>
    <w:basedOn w:val="TableNormal"/>
    <w:uiPriority w:val="60"/>
    <w:rsid w:val="0060049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60049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1">
    <w:name w:val="Heading 1 Char1"/>
    <w:basedOn w:val="DefaultParagraphFont"/>
    <w:link w:val="Heading1"/>
    <w:rsid w:val="009952A3"/>
    <w:rPr>
      <w:rFonts w:eastAsiaTheme="majorEastAsia" w:cstheme="majorBidi"/>
      <w:b/>
      <w:bCs/>
      <w:color w:val="23532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9952A3"/>
    <w:pPr>
      <w:keepNext/>
      <w:keepLines/>
      <w:spacing w:before="480" w:after="0"/>
      <w:outlineLvl w:val="0"/>
    </w:pPr>
    <w:rPr>
      <w:rFonts w:eastAsiaTheme="majorEastAsia" w:cstheme="majorBidi"/>
      <w:b/>
      <w:bCs/>
      <w:color w:val="23532C"/>
      <w:sz w:val="28"/>
      <w:szCs w:val="28"/>
    </w:rPr>
  </w:style>
  <w:style w:type="paragraph" w:styleId="Heading2">
    <w:name w:val="heading 2"/>
    <w:basedOn w:val="Normal"/>
    <w:next w:val="Normal"/>
    <w:link w:val="Heading2Char"/>
    <w:autoRedefine/>
    <w:qFormat/>
    <w:rsid w:val="00C75C3E"/>
    <w:pPr>
      <w:keepNext/>
      <w:spacing w:before="220" w:after="220" w:line="240" w:lineRule="auto"/>
      <w:outlineLvl w:val="1"/>
    </w:pPr>
    <w:rPr>
      <w:rFonts w:eastAsia="Times New Roman" w:cs="Arial"/>
      <w:b/>
      <w:bCs/>
      <w:iCs/>
      <w:color w:val="23532C"/>
      <w:szCs w:val="24"/>
    </w:rPr>
  </w:style>
  <w:style w:type="paragraph" w:styleId="Heading3">
    <w:name w:val="heading 3"/>
    <w:basedOn w:val="Normal"/>
    <w:next w:val="Normal"/>
    <w:link w:val="Heading3Char"/>
    <w:uiPriority w:val="9"/>
    <w:unhideWhenUsed/>
    <w:qFormat/>
    <w:rsid w:val="00927C7E"/>
    <w:pPr>
      <w:keepNext/>
      <w:keepLines/>
      <w:spacing w:before="200" w:after="0" w:line="360" w:lineRule="auto"/>
      <w:outlineLvl w:val="2"/>
    </w:pPr>
    <w:rPr>
      <w:rFonts w:asciiTheme="majorHAnsi" w:eastAsiaTheme="majorEastAsia" w:hAnsiTheme="majorHAnsi" w:cstheme="majorBidi"/>
      <w:b/>
      <w:bCs/>
      <w:color w:val="4F81BD" w:themeColor="accen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F3F4E"/>
    <w:rPr>
      <w:rFonts w:eastAsia="Times New Roman" w:cs="Arial"/>
      <w:b/>
      <w:bCs/>
      <w:color w:val="23532C"/>
      <w:sz w:val="20"/>
      <w:szCs w:val="20"/>
    </w:rPr>
  </w:style>
  <w:style w:type="character" w:customStyle="1" w:styleId="Heading2Char">
    <w:name w:val="Heading 2 Char"/>
    <w:basedOn w:val="DefaultParagraphFont"/>
    <w:link w:val="Heading2"/>
    <w:rsid w:val="00C75C3E"/>
    <w:rPr>
      <w:rFonts w:eastAsia="Times New Roman" w:cs="Arial"/>
      <w:b/>
      <w:bCs/>
      <w:iCs/>
      <w:color w:val="23532C"/>
      <w:szCs w:val="24"/>
    </w:rPr>
  </w:style>
  <w:style w:type="character" w:customStyle="1" w:styleId="Heading3Char">
    <w:name w:val="Heading 3 Char"/>
    <w:basedOn w:val="DefaultParagraphFont"/>
    <w:link w:val="Heading3"/>
    <w:uiPriority w:val="9"/>
    <w:rsid w:val="00927C7E"/>
    <w:rPr>
      <w:rFonts w:asciiTheme="majorHAnsi" w:eastAsiaTheme="majorEastAsia" w:hAnsiTheme="majorHAnsi" w:cstheme="majorBidi"/>
      <w:b/>
      <w:bCs/>
      <w:color w:val="4F81BD" w:themeColor="accent1"/>
      <w:sz w:val="22"/>
      <w:szCs w:val="24"/>
    </w:rPr>
  </w:style>
  <w:style w:type="paragraph" w:styleId="ListParagraph">
    <w:name w:val="List Paragraph"/>
    <w:basedOn w:val="Normal"/>
    <w:uiPriority w:val="34"/>
    <w:qFormat/>
    <w:rsid w:val="00927C7E"/>
    <w:pPr>
      <w:ind w:left="720"/>
      <w:contextualSpacing/>
    </w:pPr>
  </w:style>
  <w:style w:type="paragraph" w:styleId="BalloonText">
    <w:name w:val="Balloon Text"/>
    <w:basedOn w:val="Normal"/>
    <w:link w:val="BalloonTextChar"/>
    <w:uiPriority w:val="99"/>
    <w:semiHidden/>
    <w:unhideWhenUsed/>
    <w:rsid w:val="00927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7E"/>
    <w:rPr>
      <w:rFonts w:ascii="Tahoma" w:hAnsi="Tahoma" w:cs="Tahoma"/>
      <w:sz w:val="16"/>
      <w:szCs w:val="16"/>
    </w:rPr>
  </w:style>
  <w:style w:type="paragraph" w:styleId="FootnoteText">
    <w:name w:val="footnote text"/>
    <w:basedOn w:val="Normal"/>
    <w:link w:val="FootnoteTextChar"/>
    <w:uiPriority w:val="99"/>
    <w:semiHidden/>
    <w:unhideWhenUsed/>
    <w:rsid w:val="00927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C7E"/>
    <w:rPr>
      <w:sz w:val="20"/>
      <w:szCs w:val="20"/>
    </w:rPr>
  </w:style>
  <w:style w:type="character" w:styleId="FootnoteReference">
    <w:name w:val="footnote reference"/>
    <w:basedOn w:val="DefaultParagraphFont"/>
    <w:uiPriority w:val="99"/>
    <w:unhideWhenUsed/>
    <w:rsid w:val="00927C7E"/>
    <w:rPr>
      <w:vertAlign w:val="superscript"/>
    </w:rPr>
  </w:style>
  <w:style w:type="character" w:styleId="Hyperlink">
    <w:name w:val="Hyperlink"/>
    <w:basedOn w:val="DefaultParagraphFont"/>
    <w:uiPriority w:val="99"/>
    <w:unhideWhenUsed/>
    <w:rsid w:val="00927C7E"/>
    <w:rPr>
      <w:color w:val="0000FF" w:themeColor="hyperlink"/>
      <w:u w:val="single"/>
    </w:rPr>
  </w:style>
  <w:style w:type="table" w:styleId="TableGrid">
    <w:name w:val="Table Grid"/>
    <w:basedOn w:val="TableNormal"/>
    <w:uiPriority w:val="59"/>
    <w:rsid w:val="00927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p1">
    <w:name w:val="specialp1"/>
    <w:basedOn w:val="DefaultParagraphFont"/>
    <w:rsid w:val="00927C7E"/>
    <w:rPr>
      <w:rFonts w:ascii="Verdana" w:hAnsi="Verdana" w:hint="default"/>
      <w:color w:val="000000"/>
      <w:sz w:val="17"/>
      <w:szCs w:val="17"/>
    </w:rPr>
  </w:style>
  <w:style w:type="paragraph" w:customStyle="1" w:styleId="Default">
    <w:name w:val="Default"/>
    <w:rsid w:val="00927C7E"/>
    <w:pPr>
      <w:autoSpaceDE w:val="0"/>
      <w:autoSpaceDN w:val="0"/>
      <w:adjustRightInd w:val="0"/>
      <w:spacing w:after="0" w:line="240" w:lineRule="auto"/>
    </w:pPr>
    <w:rPr>
      <w:rFonts w:ascii="Verdana" w:hAnsi="Verdana" w:cs="Verdana"/>
      <w:color w:val="000000"/>
      <w:szCs w:val="24"/>
    </w:rPr>
  </w:style>
  <w:style w:type="paragraph" w:customStyle="1" w:styleId="BodyTextKeepChar">
    <w:name w:val="Body Text Keep Char"/>
    <w:basedOn w:val="Default"/>
    <w:next w:val="Default"/>
    <w:uiPriority w:val="99"/>
    <w:rsid w:val="00927C7E"/>
    <w:rPr>
      <w:rFonts w:cstheme="minorBidi"/>
      <w:color w:val="auto"/>
    </w:rPr>
  </w:style>
  <w:style w:type="paragraph" w:styleId="Header">
    <w:name w:val="header"/>
    <w:basedOn w:val="Normal"/>
    <w:link w:val="HeaderChar"/>
    <w:rsid w:val="00927C7E"/>
    <w:pPr>
      <w:spacing w:after="220" w:line="360" w:lineRule="auto"/>
    </w:pPr>
    <w:rPr>
      <w:rFonts w:eastAsia="Times New Roman" w:cs="Times New Roman"/>
      <w:sz w:val="22"/>
      <w:szCs w:val="24"/>
    </w:rPr>
  </w:style>
  <w:style w:type="character" w:customStyle="1" w:styleId="HeaderChar">
    <w:name w:val="Header Char"/>
    <w:basedOn w:val="DefaultParagraphFont"/>
    <w:link w:val="Header"/>
    <w:rsid w:val="00927C7E"/>
    <w:rPr>
      <w:rFonts w:eastAsia="Times New Roman" w:cs="Times New Roman"/>
      <w:sz w:val="22"/>
      <w:szCs w:val="24"/>
    </w:rPr>
  </w:style>
  <w:style w:type="paragraph" w:styleId="Footer">
    <w:name w:val="footer"/>
    <w:basedOn w:val="Normal"/>
    <w:link w:val="FooterChar"/>
    <w:rsid w:val="00927C7E"/>
    <w:pPr>
      <w:tabs>
        <w:tab w:val="right" w:pos="8647"/>
        <w:tab w:val="right" w:pos="9356"/>
      </w:tabs>
      <w:spacing w:after="220" w:line="360" w:lineRule="auto"/>
    </w:pPr>
    <w:rPr>
      <w:rFonts w:eastAsia="Times New Roman" w:cs="Times New Roman"/>
      <w:color w:val="002B7F"/>
      <w:sz w:val="22"/>
      <w:szCs w:val="24"/>
    </w:rPr>
  </w:style>
  <w:style w:type="character" w:customStyle="1" w:styleId="FooterChar">
    <w:name w:val="Footer Char"/>
    <w:basedOn w:val="DefaultParagraphFont"/>
    <w:link w:val="Footer"/>
    <w:rsid w:val="00927C7E"/>
    <w:rPr>
      <w:rFonts w:eastAsia="Times New Roman" w:cs="Times New Roman"/>
      <w:color w:val="002B7F"/>
      <w:sz w:val="22"/>
      <w:szCs w:val="24"/>
    </w:rPr>
  </w:style>
  <w:style w:type="character" w:styleId="PageNumber">
    <w:name w:val="page number"/>
    <w:rsid w:val="00927C7E"/>
    <w:rPr>
      <w:sz w:val="24"/>
    </w:rPr>
  </w:style>
  <w:style w:type="paragraph" w:customStyle="1" w:styleId="TableText">
    <w:name w:val="TableText"/>
    <w:basedOn w:val="Normal"/>
    <w:rsid w:val="00927C7E"/>
    <w:pPr>
      <w:spacing w:before="80" w:after="80" w:line="360" w:lineRule="auto"/>
    </w:pPr>
    <w:rPr>
      <w:rFonts w:eastAsia="Times New Roman" w:cs="Times New Roman"/>
      <w:sz w:val="22"/>
      <w:szCs w:val="24"/>
    </w:rPr>
  </w:style>
  <w:style w:type="paragraph" w:customStyle="1" w:styleId="Source">
    <w:name w:val="Source"/>
    <w:basedOn w:val="Normal"/>
    <w:next w:val="Normal"/>
    <w:rsid w:val="00927C7E"/>
    <w:pPr>
      <w:pBdr>
        <w:bottom w:val="single" w:sz="18" w:space="6" w:color="808080"/>
      </w:pBdr>
      <w:spacing w:after="220" w:line="360" w:lineRule="auto"/>
    </w:pPr>
    <w:rPr>
      <w:rFonts w:eastAsia="Times New Roman" w:cs="Times New Roman"/>
      <w:sz w:val="18"/>
      <w:szCs w:val="24"/>
    </w:rPr>
  </w:style>
  <w:style w:type="paragraph" w:styleId="Title">
    <w:name w:val="Title"/>
    <w:basedOn w:val="Normal"/>
    <w:next w:val="Normal"/>
    <w:link w:val="TitleChar"/>
    <w:autoRedefine/>
    <w:uiPriority w:val="10"/>
    <w:qFormat/>
    <w:rsid w:val="0060049D"/>
    <w:pPr>
      <w:framePr w:hSpace="180" w:wrap="around" w:vAnchor="page" w:hAnchor="margin" w:x="-284" w:y="1786"/>
      <w:spacing w:before="240" w:after="240" w:line="360" w:lineRule="auto"/>
      <w:contextualSpacing/>
    </w:pPr>
    <w:rPr>
      <w:rFonts w:eastAsiaTheme="majorEastAsia" w:cstheme="majorBidi"/>
      <w:b/>
      <w:color w:val="23532C"/>
      <w:spacing w:val="5"/>
      <w:kern w:val="28"/>
      <w:sz w:val="44"/>
      <w:szCs w:val="52"/>
    </w:rPr>
  </w:style>
  <w:style w:type="character" w:customStyle="1" w:styleId="TitleChar">
    <w:name w:val="Title Char"/>
    <w:basedOn w:val="DefaultParagraphFont"/>
    <w:link w:val="Title"/>
    <w:uiPriority w:val="10"/>
    <w:rsid w:val="0060049D"/>
    <w:rPr>
      <w:rFonts w:eastAsiaTheme="majorEastAsia" w:cstheme="majorBidi"/>
      <w:b/>
      <w:color w:val="23532C"/>
      <w:spacing w:val="5"/>
      <w:kern w:val="28"/>
      <w:sz w:val="44"/>
      <w:szCs w:val="52"/>
    </w:rPr>
  </w:style>
  <w:style w:type="paragraph" w:styleId="TOCHeading">
    <w:name w:val="TOC Heading"/>
    <w:basedOn w:val="Normal"/>
    <w:next w:val="Normal"/>
    <w:uiPriority w:val="39"/>
    <w:unhideWhenUsed/>
    <w:qFormat/>
    <w:rsid w:val="009952A3"/>
    <w:pPr>
      <w:keepNext/>
      <w:keepLines/>
      <w:spacing w:before="480" w:after="240"/>
    </w:pPr>
    <w:rPr>
      <w:rFonts w:eastAsiaTheme="majorEastAsia" w:cstheme="majorBidi"/>
      <w:b/>
      <w:color w:val="23532C"/>
      <w:sz w:val="28"/>
      <w:szCs w:val="28"/>
      <w:lang w:val="en-US" w:eastAsia="ja-JP"/>
    </w:rPr>
  </w:style>
  <w:style w:type="paragraph" w:styleId="TOC1">
    <w:name w:val="toc 1"/>
    <w:basedOn w:val="Normal"/>
    <w:next w:val="Normal"/>
    <w:autoRedefine/>
    <w:uiPriority w:val="39"/>
    <w:unhideWhenUsed/>
    <w:rsid w:val="00927C7E"/>
    <w:pPr>
      <w:spacing w:after="100" w:line="360" w:lineRule="auto"/>
    </w:pPr>
    <w:rPr>
      <w:rFonts w:eastAsia="Times New Roman" w:cs="Times New Roman"/>
      <w:sz w:val="22"/>
      <w:szCs w:val="24"/>
    </w:rPr>
  </w:style>
  <w:style w:type="paragraph" w:styleId="TOC2">
    <w:name w:val="toc 2"/>
    <w:basedOn w:val="Normal"/>
    <w:next w:val="Normal"/>
    <w:autoRedefine/>
    <w:uiPriority w:val="39"/>
    <w:unhideWhenUsed/>
    <w:rsid w:val="00927C7E"/>
    <w:pPr>
      <w:spacing w:after="100" w:line="360" w:lineRule="auto"/>
      <w:ind w:left="220"/>
    </w:pPr>
    <w:rPr>
      <w:rFonts w:eastAsia="Times New Roman" w:cs="Times New Roman"/>
      <w:sz w:val="22"/>
      <w:szCs w:val="24"/>
    </w:rPr>
  </w:style>
  <w:style w:type="paragraph" w:styleId="TOC3">
    <w:name w:val="toc 3"/>
    <w:basedOn w:val="Normal"/>
    <w:next w:val="Normal"/>
    <w:autoRedefine/>
    <w:uiPriority w:val="39"/>
    <w:unhideWhenUsed/>
    <w:rsid w:val="00927C7E"/>
    <w:pPr>
      <w:spacing w:after="100" w:line="360" w:lineRule="auto"/>
      <w:ind w:left="440"/>
    </w:pPr>
    <w:rPr>
      <w:rFonts w:eastAsia="Times New Roman" w:cs="Times New Roman"/>
      <w:sz w:val="22"/>
      <w:szCs w:val="24"/>
    </w:rPr>
  </w:style>
  <w:style w:type="character" w:styleId="CommentReference">
    <w:name w:val="annotation reference"/>
    <w:basedOn w:val="DefaultParagraphFont"/>
    <w:uiPriority w:val="99"/>
    <w:semiHidden/>
    <w:unhideWhenUsed/>
    <w:rsid w:val="00927C7E"/>
    <w:rPr>
      <w:sz w:val="16"/>
      <w:szCs w:val="16"/>
    </w:rPr>
  </w:style>
  <w:style w:type="paragraph" w:styleId="CommentText">
    <w:name w:val="annotation text"/>
    <w:basedOn w:val="Normal"/>
    <w:link w:val="CommentTextChar"/>
    <w:uiPriority w:val="99"/>
    <w:unhideWhenUsed/>
    <w:rsid w:val="00927C7E"/>
    <w:pPr>
      <w:spacing w:after="22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927C7E"/>
    <w:rPr>
      <w:rFonts w:eastAsia="Times New Roman" w:cs="Times New Roman"/>
      <w:sz w:val="20"/>
      <w:szCs w:val="20"/>
    </w:rPr>
  </w:style>
  <w:style w:type="paragraph" w:customStyle="1" w:styleId="Figure">
    <w:name w:val="Figure"/>
    <w:basedOn w:val="Normal"/>
    <w:next w:val="Normal"/>
    <w:qFormat/>
    <w:rsid w:val="00305D17"/>
    <w:pPr>
      <w:keepNext/>
      <w:pBdr>
        <w:top w:val="single" w:sz="18" w:space="6" w:color="23532C"/>
      </w:pBdr>
      <w:spacing w:before="120" w:after="120" w:line="360" w:lineRule="auto"/>
    </w:pPr>
    <w:rPr>
      <w:rFonts w:eastAsia="Times New Roman" w:cs="Times New Roman"/>
      <w:b/>
      <w:color w:val="23532C"/>
      <w:sz w:val="18"/>
      <w:szCs w:val="18"/>
    </w:rPr>
  </w:style>
  <w:style w:type="paragraph" w:styleId="Caption">
    <w:name w:val="caption"/>
    <w:basedOn w:val="Normal"/>
    <w:next w:val="Normal"/>
    <w:autoRedefine/>
    <w:unhideWhenUsed/>
    <w:qFormat/>
    <w:rsid w:val="00365A3A"/>
    <w:pPr>
      <w:pBdr>
        <w:bottom w:val="single" w:sz="18" w:space="1" w:color="23532C"/>
      </w:pBdr>
      <w:spacing w:before="60" w:after="60" w:line="240" w:lineRule="auto"/>
    </w:pPr>
    <w:rPr>
      <w:rFonts w:eastAsia="Times New Roman" w:cs="Times New Roman"/>
      <w:bCs/>
      <w:color w:val="23532C"/>
      <w:sz w:val="16"/>
      <w:szCs w:val="16"/>
      <w:lang w:eastAsia="en-GB"/>
    </w:rPr>
  </w:style>
  <w:style w:type="paragraph" w:styleId="CommentSubject">
    <w:name w:val="annotation subject"/>
    <w:basedOn w:val="CommentText"/>
    <w:next w:val="CommentText"/>
    <w:link w:val="CommentSubjectChar"/>
    <w:uiPriority w:val="99"/>
    <w:semiHidden/>
    <w:unhideWhenUsed/>
    <w:rsid w:val="000533FE"/>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0533FE"/>
    <w:rPr>
      <w:rFonts w:eastAsia="Times New Roman" w:cs="Times New Roman"/>
      <w:b/>
      <w:bCs/>
      <w:sz w:val="20"/>
      <w:szCs w:val="20"/>
    </w:rPr>
  </w:style>
  <w:style w:type="paragraph" w:styleId="Revision">
    <w:name w:val="Revision"/>
    <w:hidden/>
    <w:uiPriority w:val="99"/>
    <w:semiHidden/>
    <w:rsid w:val="000533FE"/>
    <w:pPr>
      <w:spacing w:after="0" w:line="240" w:lineRule="auto"/>
    </w:pPr>
  </w:style>
  <w:style w:type="paragraph" w:customStyle="1" w:styleId="para10">
    <w:name w:val="para10"/>
    <w:basedOn w:val="Normal"/>
    <w:rsid w:val="00533D09"/>
    <w:pPr>
      <w:spacing w:after="240" w:line="360" w:lineRule="atLeast"/>
    </w:pPr>
    <w:rPr>
      <w:rFonts w:ascii="Times New Roman" w:eastAsia="Times New Roman" w:hAnsi="Times New Roman" w:cs="Times New Roman"/>
      <w:sz w:val="29"/>
      <w:szCs w:val="29"/>
      <w:lang w:eastAsia="en-NZ"/>
    </w:rPr>
  </w:style>
  <w:style w:type="character" w:customStyle="1" w:styleId="disease3">
    <w:name w:val="disease3"/>
    <w:basedOn w:val="DefaultParagraphFont"/>
    <w:rsid w:val="00FD1807"/>
  </w:style>
  <w:style w:type="table" w:styleId="MediumShading1-Accent3">
    <w:name w:val="Medium Shading 1 Accent 3"/>
    <w:basedOn w:val="TableNormal"/>
    <w:uiPriority w:val="63"/>
    <w:rsid w:val="00D5195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717E39"/>
    <w:pPr>
      <w:spacing w:before="100" w:beforeAutospacing="1" w:after="100" w:afterAutospacing="1" w:line="240" w:lineRule="auto"/>
    </w:pPr>
    <w:rPr>
      <w:rFonts w:ascii="Times New Roman" w:eastAsia="Times New Roman" w:hAnsi="Times New Roman" w:cs="Times New Roman"/>
      <w:szCs w:val="24"/>
      <w:lang w:eastAsia="en-NZ"/>
    </w:rPr>
  </w:style>
  <w:style w:type="paragraph" w:customStyle="1" w:styleId="svarticle">
    <w:name w:val="svarticle"/>
    <w:basedOn w:val="Normal"/>
    <w:rsid w:val="001E6AF7"/>
    <w:pPr>
      <w:spacing w:before="100" w:beforeAutospacing="1" w:after="100" w:afterAutospacing="1" w:line="240" w:lineRule="auto"/>
    </w:pPr>
    <w:rPr>
      <w:rFonts w:ascii="Times New Roman" w:eastAsia="Times New Roman" w:hAnsi="Times New Roman" w:cs="Times New Roman"/>
      <w:szCs w:val="24"/>
      <w:lang w:eastAsia="en-NZ"/>
    </w:rPr>
  </w:style>
  <w:style w:type="table" w:styleId="LightGrid-Accent3">
    <w:name w:val="Light Grid Accent 3"/>
    <w:basedOn w:val="TableNormal"/>
    <w:uiPriority w:val="62"/>
    <w:rsid w:val="00EC40B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ntentbody">
    <w:name w:val="contentbody"/>
    <w:basedOn w:val="Normal"/>
    <w:rsid w:val="00CA12B4"/>
    <w:pPr>
      <w:spacing w:before="100" w:beforeAutospacing="1" w:after="100" w:afterAutospacing="1" w:line="240" w:lineRule="auto"/>
    </w:pPr>
    <w:rPr>
      <w:rFonts w:ascii="Times New Roman" w:eastAsia="Times New Roman" w:hAnsi="Times New Roman" w:cs="Times New Roman"/>
      <w:szCs w:val="24"/>
      <w:lang w:eastAsia="en-NZ"/>
    </w:rPr>
  </w:style>
  <w:style w:type="table" w:styleId="LightShading-Accent3">
    <w:name w:val="Light Shading Accent 3"/>
    <w:basedOn w:val="TableNormal"/>
    <w:uiPriority w:val="60"/>
    <w:rsid w:val="0060049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60049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1">
    <w:name w:val="Heading 1 Char1"/>
    <w:basedOn w:val="DefaultParagraphFont"/>
    <w:link w:val="Heading1"/>
    <w:rsid w:val="009952A3"/>
    <w:rPr>
      <w:rFonts w:eastAsiaTheme="majorEastAsia" w:cstheme="majorBidi"/>
      <w:b/>
      <w:bCs/>
      <w:color w:val="23532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13034">
      <w:bodyDiv w:val="1"/>
      <w:marLeft w:val="0"/>
      <w:marRight w:val="0"/>
      <w:marTop w:val="0"/>
      <w:marBottom w:val="0"/>
      <w:divBdr>
        <w:top w:val="none" w:sz="0" w:space="0" w:color="auto"/>
        <w:left w:val="none" w:sz="0" w:space="0" w:color="auto"/>
        <w:bottom w:val="none" w:sz="0" w:space="0" w:color="auto"/>
        <w:right w:val="none" w:sz="0" w:space="0" w:color="auto"/>
      </w:divBdr>
    </w:div>
    <w:div w:id="793015064">
      <w:bodyDiv w:val="1"/>
      <w:marLeft w:val="0"/>
      <w:marRight w:val="0"/>
      <w:marTop w:val="0"/>
      <w:marBottom w:val="0"/>
      <w:divBdr>
        <w:top w:val="none" w:sz="0" w:space="0" w:color="auto"/>
        <w:left w:val="none" w:sz="0" w:space="0" w:color="auto"/>
        <w:bottom w:val="none" w:sz="0" w:space="0" w:color="auto"/>
        <w:right w:val="none" w:sz="0" w:space="0" w:color="auto"/>
      </w:divBdr>
      <w:divsChild>
        <w:div w:id="971327921">
          <w:marLeft w:val="0"/>
          <w:marRight w:val="0"/>
          <w:marTop w:val="0"/>
          <w:marBottom w:val="0"/>
          <w:divBdr>
            <w:top w:val="none" w:sz="0" w:space="0" w:color="auto"/>
            <w:left w:val="none" w:sz="0" w:space="0" w:color="auto"/>
            <w:bottom w:val="none" w:sz="0" w:space="0" w:color="auto"/>
            <w:right w:val="none" w:sz="0" w:space="0" w:color="auto"/>
          </w:divBdr>
          <w:divsChild>
            <w:div w:id="1738240506">
              <w:marLeft w:val="0"/>
              <w:marRight w:val="0"/>
              <w:marTop w:val="0"/>
              <w:marBottom w:val="0"/>
              <w:divBdr>
                <w:top w:val="none" w:sz="0" w:space="0" w:color="auto"/>
                <w:left w:val="none" w:sz="0" w:space="0" w:color="auto"/>
                <w:bottom w:val="none" w:sz="0" w:space="0" w:color="auto"/>
                <w:right w:val="none" w:sz="0" w:space="0" w:color="auto"/>
              </w:divBdr>
              <w:divsChild>
                <w:div w:id="528907455">
                  <w:marLeft w:val="0"/>
                  <w:marRight w:val="0"/>
                  <w:marTop w:val="0"/>
                  <w:marBottom w:val="0"/>
                  <w:divBdr>
                    <w:top w:val="none" w:sz="0" w:space="0" w:color="auto"/>
                    <w:left w:val="none" w:sz="0" w:space="0" w:color="auto"/>
                    <w:bottom w:val="none" w:sz="0" w:space="0" w:color="auto"/>
                    <w:right w:val="none" w:sz="0" w:space="0" w:color="auto"/>
                  </w:divBdr>
                  <w:divsChild>
                    <w:div w:id="8055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6469">
      <w:bodyDiv w:val="1"/>
      <w:marLeft w:val="0"/>
      <w:marRight w:val="0"/>
      <w:marTop w:val="0"/>
      <w:marBottom w:val="0"/>
      <w:divBdr>
        <w:top w:val="none" w:sz="0" w:space="0" w:color="auto"/>
        <w:left w:val="none" w:sz="0" w:space="0" w:color="auto"/>
        <w:bottom w:val="none" w:sz="0" w:space="0" w:color="auto"/>
        <w:right w:val="none" w:sz="0" w:space="0" w:color="auto"/>
      </w:divBdr>
    </w:div>
    <w:div w:id="1279986858">
      <w:bodyDiv w:val="1"/>
      <w:marLeft w:val="0"/>
      <w:marRight w:val="0"/>
      <w:marTop w:val="0"/>
      <w:marBottom w:val="0"/>
      <w:divBdr>
        <w:top w:val="none" w:sz="0" w:space="0" w:color="auto"/>
        <w:left w:val="none" w:sz="0" w:space="0" w:color="auto"/>
        <w:bottom w:val="none" w:sz="0" w:space="0" w:color="auto"/>
        <w:right w:val="none" w:sz="0" w:space="0" w:color="auto"/>
      </w:divBdr>
      <w:divsChild>
        <w:div w:id="1326933141">
          <w:marLeft w:val="0"/>
          <w:marRight w:val="0"/>
          <w:marTop w:val="0"/>
          <w:marBottom w:val="0"/>
          <w:divBdr>
            <w:top w:val="none" w:sz="0" w:space="0" w:color="auto"/>
            <w:left w:val="none" w:sz="0" w:space="0" w:color="auto"/>
            <w:bottom w:val="none" w:sz="0" w:space="0" w:color="auto"/>
            <w:right w:val="none" w:sz="0" w:space="0" w:color="auto"/>
          </w:divBdr>
          <w:divsChild>
            <w:div w:id="1222790058">
              <w:marLeft w:val="0"/>
              <w:marRight w:val="0"/>
              <w:marTop w:val="0"/>
              <w:marBottom w:val="0"/>
              <w:divBdr>
                <w:top w:val="none" w:sz="0" w:space="0" w:color="auto"/>
                <w:left w:val="none" w:sz="0" w:space="0" w:color="auto"/>
                <w:bottom w:val="none" w:sz="0" w:space="0" w:color="auto"/>
                <w:right w:val="none" w:sz="0" w:space="0" w:color="auto"/>
              </w:divBdr>
              <w:divsChild>
                <w:div w:id="437994879">
                  <w:marLeft w:val="0"/>
                  <w:marRight w:val="0"/>
                  <w:marTop w:val="0"/>
                  <w:marBottom w:val="0"/>
                  <w:divBdr>
                    <w:top w:val="none" w:sz="0" w:space="0" w:color="auto"/>
                    <w:left w:val="none" w:sz="0" w:space="0" w:color="auto"/>
                    <w:bottom w:val="none" w:sz="0" w:space="0" w:color="auto"/>
                    <w:right w:val="none" w:sz="0" w:space="0" w:color="auto"/>
                  </w:divBdr>
                  <w:divsChild>
                    <w:div w:id="628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89660">
      <w:bodyDiv w:val="1"/>
      <w:marLeft w:val="0"/>
      <w:marRight w:val="0"/>
      <w:marTop w:val="0"/>
      <w:marBottom w:val="0"/>
      <w:divBdr>
        <w:top w:val="none" w:sz="0" w:space="0" w:color="auto"/>
        <w:left w:val="none" w:sz="0" w:space="0" w:color="auto"/>
        <w:bottom w:val="none" w:sz="0" w:space="0" w:color="auto"/>
        <w:right w:val="none" w:sz="0" w:space="0" w:color="auto"/>
      </w:divBdr>
      <w:divsChild>
        <w:div w:id="1738480218">
          <w:marLeft w:val="0"/>
          <w:marRight w:val="0"/>
          <w:marTop w:val="0"/>
          <w:marBottom w:val="0"/>
          <w:divBdr>
            <w:top w:val="single" w:sz="18" w:space="0" w:color="6C9D30"/>
            <w:left w:val="none" w:sz="0" w:space="0" w:color="auto"/>
            <w:bottom w:val="none" w:sz="0" w:space="0" w:color="auto"/>
            <w:right w:val="none" w:sz="0" w:space="0" w:color="auto"/>
          </w:divBdr>
          <w:divsChild>
            <w:div w:id="2097820208">
              <w:marLeft w:val="0"/>
              <w:marRight w:val="0"/>
              <w:marTop w:val="0"/>
              <w:marBottom w:val="0"/>
              <w:divBdr>
                <w:top w:val="none" w:sz="0" w:space="0" w:color="auto"/>
                <w:left w:val="none" w:sz="0" w:space="0" w:color="auto"/>
                <w:bottom w:val="none" w:sz="0" w:space="0" w:color="auto"/>
                <w:right w:val="none" w:sz="0" w:space="0" w:color="auto"/>
              </w:divBdr>
              <w:divsChild>
                <w:div w:id="1039470283">
                  <w:marLeft w:val="0"/>
                  <w:marRight w:val="0"/>
                  <w:marTop w:val="0"/>
                  <w:marBottom w:val="0"/>
                  <w:divBdr>
                    <w:top w:val="none" w:sz="0" w:space="0" w:color="auto"/>
                    <w:left w:val="none" w:sz="0" w:space="0" w:color="auto"/>
                    <w:bottom w:val="none" w:sz="0" w:space="0" w:color="auto"/>
                    <w:right w:val="none" w:sz="0" w:space="0" w:color="auto"/>
                  </w:divBdr>
                  <w:divsChild>
                    <w:div w:id="53093450">
                      <w:marLeft w:val="0"/>
                      <w:marRight w:val="0"/>
                      <w:marTop w:val="0"/>
                      <w:marBottom w:val="0"/>
                      <w:divBdr>
                        <w:top w:val="none" w:sz="0" w:space="0" w:color="auto"/>
                        <w:left w:val="none" w:sz="0" w:space="0" w:color="auto"/>
                        <w:bottom w:val="none" w:sz="0" w:space="0" w:color="auto"/>
                        <w:right w:val="none" w:sz="0" w:space="0" w:color="auto"/>
                      </w:divBdr>
                      <w:divsChild>
                        <w:div w:id="10109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585014">
      <w:bodyDiv w:val="1"/>
      <w:marLeft w:val="0"/>
      <w:marRight w:val="0"/>
      <w:marTop w:val="0"/>
      <w:marBottom w:val="0"/>
      <w:divBdr>
        <w:top w:val="none" w:sz="0" w:space="0" w:color="auto"/>
        <w:left w:val="none" w:sz="0" w:space="0" w:color="auto"/>
        <w:bottom w:val="none" w:sz="0" w:space="0" w:color="auto"/>
        <w:right w:val="none" w:sz="0" w:space="0" w:color="auto"/>
      </w:divBdr>
      <w:divsChild>
        <w:div w:id="1904175995">
          <w:marLeft w:val="0"/>
          <w:marRight w:val="0"/>
          <w:marTop w:val="0"/>
          <w:marBottom w:val="0"/>
          <w:divBdr>
            <w:top w:val="single" w:sz="18" w:space="0" w:color="6C9D30"/>
            <w:left w:val="none" w:sz="0" w:space="0" w:color="auto"/>
            <w:bottom w:val="none" w:sz="0" w:space="0" w:color="auto"/>
            <w:right w:val="none" w:sz="0" w:space="0" w:color="auto"/>
          </w:divBdr>
          <w:divsChild>
            <w:div w:id="1731807924">
              <w:marLeft w:val="0"/>
              <w:marRight w:val="0"/>
              <w:marTop w:val="0"/>
              <w:marBottom w:val="0"/>
              <w:divBdr>
                <w:top w:val="none" w:sz="0" w:space="0" w:color="auto"/>
                <w:left w:val="none" w:sz="0" w:space="0" w:color="auto"/>
                <w:bottom w:val="none" w:sz="0" w:space="0" w:color="auto"/>
                <w:right w:val="none" w:sz="0" w:space="0" w:color="auto"/>
              </w:divBdr>
              <w:divsChild>
                <w:div w:id="122119381">
                  <w:marLeft w:val="0"/>
                  <w:marRight w:val="0"/>
                  <w:marTop w:val="0"/>
                  <w:marBottom w:val="0"/>
                  <w:divBdr>
                    <w:top w:val="none" w:sz="0" w:space="0" w:color="auto"/>
                    <w:left w:val="none" w:sz="0" w:space="0" w:color="auto"/>
                    <w:bottom w:val="none" w:sz="0" w:space="0" w:color="auto"/>
                    <w:right w:val="none" w:sz="0" w:space="0" w:color="auto"/>
                  </w:divBdr>
                  <w:divsChild>
                    <w:div w:id="1855802904">
                      <w:marLeft w:val="0"/>
                      <w:marRight w:val="0"/>
                      <w:marTop w:val="0"/>
                      <w:marBottom w:val="0"/>
                      <w:divBdr>
                        <w:top w:val="none" w:sz="0" w:space="0" w:color="auto"/>
                        <w:left w:val="none" w:sz="0" w:space="0" w:color="auto"/>
                        <w:bottom w:val="none" w:sz="0" w:space="0" w:color="auto"/>
                        <w:right w:val="none" w:sz="0" w:space="0" w:color="auto"/>
                      </w:divBdr>
                      <w:divsChild>
                        <w:div w:id="10568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36975">
      <w:bodyDiv w:val="1"/>
      <w:marLeft w:val="0"/>
      <w:marRight w:val="0"/>
      <w:marTop w:val="0"/>
      <w:marBottom w:val="0"/>
      <w:divBdr>
        <w:top w:val="none" w:sz="0" w:space="0" w:color="auto"/>
        <w:left w:val="none" w:sz="0" w:space="0" w:color="auto"/>
        <w:bottom w:val="none" w:sz="0" w:space="0" w:color="auto"/>
        <w:right w:val="none" w:sz="0" w:space="0" w:color="auto"/>
      </w:divBdr>
    </w:div>
    <w:div w:id="21312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www.hpa.org.nz/what-we-do/tobacco-control"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chart" Target="charts/chart6.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chart" Target="charts/chart5.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chart" Target="charts/chart4.xml"/><Relationship Id="rId28" Type="http://schemas.openxmlformats.org/officeDocument/2006/relationships/image" Target="media/image12.png"/><Relationship Id="rId36" Type="http://schemas.openxmlformats.org/officeDocument/2006/relationships/image" Target="media/image13.png"/><Relationship Id="rId10" Type="http://schemas.openxmlformats.org/officeDocument/2006/relationships/image" Target="media/image2.emf"/><Relationship Id="rId19" Type="http://schemas.openxmlformats.org/officeDocument/2006/relationships/hyperlink" Target="javascript:windowReference('drugInfo','drugContentPopup.aspx?mid=6580');"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hart" Target="charts/chart3.xml"/><Relationship Id="rId27" Type="http://schemas.openxmlformats.org/officeDocument/2006/relationships/image" Target="media/image11.png"/><Relationship Id="rId30" Type="http://schemas.openxmlformats.org/officeDocument/2006/relationships/footer" Target="footer1.xml"/><Relationship Id="rId35" Type="http://schemas.openxmlformats.org/officeDocument/2006/relationships/hyperlink" Target="http://www.nhc.health.govt.n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jwestbur\Desktop\MoH%20General\EP%20HTAs\Costs%20EP\Prevelance%20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dschwart\Cardiac\Cardiac%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schwart\Cardiac\Cardiac%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schwart\Cardiac\Cardiac%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schwart\Cardiac\Cardiac%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schwart\Cardiac\Cardiac%20Chart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schwart\Cardiac\Cardiac%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14129483814524"/>
          <c:y val="0.24109981044036163"/>
          <c:w val="0.83866404199475064"/>
          <c:h val="0.45711030912802564"/>
        </c:manualLayout>
      </c:layout>
      <c:barChart>
        <c:barDir val="col"/>
        <c:grouping val="clustered"/>
        <c:varyColors val="0"/>
        <c:ser>
          <c:idx val="2"/>
          <c:order val="0"/>
          <c:tx>
            <c:strRef>
              <c:f>Data!$E$3</c:f>
              <c:strCache>
                <c:ptCount val="1"/>
                <c:pt idx="0">
                  <c:v>AF Prevalence (n) 2011</c:v>
                </c:pt>
              </c:strCache>
            </c:strRef>
          </c:tx>
          <c:invertIfNegative val="0"/>
          <c:cat>
            <c:strRef>
              <c:f>Data!$B$4:$B$21</c:f>
              <c:strCache>
                <c:ptCount val="18"/>
                <c:pt idx="0">
                  <c:v>00-04</c:v>
                </c:pt>
                <c:pt idx="1">
                  <c:v>05-09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Data!$E$4:$E$21</c:f>
              <c:numCache>
                <c:formatCode>_(* #,##0.00_);_(* \(#,##0.00\);_(* "-"??_);_(@_)</c:formatCode>
                <c:ptCount val="18"/>
                <c:pt idx="0">
                  <c:v>51.521685866637114</c:v>
                </c:pt>
                <c:pt idx="1">
                  <c:v>73.23649052048782</c:v>
                </c:pt>
                <c:pt idx="2">
                  <c:v>129.9690360456116</c:v>
                </c:pt>
                <c:pt idx="3">
                  <c:v>236.05559947966762</c:v>
                </c:pt>
                <c:pt idx="4">
                  <c:v>404.32546759772549</c:v>
                </c:pt>
                <c:pt idx="5">
                  <c:v>698.33780924453765</c:v>
                </c:pt>
                <c:pt idx="6">
                  <c:v>1074.9606204430593</c:v>
                </c:pt>
                <c:pt idx="7">
                  <c:v>1698.4661681054804</c:v>
                </c:pt>
                <c:pt idx="8">
                  <c:v>2664.6268953170393</c:v>
                </c:pt>
                <c:pt idx="9">
                  <c:v>4027.0595339547535</c:v>
                </c:pt>
                <c:pt idx="10">
                  <c:v>5927.1292011907972</c:v>
                </c:pt>
                <c:pt idx="11">
                  <c:v>8388.8792051089458</c:v>
                </c:pt>
                <c:pt idx="12">
                  <c:v>11473.866956289807</c:v>
                </c:pt>
                <c:pt idx="13">
                  <c:v>15114.0281427712</c:v>
                </c:pt>
                <c:pt idx="14">
                  <c:v>18821.211322750303</c:v>
                </c:pt>
                <c:pt idx="15">
                  <c:v>21959.370425214805</c:v>
                </c:pt>
                <c:pt idx="16">
                  <c:v>24021.150102249336</c:v>
                </c:pt>
                <c:pt idx="17">
                  <c:v>24740.762889070575</c:v>
                </c:pt>
              </c:numCache>
            </c:numRef>
          </c:val>
        </c:ser>
        <c:ser>
          <c:idx val="5"/>
          <c:order val="3"/>
          <c:tx>
            <c:strRef>
              <c:f>Data!$H$3</c:f>
              <c:strCache>
                <c:ptCount val="1"/>
                <c:pt idx="0">
                  <c:v>AF Prevalence (n) 2061</c:v>
                </c:pt>
              </c:strCache>
            </c:strRef>
          </c:tx>
          <c:invertIfNegative val="0"/>
          <c:cat>
            <c:strRef>
              <c:f>Data!$B$4:$B$21</c:f>
              <c:strCache>
                <c:ptCount val="18"/>
                <c:pt idx="0">
                  <c:v>00-04</c:v>
                </c:pt>
                <c:pt idx="1">
                  <c:v>05-09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Data!$H$4:$H$21</c:f>
              <c:numCache>
                <c:formatCode>_(* #,##0.00_);_(* \(#,##0.00\);_(* "-"??_);_(@_)</c:formatCode>
                <c:ptCount val="18"/>
                <c:pt idx="0">
                  <c:v>38.667490760816001</c:v>
                </c:pt>
                <c:pt idx="1">
                  <c:v>61.487143699890915</c:v>
                </c:pt>
                <c:pt idx="2">
                  <c:v>110.95296726607569</c:v>
                </c:pt>
                <c:pt idx="3">
                  <c:v>196.49005321251769</c:v>
                </c:pt>
                <c:pt idx="4">
                  <c:v>341.13952315589165</c:v>
                </c:pt>
                <c:pt idx="5">
                  <c:v>643.60854587098902</c:v>
                </c:pt>
                <c:pt idx="6">
                  <c:v>1111.0368250420863</c:v>
                </c:pt>
                <c:pt idx="7">
                  <c:v>1685.8355583034154</c:v>
                </c:pt>
                <c:pt idx="8">
                  <c:v>2512.7057571355322</c:v>
                </c:pt>
                <c:pt idx="9">
                  <c:v>3853.6273687198664</c:v>
                </c:pt>
                <c:pt idx="10">
                  <c:v>6392.741480389619</c:v>
                </c:pt>
                <c:pt idx="11">
                  <c:v>9573.6976012313862</c:v>
                </c:pt>
                <c:pt idx="12">
                  <c:v>14131.381365438925</c:v>
                </c:pt>
                <c:pt idx="13">
                  <c:v>24953.350686744183</c:v>
                </c:pt>
                <c:pt idx="14">
                  <c:v>36375.498240954548</c:v>
                </c:pt>
                <c:pt idx="15">
                  <c:v>49360.404220875396</c:v>
                </c:pt>
                <c:pt idx="16">
                  <c:v>54023.586944261864</c:v>
                </c:pt>
                <c:pt idx="17">
                  <c:v>83192.722915545062</c:v>
                </c:pt>
              </c:numCache>
            </c:numRef>
          </c:val>
        </c:ser>
        <c:ser>
          <c:idx val="3"/>
          <c:order val="1"/>
          <c:tx>
            <c:strRef>
              <c:f>Data!$F$3</c:f>
              <c:strCache>
                <c:ptCount val="1"/>
                <c:pt idx="0">
                  <c:v>AFL Prevalence (p)* </c:v>
                </c:pt>
              </c:strCache>
            </c:strRef>
          </c:tx>
          <c:invertIfNegative val="0"/>
          <c:cat>
            <c:strRef>
              <c:f>Data!$B$4:$B$21</c:f>
              <c:strCache>
                <c:ptCount val="18"/>
                <c:pt idx="0">
                  <c:v>00-04</c:v>
                </c:pt>
                <c:pt idx="1">
                  <c:v>05-09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Data!$F$4:$F$21</c:f>
            </c:numRef>
          </c:val>
        </c:ser>
        <c:ser>
          <c:idx val="4"/>
          <c:order val="2"/>
          <c:tx>
            <c:strRef>
              <c:f>Data!$G$3</c:f>
              <c:strCache>
                <c:ptCount val="1"/>
                <c:pt idx="0">
                  <c:v>AFL Prevalence (n)</c:v>
                </c:pt>
              </c:strCache>
            </c:strRef>
          </c:tx>
          <c:invertIfNegative val="0"/>
          <c:cat>
            <c:strRef>
              <c:f>Data!$B$4:$B$21</c:f>
              <c:strCache>
                <c:ptCount val="18"/>
                <c:pt idx="0">
                  <c:v>00-04</c:v>
                </c:pt>
                <c:pt idx="1">
                  <c:v>05-09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Data!$G$4:$G$21</c:f>
            </c:numRef>
          </c:val>
        </c:ser>
        <c:ser>
          <c:idx val="0"/>
          <c:order val="4"/>
          <c:tx>
            <c:strRef>
              <c:f>Data!$I$3</c:f>
              <c:strCache>
                <c:ptCount val="1"/>
                <c:pt idx="0">
                  <c:v>AF Prevalence (n) 2021</c:v>
                </c:pt>
              </c:strCache>
            </c:strRef>
          </c:tx>
          <c:invertIfNegative val="0"/>
          <c:val>
            <c:numRef>
              <c:f>Data!$I$4:$I$21</c:f>
              <c:numCache>
                <c:formatCode>_(* #,##0.00_);_(* \(#,##0.00\);_(* "-"??_);_(@_)</c:formatCode>
                <c:ptCount val="18"/>
                <c:pt idx="0">
                  <c:v>44.715945229125118</c:v>
                </c:pt>
                <c:pt idx="1">
                  <c:v>73.341008467904715</c:v>
                </c:pt>
                <c:pt idx="2">
                  <c:v>138.87990460515596</c:v>
                </c:pt>
                <c:pt idx="3">
                  <c:v>220.19668217423975</c:v>
                </c:pt>
                <c:pt idx="4">
                  <c:v>381.12748327827865</c:v>
                </c:pt>
                <c:pt idx="5">
                  <c:v>758.90296286077921</c:v>
                </c:pt>
                <c:pt idx="6">
                  <c:v>1276.0578919306486</c:v>
                </c:pt>
                <c:pt idx="7">
                  <c:v>1781.1498822727031</c:v>
                </c:pt>
                <c:pt idx="8">
                  <c:v>2380.6374653905314</c:v>
                </c:pt>
                <c:pt idx="9">
                  <c:v>3663.0287009580916</c:v>
                </c:pt>
                <c:pt idx="10">
                  <c:v>6045.4177427093391</c:v>
                </c:pt>
                <c:pt idx="11">
                  <c:v>9941.9167397402853</c:v>
                </c:pt>
                <c:pt idx="12">
                  <c:v>13757.971494080382</c:v>
                </c:pt>
                <c:pt idx="13">
                  <c:v>20116.393857944422</c:v>
                </c:pt>
                <c:pt idx="14">
                  <c:v>27501.845714225961</c:v>
                </c:pt>
                <c:pt idx="15">
                  <c:v>30834.710949060704</c:v>
                </c:pt>
                <c:pt idx="16">
                  <c:v>30168.260452988452</c:v>
                </c:pt>
                <c:pt idx="17">
                  <c:v>30217.984556767489</c:v>
                </c:pt>
              </c:numCache>
            </c:numRef>
          </c:val>
        </c:ser>
        <c:ser>
          <c:idx val="1"/>
          <c:order val="5"/>
          <c:tx>
            <c:strRef>
              <c:f>Data!$J$3</c:f>
              <c:strCache>
                <c:ptCount val="1"/>
                <c:pt idx="0">
                  <c:v>AF Prevalence (n) 2016</c:v>
                </c:pt>
              </c:strCache>
            </c:strRef>
          </c:tx>
          <c:invertIfNegative val="0"/>
          <c:val>
            <c:numRef>
              <c:f>Data!$J$4:$J$21</c:f>
              <c:numCache>
                <c:formatCode>_(* #,##0.00_);_(* \(#,##0.00\);_(* "-"??_);_(@_)</c:formatCode>
                <c:ptCount val="18"/>
                <c:pt idx="0">
                  <c:v>46.945185900371825</c:v>
                </c:pt>
                <c:pt idx="1">
                  <c:v>79.382655672247225</c:v>
                </c:pt>
                <c:pt idx="2">
                  <c:v>128.97893953899555</c:v>
                </c:pt>
                <c:pt idx="3">
                  <c:v>223.24361567715704</c:v>
                </c:pt>
                <c:pt idx="4">
                  <c:v>403.72937378223651</c:v>
                </c:pt>
                <c:pt idx="5">
                  <c:v>753.20941140449327</c:v>
                </c:pt>
                <c:pt idx="6">
                  <c:v>1187.0489155182022</c:v>
                </c:pt>
                <c:pt idx="7">
                  <c:v>1632.0385165538785</c:v>
                </c:pt>
                <c:pt idx="8">
                  <c:v>2501.6290616988549</c:v>
                </c:pt>
                <c:pt idx="9">
                  <c:v>3931.886424357152</c:v>
                </c:pt>
                <c:pt idx="10">
                  <c:v>6212.1331367958746</c:v>
                </c:pt>
                <c:pt idx="11">
                  <c:v>9495.491766503832</c:v>
                </c:pt>
                <c:pt idx="12">
                  <c:v>12143.095037425899</c:v>
                </c:pt>
                <c:pt idx="13">
                  <c:v>18988.605996307171</c:v>
                </c:pt>
                <c:pt idx="14">
                  <c:v>21724.255893903406</c:v>
                </c:pt>
                <c:pt idx="15">
                  <c:v>26503.760284844517</c:v>
                </c:pt>
                <c:pt idx="16">
                  <c:v>24553.531169066784</c:v>
                </c:pt>
                <c:pt idx="17">
                  <c:v>27979.615330340268</c:v>
                </c:pt>
              </c:numCache>
            </c:numRef>
          </c:val>
        </c:ser>
        <c:dLbls>
          <c:showLegendKey val="0"/>
          <c:showVal val="0"/>
          <c:showCatName val="0"/>
          <c:showSerName val="0"/>
          <c:showPercent val="0"/>
          <c:showBubbleSize val="0"/>
        </c:dLbls>
        <c:gapWidth val="150"/>
        <c:axId val="282039040"/>
        <c:axId val="282041344"/>
      </c:barChart>
      <c:catAx>
        <c:axId val="282039040"/>
        <c:scaling>
          <c:orientation val="minMax"/>
        </c:scaling>
        <c:delete val="0"/>
        <c:axPos val="b"/>
        <c:majorTickMark val="none"/>
        <c:minorTickMark val="none"/>
        <c:tickLblPos val="nextTo"/>
        <c:crossAx val="282041344"/>
        <c:crosses val="autoZero"/>
        <c:auto val="1"/>
        <c:lblAlgn val="ctr"/>
        <c:lblOffset val="100"/>
        <c:noMultiLvlLbl val="0"/>
      </c:catAx>
      <c:valAx>
        <c:axId val="282041344"/>
        <c:scaling>
          <c:orientation val="minMax"/>
        </c:scaling>
        <c:delete val="0"/>
        <c:axPos val="l"/>
        <c:majorGridlines/>
        <c:numFmt formatCode="_(* #,##0_);_(* \(#,##0\);_(* &quot;-&quot;_);_(@_)" sourceLinked="0"/>
        <c:majorTickMark val="none"/>
        <c:minorTickMark val="none"/>
        <c:tickLblPos val="nextTo"/>
        <c:crossAx val="282039040"/>
        <c:crosses val="autoZero"/>
        <c:crossBetween val="between"/>
      </c:valAx>
    </c:plotArea>
    <c:legend>
      <c:legendPos val="r"/>
      <c:layout>
        <c:manualLayout>
          <c:xMode val="edge"/>
          <c:yMode val="edge"/>
          <c:x val="9.166666666666666E-2"/>
          <c:y val="0.86298410615339749"/>
          <c:w val="0.83444422572178478"/>
          <c:h val="0.13701589384660251"/>
        </c:manualLayout>
      </c:layout>
      <c:overlay val="0"/>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1"/>
          <c:order val="1"/>
          <c:tx>
            <c:strRef>
              <c:f>'Deaths and DALYs'!$C$1</c:f>
              <c:strCache>
                <c:ptCount val="1"/>
                <c:pt idx="0">
                  <c:v>DALYs</c:v>
                </c:pt>
              </c:strCache>
            </c:strRef>
          </c:tx>
          <c:invertIfNegative val="0"/>
          <c:cat>
            <c:strRef>
              <c:f>'Deaths and DALYs'!$A$2:$A$13</c:f>
              <c:strCache>
                <c:ptCount val="12"/>
                <c:pt idx="0">
                  <c:v>IHD</c:v>
                </c:pt>
                <c:pt idx="1">
                  <c:v>Stroke</c:v>
                </c:pt>
                <c:pt idx="2">
                  <c:v>NRVHD</c:v>
                </c:pt>
                <c:pt idx="3">
                  <c:v>Aortic Aneurysms</c:v>
                </c:pt>
                <c:pt idx="4">
                  <c:v>HTN</c:v>
                </c:pt>
                <c:pt idx="5">
                  <c:v>AF</c:v>
                </c:pt>
                <c:pt idx="6">
                  <c:v>Cardiomyopathies</c:v>
                </c:pt>
                <c:pt idx="7">
                  <c:v>RHD</c:v>
                </c:pt>
                <c:pt idx="8">
                  <c:v>PVD</c:v>
                </c:pt>
                <c:pt idx="9">
                  <c:v>Pulmonary Embolism/VTE</c:v>
                </c:pt>
                <c:pt idx="10">
                  <c:v>Inflammatory Heart Disease</c:v>
                </c:pt>
                <c:pt idx="11">
                  <c:v>Other</c:v>
                </c:pt>
              </c:strCache>
            </c:strRef>
          </c:cat>
          <c:val>
            <c:numRef>
              <c:f>'Deaths and DALYs'!$C$2:$C$13</c:f>
              <c:numCache>
                <c:formatCode>General</c:formatCode>
                <c:ptCount val="12"/>
                <c:pt idx="0">
                  <c:v>89159</c:v>
                </c:pt>
                <c:pt idx="1">
                  <c:v>37688</c:v>
                </c:pt>
                <c:pt idx="2">
                  <c:v>6722</c:v>
                </c:pt>
                <c:pt idx="3">
                  <c:v>5494</c:v>
                </c:pt>
                <c:pt idx="4">
                  <c:v>3349</c:v>
                </c:pt>
                <c:pt idx="5">
                  <c:v>4385</c:v>
                </c:pt>
                <c:pt idx="6">
                  <c:v>4824</c:v>
                </c:pt>
                <c:pt idx="7">
                  <c:v>2847</c:v>
                </c:pt>
                <c:pt idx="8">
                  <c:v>1387</c:v>
                </c:pt>
                <c:pt idx="9">
                  <c:v>1084</c:v>
                </c:pt>
                <c:pt idx="10">
                  <c:v>1351</c:v>
                </c:pt>
                <c:pt idx="11">
                  <c:v>670</c:v>
                </c:pt>
              </c:numCache>
            </c:numRef>
          </c:val>
        </c:ser>
        <c:dLbls>
          <c:showLegendKey val="0"/>
          <c:showVal val="0"/>
          <c:showCatName val="0"/>
          <c:showSerName val="0"/>
          <c:showPercent val="0"/>
          <c:showBubbleSize val="0"/>
        </c:dLbls>
        <c:gapWidth val="298"/>
        <c:overlap val="-16"/>
        <c:axId val="492026496"/>
        <c:axId val="492032768"/>
      </c:barChart>
      <c:barChart>
        <c:barDir val="col"/>
        <c:grouping val="clustered"/>
        <c:varyColors val="0"/>
        <c:ser>
          <c:idx val="0"/>
          <c:order val="0"/>
          <c:tx>
            <c:strRef>
              <c:f>'Deaths and DALYs'!$B$1</c:f>
              <c:strCache>
                <c:ptCount val="1"/>
                <c:pt idx="0">
                  <c:v>Deaths</c:v>
                </c:pt>
              </c:strCache>
            </c:strRef>
          </c:tx>
          <c:invertIfNegative val="0"/>
          <c:cat>
            <c:strRef>
              <c:f>'Deaths and DALYs'!$A$2:$A$13</c:f>
              <c:strCache>
                <c:ptCount val="12"/>
                <c:pt idx="0">
                  <c:v>IHD</c:v>
                </c:pt>
                <c:pt idx="1">
                  <c:v>Stroke</c:v>
                </c:pt>
                <c:pt idx="2">
                  <c:v>NRVHD</c:v>
                </c:pt>
                <c:pt idx="3">
                  <c:v>Aortic Aneurysms</c:v>
                </c:pt>
                <c:pt idx="4">
                  <c:v>HTN</c:v>
                </c:pt>
                <c:pt idx="5">
                  <c:v>AF</c:v>
                </c:pt>
                <c:pt idx="6">
                  <c:v>Cardiomyopathies</c:v>
                </c:pt>
                <c:pt idx="7">
                  <c:v>RHD</c:v>
                </c:pt>
                <c:pt idx="8">
                  <c:v>PVD</c:v>
                </c:pt>
                <c:pt idx="9">
                  <c:v>Pulmonary Embolism/VTE</c:v>
                </c:pt>
                <c:pt idx="10">
                  <c:v>Inflammatory Heart Disease</c:v>
                </c:pt>
                <c:pt idx="11">
                  <c:v>Other</c:v>
                </c:pt>
              </c:strCache>
            </c:strRef>
          </c:cat>
          <c:val>
            <c:numRef>
              <c:f>'Deaths and DALYs'!$B$2:$B$13</c:f>
              <c:numCache>
                <c:formatCode>General</c:formatCode>
                <c:ptCount val="12"/>
                <c:pt idx="0">
                  <c:v>6027</c:v>
                </c:pt>
                <c:pt idx="1">
                  <c:v>2705</c:v>
                </c:pt>
                <c:pt idx="2">
                  <c:v>467</c:v>
                </c:pt>
                <c:pt idx="3">
                  <c:v>384</c:v>
                </c:pt>
                <c:pt idx="4">
                  <c:v>285</c:v>
                </c:pt>
                <c:pt idx="5">
                  <c:v>189</c:v>
                </c:pt>
                <c:pt idx="6">
                  <c:v>174</c:v>
                </c:pt>
                <c:pt idx="7">
                  <c:v>112</c:v>
                </c:pt>
                <c:pt idx="8">
                  <c:v>104</c:v>
                </c:pt>
                <c:pt idx="9">
                  <c:v>44</c:v>
                </c:pt>
                <c:pt idx="10">
                  <c:v>43</c:v>
                </c:pt>
                <c:pt idx="11">
                  <c:v>34</c:v>
                </c:pt>
              </c:numCache>
            </c:numRef>
          </c:val>
        </c:ser>
        <c:ser>
          <c:idx val="2"/>
          <c:order val="2"/>
          <c:invertIfNegative val="0"/>
          <c:cat>
            <c:strRef>
              <c:f>'Deaths and DALYs'!$A$2:$A$13</c:f>
              <c:strCache>
                <c:ptCount val="12"/>
                <c:pt idx="0">
                  <c:v>IHD</c:v>
                </c:pt>
                <c:pt idx="1">
                  <c:v>Stroke</c:v>
                </c:pt>
                <c:pt idx="2">
                  <c:v>NRVHD</c:v>
                </c:pt>
                <c:pt idx="3">
                  <c:v>Aortic Aneurysms</c:v>
                </c:pt>
                <c:pt idx="4">
                  <c:v>HTN</c:v>
                </c:pt>
                <c:pt idx="5">
                  <c:v>AF</c:v>
                </c:pt>
                <c:pt idx="6">
                  <c:v>Cardiomyopathies</c:v>
                </c:pt>
                <c:pt idx="7">
                  <c:v>RHD</c:v>
                </c:pt>
                <c:pt idx="8">
                  <c:v>PVD</c:v>
                </c:pt>
                <c:pt idx="9">
                  <c:v>Pulmonary Embolism/VTE</c:v>
                </c:pt>
                <c:pt idx="10">
                  <c:v>Inflammatory Heart Disease</c:v>
                </c:pt>
                <c:pt idx="11">
                  <c:v>Other</c:v>
                </c:pt>
              </c:strCache>
            </c:strRef>
          </c:cat>
          <c:val>
            <c:numRef>
              <c:f>'\\wmntfp.moh.govt.nz\userstate\Users\dschwart\Respiratory\[Respiratory NMDS.xls]BoD on Death and DALYs'!$D$2:$D$16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ser>
        <c:ser>
          <c:idx val="3"/>
          <c:order val="3"/>
          <c:invertIfNegative val="0"/>
          <c:cat>
            <c:strRef>
              <c:f>'Deaths and DALYs'!$A$2:$A$13</c:f>
              <c:strCache>
                <c:ptCount val="12"/>
                <c:pt idx="0">
                  <c:v>IHD</c:v>
                </c:pt>
                <c:pt idx="1">
                  <c:v>Stroke</c:v>
                </c:pt>
                <c:pt idx="2">
                  <c:v>NRVHD</c:v>
                </c:pt>
                <c:pt idx="3">
                  <c:v>Aortic Aneurysms</c:v>
                </c:pt>
                <c:pt idx="4">
                  <c:v>HTN</c:v>
                </c:pt>
                <c:pt idx="5">
                  <c:v>AF</c:v>
                </c:pt>
                <c:pt idx="6">
                  <c:v>Cardiomyopathies</c:v>
                </c:pt>
                <c:pt idx="7">
                  <c:v>RHD</c:v>
                </c:pt>
                <c:pt idx="8">
                  <c:v>PVD</c:v>
                </c:pt>
                <c:pt idx="9">
                  <c:v>Pulmonary Embolism/VTE</c:v>
                </c:pt>
                <c:pt idx="10">
                  <c:v>Inflammatory Heart Disease</c:v>
                </c:pt>
                <c:pt idx="11">
                  <c:v>Other</c:v>
                </c:pt>
              </c:strCache>
            </c:strRef>
          </c:cat>
          <c:val>
            <c:numRef>
              <c:f>'\\wmntfp.moh.govt.nz\userstate\Users\dschwart\Respiratory\[Respiratory NMDS.xls]BoD on Death and DALYs'!$E$2:$E$16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ser>
        <c:ser>
          <c:idx val="4"/>
          <c:order val="4"/>
          <c:invertIfNegative val="0"/>
          <c:cat>
            <c:strRef>
              <c:f>'Deaths and DALYs'!$A$2:$A$13</c:f>
              <c:strCache>
                <c:ptCount val="12"/>
                <c:pt idx="0">
                  <c:v>IHD</c:v>
                </c:pt>
                <c:pt idx="1">
                  <c:v>Stroke</c:v>
                </c:pt>
                <c:pt idx="2">
                  <c:v>NRVHD</c:v>
                </c:pt>
                <c:pt idx="3">
                  <c:v>Aortic Aneurysms</c:v>
                </c:pt>
                <c:pt idx="4">
                  <c:v>HTN</c:v>
                </c:pt>
                <c:pt idx="5">
                  <c:v>AF</c:v>
                </c:pt>
                <c:pt idx="6">
                  <c:v>Cardiomyopathies</c:v>
                </c:pt>
                <c:pt idx="7">
                  <c:v>RHD</c:v>
                </c:pt>
                <c:pt idx="8">
                  <c:v>PVD</c:v>
                </c:pt>
                <c:pt idx="9">
                  <c:v>Pulmonary Embolism/VTE</c:v>
                </c:pt>
                <c:pt idx="10">
                  <c:v>Inflammatory Heart Disease</c:v>
                </c:pt>
                <c:pt idx="11">
                  <c:v>Other</c:v>
                </c:pt>
              </c:strCache>
            </c:strRef>
          </c:cat>
          <c:val>
            <c:numRef>
              <c:f>'\\wmntfp.moh.govt.nz\userstate\Users\dschwart\Respiratory\[Respiratory NMDS.xls]BoD on Death and DALYs'!$F$2:$F$16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71"/>
        <c:axId val="492034688"/>
        <c:axId val="492036480"/>
      </c:barChart>
      <c:catAx>
        <c:axId val="492026496"/>
        <c:scaling>
          <c:orientation val="minMax"/>
        </c:scaling>
        <c:delete val="0"/>
        <c:axPos val="b"/>
        <c:title>
          <c:tx>
            <c:rich>
              <a:bodyPr/>
              <a:lstStyle/>
              <a:p>
                <a:pPr>
                  <a:defRPr/>
                </a:pPr>
                <a:r>
                  <a:rPr lang="en-NZ"/>
                  <a:t>Disease</a:t>
                </a:r>
              </a:p>
            </c:rich>
          </c:tx>
          <c:overlay val="0"/>
        </c:title>
        <c:numFmt formatCode="General" sourceLinked="1"/>
        <c:majorTickMark val="none"/>
        <c:minorTickMark val="none"/>
        <c:tickLblPos val="nextTo"/>
        <c:crossAx val="492032768"/>
        <c:crosses val="autoZero"/>
        <c:auto val="1"/>
        <c:lblAlgn val="ctr"/>
        <c:lblOffset val="100"/>
        <c:tickMarkSkip val="1"/>
        <c:noMultiLvlLbl val="0"/>
      </c:catAx>
      <c:valAx>
        <c:axId val="492032768"/>
        <c:scaling>
          <c:orientation val="minMax"/>
        </c:scaling>
        <c:delete val="0"/>
        <c:axPos val="l"/>
        <c:majorGridlines/>
        <c:title>
          <c:tx>
            <c:rich>
              <a:bodyPr rot="-5400000" vert="horz"/>
              <a:lstStyle/>
              <a:p>
                <a:pPr>
                  <a:defRPr/>
                </a:pPr>
                <a:r>
                  <a:rPr lang="en-NZ"/>
                  <a:t>DALYs</a:t>
                </a:r>
              </a:p>
            </c:rich>
          </c:tx>
          <c:overlay val="0"/>
        </c:title>
        <c:numFmt formatCode="General" sourceLinked="1"/>
        <c:majorTickMark val="none"/>
        <c:minorTickMark val="none"/>
        <c:tickLblPos val="nextTo"/>
        <c:crossAx val="492026496"/>
        <c:crosses val="autoZero"/>
        <c:crossBetween val="between"/>
      </c:valAx>
      <c:catAx>
        <c:axId val="492034688"/>
        <c:scaling>
          <c:orientation val="minMax"/>
        </c:scaling>
        <c:delete val="1"/>
        <c:axPos val="b"/>
        <c:majorTickMark val="out"/>
        <c:minorTickMark val="none"/>
        <c:tickLblPos val="nextTo"/>
        <c:crossAx val="492036480"/>
        <c:crosses val="autoZero"/>
        <c:auto val="1"/>
        <c:lblAlgn val="ctr"/>
        <c:lblOffset val="100"/>
        <c:noMultiLvlLbl val="0"/>
      </c:catAx>
      <c:valAx>
        <c:axId val="492036480"/>
        <c:scaling>
          <c:orientation val="minMax"/>
        </c:scaling>
        <c:delete val="0"/>
        <c:axPos val="r"/>
        <c:title>
          <c:tx>
            <c:rich>
              <a:bodyPr rot="-5400000" vert="horz"/>
              <a:lstStyle/>
              <a:p>
                <a:pPr>
                  <a:defRPr/>
                </a:pPr>
                <a:r>
                  <a:rPr lang="en-NZ"/>
                  <a:t>Deaths</a:t>
                </a:r>
              </a:p>
            </c:rich>
          </c:tx>
          <c:overlay val="0"/>
        </c:title>
        <c:numFmt formatCode="General" sourceLinked="1"/>
        <c:majorTickMark val="out"/>
        <c:minorTickMark val="none"/>
        <c:tickLblPos val="nextTo"/>
        <c:crossAx val="492034688"/>
        <c:crosses val="max"/>
        <c:crossBetween val="between"/>
      </c:valAx>
    </c:plotArea>
    <c:legend>
      <c:legendPos val="r"/>
      <c:legendEntry>
        <c:idx val="2"/>
        <c:delete val="1"/>
      </c:legendEntry>
      <c:legendEntry>
        <c:idx val="3"/>
        <c:delete val="1"/>
      </c:legendEntry>
      <c:legendEntry>
        <c:idx val="4"/>
        <c:delete val="1"/>
      </c:legendEntry>
      <c:overlay val="0"/>
    </c:legend>
    <c:plotVisOnly val="1"/>
    <c:dispBlanksAs val="gap"/>
    <c:showDLblsOverMax val="0"/>
  </c:chart>
  <c:spPr>
    <a:ln>
      <a:noFill/>
    </a:ln>
  </c:spPr>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0"/>
          <c:tx>
            <c:strRef>
              <c:f>'Deaths and DALYs'!$C$1</c:f>
              <c:strCache>
                <c:ptCount val="1"/>
                <c:pt idx="0">
                  <c:v>DALYs</c:v>
                </c:pt>
              </c:strCache>
            </c:strRef>
          </c:tx>
          <c:dPt>
            <c:idx val="0"/>
            <c:bubble3D val="0"/>
          </c:dPt>
          <c:dPt>
            <c:idx val="1"/>
            <c:bubble3D val="0"/>
          </c:dPt>
          <c:dPt>
            <c:idx val="2"/>
            <c:bubble3D val="0"/>
          </c:dPt>
          <c:dPt>
            <c:idx val="3"/>
            <c:bubble3D val="0"/>
          </c:dPt>
          <c:dPt>
            <c:idx val="4"/>
            <c:bubble3D val="0"/>
          </c:dPt>
          <c:dPt>
            <c:idx val="5"/>
            <c:bubble3D val="0"/>
          </c:dPt>
          <c:dLbls>
            <c:showLegendKey val="0"/>
            <c:showVal val="0"/>
            <c:showCatName val="1"/>
            <c:showSerName val="0"/>
            <c:showPercent val="1"/>
            <c:showBubbleSize val="0"/>
            <c:showLeaderLines val="1"/>
          </c:dLbls>
          <c:cat>
            <c:strRef>
              <c:f>('Deaths and DALYs'!$A$2,'Deaths and DALYs'!$A$3,'Deaths and DALYs'!$A$4,'Deaths and DALYs'!$A$18)</c:f>
              <c:strCache>
                <c:ptCount val="4"/>
                <c:pt idx="0">
                  <c:v>IHD</c:v>
                </c:pt>
                <c:pt idx="1">
                  <c:v>Stroke</c:v>
                </c:pt>
                <c:pt idx="2">
                  <c:v>Valvular Heart Disease</c:v>
                </c:pt>
                <c:pt idx="3">
                  <c:v>Other Causes</c:v>
                </c:pt>
              </c:strCache>
            </c:strRef>
          </c:cat>
          <c:val>
            <c:numRef>
              <c:f>('Deaths and DALYs'!$C$2,'Deaths and DALYs'!$C$3,'Deaths and DALYs'!$C$4,'Deaths and DALYs'!$C$18)</c:f>
              <c:numCache>
                <c:formatCode>General</c:formatCode>
                <c:ptCount val="4"/>
                <c:pt idx="0">
                  <c:v>89159</c:v>
                </c:pt>
                <c:pt idx="1">
                  <c:v>37688</c:v>
                </c:pt>
                <c:pt idx="2">
                  <c:v>6722</c:v>
                </c:pt>
                <c:pt idx="3">
                  <c:v>25391</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'Deaths and DALYs'!$B$1</c:f>
              <c:strCache>
                <c:ptCount val="1"/>
                <c:pt idx="0">
                  <c:v>Deaths</c:v>
                </c:pt>
              </c:strCache>
            </c:strRef>
          </c:tx>
          <c:dPt>
            <c:idx val="0"/>
            <c:bubble3D val="0"/>
          </c:dPt>
          <c:dPt>
            <c:idx val="1"/>
            <c:bubble3D val="0"/>
          </c:dPt>
          <c:dPt>
            <c:idx val="2"/>
            <c:bubble3D val="0"/>
          </c:dPt>
          <c:dPt>
            <c:idx val="3"/>
            <c:bubble3D val="0"/>
          </c:dPt>
          <c:dPt>
            <c:idx val="4"/>
            <c:bubble3D val="0"/>
          </c:dPt>
          <c:dPt>
            <c:idx val="5"/>
            <c:bubble3D val="0"/>
          </c:dPt>
          <c:dPt>
            <c:idx val="6"/>
            <c:bubble3D val="0"/>
          </c:dPt>
          <c:dLbls>
            <c:showLegendKey val="0"/>
            <c:showVal val="0"/>
            <c:showCatName val="1"/>
            <c:showSerName val="0"/>
            <c:showPercent val="1"/>
            <c:showBubbleSize val="0"/>
            <c:showLeaderLines val="1"/>
          </c:dLbls>
          <c:cat>
            <c:strRef>
              <c:f>('Deaths and DALYs'!$A$2,'Deaths and DALYs'!$A$3,'Deaths and DALYs'!$A$4,'Deaths and DALYs'!$A$5,'Deaths and DALYs'!$A$6,'Deaths and DALYs'!$A$18)</c:f>
              <c:strCache>
                <c:ptCount val="6"/>
                <c:pt idx="0">
                  <c:v>IHD</c:v>
                </c:pt>
                <c:pt idx="1">
                  <c:v>Stroke</c:v>
                </c:pt>
                <c:pt idx="2">
                  <c:v>Valvular Heart Disease</c:v>
                </c:pt>
                <c:pt idx="3">
                  <c:v>Aortic Aneurysms</c:v>
                </c:pt>
                <c:pt idx="4">
                  <c:v>HTN</c:v>
                </c:pt>
                <c:pt idx="5">
                  <c:v>Other Causes</c:v>
                </c:pt>
              </c:strCache>
            </c:strRef>
          </c:cat>
          <c:val>
            <c:numRef>
              <c:f>('Deaths and DALYs'!$B$2,'Deaths and DALYs'!$B$3,'Deaths and DALYs'!$B$4,'Deaths and DALYs'!$B$5,'Deaths and DALYs'!$B$6,'Deaths and DALYs'!$B$18)</c:f>
              <c:numCache>
                <c:formatCode>General</c:formatCode>
                <c:ptCount val="6"/>
                <c:pt idx="0">
                  <c:v>6027</c:v>
                </c:pt>
                <c:pt idx="1">
                  <c:v>2705</c:v>
                </c:pt>
                <c:pt idx="2">
                  <c:v>467</c:v>
                </c:pt>
                <c:pt idx="3">
                  <c:v>384</c:v>
                </c:pt>
                <c:pt idx="4">
                  <c:v>285</c:v>
                </c:pt>
                <c:pt idx="5">
                  <c:v>700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v>Maori</c:v>
          </c:tx>
          <c:invertIfNegative val="0"/>
          <c:cat>
            <c:strRef>
              <c:f>Equity!$E$2:$E$13</c:f>
              <c:strCache>
                <c:ptCount val="12"/>
                <c:pt idx="0">
                  <c:v>IHD</c:v>
                </c:pt>
                <c:pt idx="1">
                  <c:v>Stroke</c:v>
                </c:pt>
                <c:pt idx="2">
                  <c:v>Cardiomyopathies</c:v>
                </c:pt>
                <c:pt idx="3">
                  <c:v>Aortic aneurysm</c:v>
                </c:pt>
                <c:pt idx="4">
                  <c:v>HTN</c:v>
                </c:pt>
                <c:pt idx="5">
                  <c:v>Valvular heart disease</c:v>
                </c:pt>
                <c:pt idx="6">
                  <c:v>Rheumatic Valvular Disease</c:v>
                </c:pt>
                <c:pt idx="7">
                  <c:v>AF/flutter</c:v>
                </c:pt>
                <c:pt idx="8">
                  <c:v>PVD</c:v>
                </c:pt>
                <c:pt idx="9">
                  <c:v>Pulmonary embolism and VTE</c:v>
                </c:pt>
                <c:pt idx="10">
                  <c:v>Inflammatory heart diseases</c:v>
                </c:pt>
                <c:pt idx="11">
                  <c:v>Other</c:v>
                </c:pt>
              </c:strCache>
            </c:strRef>
          </c:cat>
          <c:val>
            <c:numRef>
              <c:f>Equity!$F$2:$F$13</c:f>
              <c:numCache>
                <c:formatCode>0</c:formatCode>
                <c:ptCount val="12"/>
                <c:pt idx="0">
                  <c:v>47.04387784291373</c:v>
                </c:pt>
                <c:pt idx="1">
                  <c:v>11.081607104284108</c:v>
                </c:pt>
                <c:pt idx="2">
                  <c:v>10.335849436097963</c:v>
                </c:pt>
                <c:pt idx="3">
                  <c:v>10.093403504006499</c:v>
                </c:pt>
                <c:pt idx="4">
                  <c:v>9.5826818350953875</c:v>
                </c:pt>
                <c:pt idx="5">
                  <c:v>7.8069663729206296</c:v>
                </c:pt>
                <c:pt idx="6">
                  <c:v>4.804526103253977</c:v>
                </c:pt>
                <c:pt idx="7">
                  <c:v>2.4875152481485792</c:v>
                </c:pt>
                <c:pt idx="8">
                  <c:v>1.4559324549500192</c:v>
                </c:pt>
                <c:pt idx="9">
                  <c:v>1.3286364531941193</c:v>
                </c:pt>
                <c:pt idx="10">
                  <c:v>0.61697766982531299</c:v>
                </c:pt>
                <c:pt idx="11">
                  <c:v>0</c:v>
                </c:pt>
              </c:numCache>
            </c:numRef>
          </c:val>
        </c:ser>
        <c:ser>
          <c:idx val="1"/>
          <c:order val="1"/>
          <c:tx>
            <c:v>Non-Maori</c:v>
          </c:tx>
          <c:invertIfNegative val="0"/>
          <c:cat>
            <c:strRef>
              <c:f>Equity!$E$2:$E$13</c:f>
              <c:strCache>
                <c:ptCount val="12"/>
                <c:pt idx="0">
                  <c:v>IHD</c:v>
                </c:pt>
                <c:pt idx="1">
                  <c:v>Stroke</c:v>
                </c:pt>
                <c:pt idx="2">
                  <c:v>Cardiomyopathies</c:v>
                </c:pt>
                <c:pt idx="3">
                  <c:v>Aortic aneurysm</c:v>
                </c:pt>
                <c:pt idx="4">
                  <c:v>HTN</c:v>
                </c:pt>
                <c:pt idx="5">
                  <c:v>Valvular heart disease</c:v>
                </c:pt>
                <c:pt idx="6">
                  <c:v>Rheumatic Valvular Disease</c:v>
                </c:pt>
                <c:pt idx="7">
                  <c:v>AF/flutter</c:v>
                </c:pt>
                <c:pt idx="8">
                  <c:v>PVD</c:v>
                </c:pt>
                <c:pt idx="9">
                  <c:v>Pulmonary embolism and VTE</c:v>
                </c:pt>
                <c:pt idx="10">
                  <c:v>Inflammatory heart diseases</c:v>
                </c:pt>
                <c:pt idx="11">
                  <c:v>Other</c:v>
                </c:pt>
              </c:strCache>
            </c:strRef>
          </c:cat>
          <c:val>
            <c:numRef>
              <c:f>Equity!$G$2:$G$13</c:f>
              <c:numCache>
                <c:formatCode>0</c:formatCode>
                <c:ptCount val="12"/>
                <c:pt idx="0">
                  <c:v>35.023881113654603</c:v>
                </c:pt>
                <c:pt idx="1">
                  <c:v>2.3588133775239384</c:v>
                </c:pt>
                <c:pt idx="2">
                  <c:v>5.2540251317091418</c:v>
                </c:pt>
                <c:pt idx="3">
                  <c:v>3.2321513397006409</c:v>
                </c:pt>
                <c:pt idx="4">
                  <c:v>5.9060546732650385</c:v>
                </c:pt>
                <c:pt idx="5">
                  <c:v>1.2836880969725162</c:v>
                </c:pt>
                <c:pt idx="6">
                  <c:v>2.2204430112224229</c:v>
                </c:pt>
                <c:pt idx="7">
                  <c:v>1.3153962007686251</c:v>
                </c:pt>
                <c:pt idx="8">
                  <c:v>0.68406867266222016</c:v>
                </c:pt>
                <c:pt idx="9">
                  <c:v>0.69029448567932483</c:v>
                </c:pt>
                <c:pt idx="10">
                  <c:v>0.47384309172742417</c:v>
                </c:pt>
                <c:pt idx="11">
                  <c:v>0</c:v>
                </c:pt>
              </c:numCache>
            </c:numRef>
          </c:val>
        </c:ser>
        <c:dLbls>
          <c:showLegendKey val="0"/>
          <c:showVal val="0"/>
          <c:showCatName val="0"/>
          <c:showSerName val="0"/>
          <c:showPercent val="0"/>
          <c:showBubbleSize val="0"/>
        </c:dLbls>
        <c:gapWidth val="150"/>
        <c:axId val="492292352"/>
        <c:axId val="492298624"/>
      </c:barChart>
      <c:catAx>
        <c:axId val="492292352"/>
        <c:scaling>
          <c:orientation val="minMax"/>
        </c:scaling>
        <c:delete val="0"/>
        <c:axPos val="b"/>
        <c:title>
          <c:tx>
            <c:rich>
              <a:bodyPr/>
              <a:lstStyle/>
              <a:p>
                <a:pPr>
                  <a:defRPr/>
                </a:pPr>
                <a:r>
                  <a:rPr lang="en-NZ"/>
                  <a:t>Disease</a:t>
                </a:r>
              </a:p>
            </c:rich>
          </c:tx>
          <c:overlay val="0"/>
        </c:title>
        <c:numFmt formatCode="General" sourceLinked="1"/>
        <c:majorTickMark val="none"/>
        <c:minorTickMark val="none"/>
        <c:tickLblPos val="nextTo"/>
        <c:crossAx val="492298624"/>
        <c:crosses val="autoZero"/>
        <c:auto val="1"/>
        <c:lblAlgn val="ctr"/>
        <c:lblOffset val="100"/>
        <c:noMultiLvlLbl val="0"/>
      </c:catAx>
      <c:valAx>
        <c:axId val="492298624"/>
        <c:scaling>
          <c:orientation val="minMax"/>
        </c:scaling>
        <c:delete val="0"/>
        <c:axPos val="l"/>
        <c:majorGridlines/>
        <c:title>
          <c:tx>
            <c:rich>
              <a:bodyPr rot="-5400000" vert="horz"/>
              <a:lstStyle/>
              <a:p>
                <a:pPr>
                  <a:defRPr/>
                </a:pPr>
                <a:r>
                  <a:rPr lang="en-NZ"/>
                  <a:t>Deaths</a:t>
                </a:r>
              </a:p>
            </c:rich>
          </c:tx>
          <c:overlay val="0"/>
        </c:title>
        <c:numFmt formatCode="0" sourceLinked="1"/>
        <c:majorTickMark val="none"/>
        <c:minorTickMark val="none"/>
        <c:tickLblPos val="nextTo"/>
        <c:crossAx val="492292352"/>
        <c:crosses val="autoZero"/>
        <c:crossBetween val="between"/>
      </c:valAx>
    </c:plotArea>
    <c:legend>
      <c:legendPos val="r"/>
      <c:overlay val="0"/>
    </c:legend>
    <c:plotVisOnly val="1"/>
    <c:dispBlanksAs val="gap"/>
    <c:showDLblsOverMax val="0"/>
  </c:chart>
  <c:spPr>
    <a:ln>
      <a:noFill/>
    </a:ln>
  </c:spPr>
  <c:txPr>
    <a:bodyPr/>
    <a:lstStyle/>
    <a:p>
      <a:pPr>
        <a:defRPr sz="9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v>Maori</c:v>
          </c:tx>
          <c:invertIfNegative val="0"/>
          <c:cat>
            <c:strRef>
              <c:f>Equity!$E$28:$E$39</c:f>
              <c:strCache>
                <c:ptCount val="12"/>
                <c:pt idx="0">
                  <c:v>IHD</c:v>
                </c:pt>
                <c:pt idx="1">
                  <c:v>Stroke</c:v>
                </c:pt>
                <c:pt idx="2">
                  <c:v>Cardiomyopathies</c:v>
                </c:pt>
                <c:pt idx="3">
                  <c:v>Rheumatic Valvular Disease</c:v>
                </c:pt>
                <c:pt idx="4">
                  <c:v>Valvular heart disease</c:v>
                </c:pt>
                <c:pt idx="5">
                  <c:v>Aortic aneurysm</c:v>
                </c:pt>
                <c:pt idx="6">
                  <c:v>HTN</c:v>
                </c:pt>
                <c:pt idx="7">
                  <c:v>AF/flutter</c:v>
                </c:pt>
                <c:pt idx="8">
                  <c:v>Inflammatory heart diseases</c:v>
                </c:pt>
                <c:pt idx="9">
                  <c:v>PVD</c:v>
                </c:pt>
                <c:pt idx="10">
                  <c:v>Pulmonary embolism and VTE</c:v>
                </c:pt>
                <c:pt idx="11">
                  <c:v>Other</c:v>
                </c:pt>
              </c:strCache>
            </c:strRef>
          </c:cat>
          <c:val>
            <c:numRef>
              <c:f>Equity!$F$28:$F$39</c:f>
              <c:numCache>
                <c:formatCode>0</c:formatCode>
                <c:ptCount val="12"/>
                <c:pt idx="0">
                  <c:v>3475.2974049964282</c:v>
                </c:pt>
                <c:pt idx="1">
                  <c:v>984.48284470142107</c:v>
                </c:pt>
                <c:pt idx="2">
                  <c:v>352.33650301050523</c:v>
                </c:pt>
                <c:pt idx="3">
                  <c:v>246.92893225819523</c:v>
                </c:pt>
                <c:pt idx="4">
                  <c:v>219.35451287789093</c:v>
                </c:pt>
                <c:pt idx="5">
                  <c:v>198.5085564268708</c:v>
                </c:pt>
                <c:pt idx="6">
                  <c:v>185.62380173274173</c:v>
                </c:pt>
                <c:pt idx="7">
                  <c:v>161.07306701590403</c:v>
                </c:pt>
                <c:pt idx="8">
                  <c:v>55.406316026642465</c:v>
                </c:pt>
                <c:pt idx="9">
                  <c:v>45.862662711749081</c:v>
                </c:pt>
                <c:pt idx="10">
                  <c:v>44.768328840911536</c:v>
                </c:pt>
                <c:pt idx="11">
                  <c:v>20.742013910348412</c:v>
                </c:pt>
              </c:numCache>
            </c:numRef>
          </c:val>
        </c:ser>
        <c:ser>
          <c:idx val="1"/>
          <c:order val="1"/>
          <c:tx>
            <c:v>Non-Maori</c:v>
          </c:tx>
          <c:invertIfNegative val="0"/>
          <c:cat>
            <c:strRef>
              <c:f>Equity!$E$28:$E$39</c:f>
              <c:strCache>
                <c:ptCount val="12"/>
                <c:pt idx="0">
                  <c:v>IHD</c:v>
                </c:pt>
                <c:pt idx="1">
                  <c:v>Stroke</c:v>
                </c:pt>
                <c:pt idx="2">
                  <c:v>Cardiomyopathies</c:v>
                </c:pt>
                <c:pt idx="3">
                  <c:v>Rheumatic Valvular Disease</c:v>
                </c:pt>
                <c:pt idx="4">
                  <c:v>Valvular heart disease</c:v>
                </c:pt>
                <c:pt idx="5">
                  <c:v>Aortic aneurysm</c:v>
                </c:pt>
                <c:pt idx="6">
                  <c:v>HTN</c:v>
                </c:pt>
                <c:pt idx="7">
                  <c:v>AF/flutter</c:v>
                </c:pt>
                <c:pt idx="8">
                  <c:v>Inflammatory heart diseases</c:v>
                </c:pt>
                <c:pt idx="9">
                  <c:v>PVD</c:v>
                </c:pt>
                <c:pt idx="10">
                  <c:v>Pulmonary embolism and VTE</c:v>
                </c:pt>
                <c:pt idx="11">
                  <c:v>Other</c:v>
                </c:pt>
              </c:strCache>
            </c:strRef>
          </c:cat>
          <c:val>
            <c:numRef>
              <c:f>Equity!$G$28:$G$39</c:f>
              <c:numCache>
                <c:formatCode>0</c:formatCode>
                <c:ptCount val="12"/>
                <c:pt idx="0">
                  <c:v>1297.9719101361168</c:v>
                </c:pt>
                <c:pt idx="1">
                  <c:v>561.57108935671044</c:v>
                </c:pt>
                <c:pt idx="2">
                  <c:v>71.026129219357372</c:v>
                </c:pt>
                <c:pt idx="3">
                  <c:v>34.86100808866621</c:v>
                </c:pt>
                <c:pt idx="4">
                  <c:v>97.554663716099824</c:v>
                </c:pt>
                <c:pt idx="5">
                  <c:v>81.404518591966507</c:v>
                </c:pt>
                <c:pt idx="6">
                  <c:v>41.718704248114257</c:v>
                </c:pt>
                <c:pt idx="7">
                  <c:v>60.881762781867984</c:v>
                </c:pt>
                <c:pt idx="8">
                  <c:v>24.304542697273643</c:v>
                </c:pt>
                <c:pt idx="9">
                  <c:v>19.918794907759832</c:v>
                </c:pt>
                <c:pt idx="10">
                  <c:v>19.274009555636404</c:v>
                </c:pt>
                <c:pt idx="11">
                  <c:v>11.537601787201623</c:v>
                </c:pt>
              </c:numCache>
            </c:numRef>
          </c:val>
        </c:ser>
        <c:dLbls>
          <c:showLegendKey val="0"/>
          <c:showVal val="0"/>
          <c:showCatName val="0"/>
          <c:showSerName val="0"/>
          <c:showPercent val="0"/>
          <c:showBubbleSize val="0"/>
        </c:dLbls>
        <c:gapWidth val="150"/>
        <c:axId val="499520640"/>
        <c:axId val="499522560"/>
      </c:barChart>
      <c:catAx>
        <c:axId val="499520640"/>
        <c:scaling>
          <c:orientation val="minMax"/>
        </c:scaling>
        <c:delete val="0"/>
        <c:axPos val="b"/>
        <c:title>
          <c:tx>
            <c:rich>
              <a:bodyPr/>
              <a:lstStyle/>
              <a:p>
                <a:pPr>
                  <a:defRPr/>
                </a:pPr>
                <a:r>
                  <a:rPr lang="en-NZ"/>
                  <a:t>Disease</a:t>
                </a:r>
              </a:p>
            </c:rich>
          </c:tx>
          <c:overlay val="0"/>
        </c:title>
        <c:numFmt formatCode="General" sourceLinked="1"/>
        <c:majorTickMark val="none"/>
        <c:minorTickMark val="none"/>
        <c:tickLblPos val="nextTo"/>
        <c:crossAx val="499522560"/>
        <c:crosses val="autoZero"/>
        <c:auto val="1"/>
        <c:lblAlgn val="ctr"/>
        <c:lblOffset val="100"/>
        <c:noMultiLvlLbl val="0"/>
      </c:catAx>
      <c:valAx>
        <c:axId val="499522560"/>
        <c:scaling>
          <c:orientation val="minMax"/>
        </c:scaling>
        <c:delete val="0"/>
        <c:axPos val="l"/>
        <c:majorGridlines/>
        <c:title>
          <c:tx>
            <c:rich>
              <a:bodyPr rot="-5400000" vert="horz"/>
              <a:lstStyle/>
              <a:p>
                <a:pPr>
                  <a:defRPr/>
                </a:pPr>
                <a:r>
                  <a:rPr lang="en-NZ"/>
                  <a:t>DALYs</a:t>
                </a:r>
              </a:p>
            </c:rich>
          </c:tx>
          <c:overlay val="0"/>
        </c:title>
        <c:numFmt formatCode="0" sourceLinked="1"/>
        <c:majorTickMark val="none"/>
        <c:minorTickMark val="none"/>
        <c:tickLblPos val="nextTo"/>
        <c:crossAx val="499520640"/>
        <c:crosses val="autoZero"/>
        <c:crossBetween val="between"/>
      </c:valAx>
    </c:plotArea>
    <c:legend>
      <c:legendPos val="r"/>
      <c:overlay val="0"/>
    </c:legend>
    <c:plotVisOnly val="1"/>
    <c:dispBlanksAs val="gap"/>
    <c:showDLblsOverMax val="0"/>
  </c:chart>
  <c:spPr>
    <a:ln>
      <a:noFill/>
    </a:ln>
  </c:spPr>
  <c:txPr>
    <a:bodyPr/>
    <a:lstStyle/>
    <a:p>
      <a:pPr>
        <a:defRPr sz="9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Percentage Required</c:v>
          </c:tx>
          <c:invertIfNegative val="0"/>
          <c:dPt>
            <c:idx val="0"/>
            <c:invertIfNegative val="0"/>
            <c:bubble3D val="0"/>
            <c:spPr>
              <a:solidFill>
                <a:srgbClr val="00B050"/>
              </a:solidFill>
            </c:spPr>
          </c:dPt>
          <c:dPt>
            <c:idx val="1"/>
            <c:invertIfNegative val="0"/>
            <c:bubble3D val="0"/>
            <c:spPr>
              <a:solidFill>
                <a:srgbClr val="00B050"/>
              </a:solidFill>
            </c:spPr>
          </c:dPt>
          <c:dPt>
            <c:idx val="2"/>
            <c:invertIfNegative val="0"/>
            <c:bubble3D val="0"/>
            <c:spPr>
              <a:solidFill>
                <a:srgbClr val="FFC000"/>
              </a:solidFill>
            </c:spPr>
          </c:dPt>
          <c:dPt>
            <c:idx val="3"/>
            <c:invertIfNegative val="0"/>
            <c:bubble3D val="0"/>
            <c:spPr>
              <a:solidFill>
                <a:srgbClr val="FFC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a:ln>
                <a:noFill/>
              </a:ln>
            </c:spPr>
          </c:dPt>
          <c:cat>
            <c:strRef>
              <c:f>Materiality!$A$2:$A$11</c:f>
              <c:strCache>
                <c:ptCount val="10"/>
                <c:pt idx="0">
                  <c:v>IHD</c:v>
                </c:pt>
                <c:pt idx="1">
                  <c:v>Stroke</c:v>
                </c:pt>
                <c:pt idx="2">
                  <c:v>Valvular heart disease</c:v>
                </c:pt>
                <c:pt idx="3">
                  <c:v>AF/flutter</c:v>
                </c:pt>
                <c:pt idx="4">
                  <c:v>PVD</c:v>
                </c:pt>
                <c:pt idx="5">
                  <c:v>Aortic aneurysm</c:v>
                </c:pt>
                <c:pt idx="6">
                  <c:v>Pulmonary embolism and VTE</c:v>
                </c:pt>
                <c:pt idx="7">
                  <c:v>Cardiomyopathies</c:v>
                </c:pt>
                <c:pt idx="8">
                  <c:v>Inflammatory heart diseases</c:v>
                </c:pt>
                <c:pt idx="9">
                  <c:v>Rheumatic Valvular Disease</c:v>
                </c:pt>
              </c:strCache>
            </c:strRef>
          </c:cat>
          <c:val>
            <c:numRef>
              <c:f>Materiality!$B$2:$B$11</c:f>
              <c:numCache>
                <c:formatCode>0.0%</c:formatCode>
                <c:ptCount val="10"/>
                <c:pt idx="0">
                  <c:v>2.1999999999999999E-2</c:v>
                </c:pt>
                <c:pt idx="1">
                  <c:v>7.4999999999999997E-2</c:v>
                </c:pt>
                <c:pt idx="2">
                  <c:v>0.13500000000000001</c:v>
                </c:pt>
                <c:pt idx="3">
                  <c:v>0.16700000000000001</c:v>
                </c:pt>
                <c:pt idx="4">
                  <c:v>0.192</c:v>
                </c:pt>
                <c:pt idx="5">
                  <c:v>0.2</c:v>
                </c:pt>
                <c:pt idx="6">
                  <c:v>0.35699999999999998</c:v>
                </c:pt>
                <c:pt idx="7">
                  <c:v>0.625</c:v>
                </c:pt>
                <c:pt idx="8">
                  <c:v>0.71399999999999997</c:v>
                </c:pt>
                <c:pt idx="9">
                  <c:v>0.83299999999999996</c:v>
                </c:pt>
              </c:numCache>
            </c:numRef>
          </c:val>
        </c:ser>
        <c:dLbls>
          <c:showLegendKey val="0"/>
          <c:showVal val="0"/>
          <c:showCatName val="0"/>
          <c:showSerName val="0"/>
          <c:showPercent val="0"/>
          <c:showBubbleSize val="0"/>
        </c:dLbls>
        <c:gapWidth val="150"/>
        <c:axId val="499559424"/>
        <c:axId val="499561600"/>
      </c:barChart>
      <c:catAx>
        <c:axId val="499559424"/>
        <c:scaling>
          <c:orientation val="minMax"/>
        </c:scaling>
        <c:delete val="0"/>
        <c:axPos val="b"/>
        <c:title>
          <c:tx>
            <c:rich>
              <a:bodyPr/>
              <a:lstStyle/>
              <a:p>
                <a:pPr>
                  <a:defRPr/>
                </a:pPr>
                <a:r>
                  <a:rPr lang="en-NZ"/>
                  <a:t>Disease</a:t>
                </a:r>
              </a:p>
            </c:rich>
          </c:tx>
          <c:overlay val="0"/>
        </c:title>
        <c:majorTickMark val="out"/>
        <c:minorTickMark val="none"/>
        <c:tickLblPos val="nextTo"/>
        <c:crossAx val="499561600"/>
        <c:crosses val="autoZero"/>
        <c:auto val="1"/>
        <c:lblAlgn val="ctr"/>
        <c:lblOffset val="100"/>
        <c:noMultiLvlLbl val="0"/>
      </c:catAx>
      <c:valAx>
        <c:axId val="499561600"/>
        <c:scaling>
          <c:orientation val="minMax"/>
        </c:scaling>
        <c:delete val="0"/>
        <c:axPos val="l"/>
        <c:majorGridlines/>
        <c:title>
          <c:tx>
            <c:rich>
              <a:bodyPr rot="-5400000" vert="horz"/>
              <a:lstStyle/>
              <a:p>
                <a:pPr>
                  <a:defRPr/>
                </a:pPr>
                <a:r>
                  <a:rPr lang="en-NZ"/>
                  <a:t>Percentage</a:t>
                </a:r>
              </a:p>
            </c:rich>
          </c:tx>
          <c:overlay val="0"/>
        </c:title>
        <c:numFmt formatCode="0.0%" sourceLinked="1"/>
        <c:majorTickMark val="out"/>
        <c:minorTickMark val="none"/>
        <c:tickLblPos val="nextTo"/>
        <c:crossAx val="499559424"/>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0.11976</cdr:x>
      <cdr:y>0.26735</cdr:y>
    </cdr:from>
    <cdr:to>
      <cdr:x>1</cdr:x>
      <cdr:y>0.27044</cdr:y>
    </cdr:to>
    <cdr:cxnSp macro="">
      <cdr:nvCxnSpPr>
        <cdr:cNvPr id="3" name="Straight Connector 2"/>
        <cdr:cNvCxnSpPr/>
      </cdr:nvCxnSpPr>
      <cdr:spPr>
        <a:xfrm xmlns:a="http://schemas.openxmlformats.org/drawingml/2006/main">
          <a:off x="731520" y="987552"/>
          <a:ext cx="5376545" cy="11395"/>
        </a:xfrm>
        <a:prstGeom xmlns:a="http://schemas.openxmlformats.org/drawingml/2006/main" prst="line">
          <a:avLst/>
        </a:prstGeom>
        <a:ln xmlns:a="http://schemas.openxmlformats.org/drawingml/2006/main" w="285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0.12216</cdr:x>
      <cdr:y>0.49832</cdr:y>
    </cdr:from>
    <cdr:to>
      <cdr:x>1</cdr:x>
      <cdr:y>0.49906</cdr:y>
    </cdr:to>
    <cdr:cxnSp macro="">
      <cdr:nvCxnSpPr>
        <cdr:cNvPr id="5" name="Straight Connector 4"/>
        <cdr:cNvCxnSpPr/>
      </cdr:nvCxnSpPr>
      <cdr:spPr>
        <a:xfrm xmlns:a="http://schemas.openxmlformats.org/drawingml/2006/main" flipV="1">
          <a:off x="746150" y="1840678"/>
          <a:ext cx="5361915" cy="2752"/>
        </a:xfrm>
        <a:prstGeom xmlns:a="http://schemas.openxmlformats.org/drawingml/2006/main" prst="line">
          <a:avLst/>
        </a:prstGeom>
        <a:ln xmlns:a="http://schemas.openxmlformats.org/drawingml/2006/main" w="28575">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0.11138</cdr:x>
      <cdr:y>0.32808</cdr:y>
    </cdr:from>
    <cdr:to>
      <cdr:x>1</cdr:x>
      <cdr:y>0.32875</cdr:y>
    </cdr:to>
    <cdr:cxnSp macro="">
      <cdr:nvCxnSpPr>
        <cdr:cNvPr id="12" name="Straight Connector 11"/>
        <cdr:cNvCxnSpPr/>
      </cdr:nvCxnSpPr>
      <cdr:spPr>
        <a:xfrm xmlns:a="http://schemas.openxmlformats.org/drawingml/2006/main" flipV="1">
          <a:off x="680313" y="1211871"/>
          <a:ext cx="5427752" cy="2452"/>
        </a:xfrm>
        <a:prstGeom xmlns:a="http://schemas.openxmlformats.org/drawingml/2006/main" prst="line">
          <a:avLst/>
        </a:prstGeom>
        <a:ln xmlns:a="http://schemas.openxmlformats.org/drawingml/2006/main" w="28575">
          <a:solidFill>
            <a:srgbClr val="FFC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4FA0-1585-4E05-AD50-00394AD3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19307</Words>
  <Characters>110053</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Allan Potter</cp:lastModifiedBy>
  <cp:revision>2</cp:revision>
  <cp:lastPrinted>2013-12-05T23:10:00Z</cp:lastPrinted>
  <dcterms:created xsi:type="dcterms:W3CDTF">2013-12-23T02:46:00Z</dcterms:created>
  <dcterms:modified xsi:type="dcterms:W3CDTF">2013-12-23T02:46:00Z</dcterms:modified>
</cp:coreProperties>
</file>