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293"/>
        <w:tblW w:w="9781" w:type="dxa"/>
        <w:tblBorders>
          <w:bottom w:val="single" w:sz="4" w:space="0" w:color="auto"/>
        </w:tblBorders>
        <w:tblLayout w:type="fixed"/>
        <w:tblCellMar>
          <w:left w:w="0" w:type="dxa"/>
          <w:right w:w="0" w:type="dxa"/>
        </w:tblCellMar>
        <w:tblLook w:val="01E0" w:firstRow="1" w:lastRow="1" w:firstColumn="1" w:lastColumn="1" w:noHBand="0" w:noVBand="0"/>
      </w:tblPr>
      <w:tblGrid>
        <w:gridCol w:w="6947"/>
        <w:gridCol w:w="2834"/>
      </w:tblGrid>
      <w:tr w:rsidR="00822F35" w:rsidRPr="002F37E6" w:rsidTr="00822F35">
        <w:trPr>
          <w:cantSplit/>
        </w:trPr>
        <w:tc>
          <w:tcPr>
            <w:tcW w:w="9781" w:type="dxa"/>
            <w:gridSpan w:val="2"/>
            <w:shd w:val="clear" w:color="auto" w:fill="auto"/>
            <w:vAlign w:val="center"/>
          </w:tcPr>
          <w:p w:rsidR="00822F35" w:rsidRPr="00C6655D" w:rsidRDefault="00822F35" w:rsidP="00C54A8A">
            <w:pPr>
              <w:pStyle w:val="Title"/>
              <w:jc w:val="both"/>
            </w:pPr>
            <w:bookmarkStart w:id="0" w:name="_GoBack"/>
            <w:bookmarkEnd w:id="0"/>
            <w:r>
              <w:t>Chronic Obstructive Pulmonary Disease (COPD)</w:t>
            </w:r>
          </w:p>
          <w:p w:rsidR="00822F35" w:rsidRPr="00C30244" w:rsidRDefault="00822F35" w:rsidP="00C54A8A">
            <w:pPr>
              <w:jc w:val="both"/>
              <w:rPr>
                <w:b/>
                <w:color w:val="23532C"/>
                <w:sz w:val="28"/>
                <w:szCs w:val="28"/>
              </w:rPr>
            </w:pPr>
            <w:r>
              <w:rPr>
                <w:b/>
                <w:color w:val="23532C"/>
                <w:sz w:val="28"/>
                <w:szCs w:val="28"/>
              </w:rPr>
              <w:t>A Pathway to Prioritisation</w:t>
            </w:r>
          </w:p>
          <w:p w:rsidR="00822F35" w:rsidRPr="00D72C7C" w:rsidRDefault="00822F35" w:rsidP="00C54A8A">
            <w:pPr>
              <w:jc w:val="both"/>
              <w:rPr>
                <w:color w:val="000000"/>
              </w:rPr>
            </w:pPr>
          </w:p>
        </w:tc>
      </w:tr>
      <w:tr w:rsidR="00822F35" w:rsidRPr="002F37E6" w:rsidTr="00822F35">
        <w:trPr>
          <w:cantSplit/>
        </w:trPr>
        <w:tc>
          <w:tcPr>
            <w:tcW w:w="6947" w:type="dxa"/>
            <w:shd w:val="clear" w:color="auto" w:fill="auto"/>
            <w:vAlign w:val="center"/>
          </w:tcPr>
          <w:p w:rsidR="00822F35" w:rsidRPr="00D72C7C" w:rsidRDefault="00822F35" w:rsidP="00C54A8A">
            <w:pPr>
              <w:pStyle w:val="TableText"/>
              <w:spacing w:before="240" w:after="0"/>
              <w:jc w:val="both"/>
              <w:rPr>
                <w:color w:val="000000"/>
              </w:rPr>
            </w:pPr>
          </w:p>
        </w:tc>
        <w:tc>
          <w:tcPr>
            <w:tcW w:w="2834" w:type="dxa"/>
            <w:shd w:val="clear" w:color="auto" w:fill="auto"/>
          </w:tcPr>
          <w:p w:rsidR="00822F35" w:rsidRPr="00D72C7C" w:rsidRDefault="00A2456D" w:rsidP="00C54B8B">
            <w:pPr>
              <w:pStyle w:val="TableText"/>
              <w:spacing w:before="240" w:after="0"/>
              <w:jc w:val="right"/>
              <w:rPr>
                <w:color w:val="000000"/>
              </w:rPr>
            </w:pPr>
            <w:r>
              <w:rPr>
                <w:color w:val="000000"/>
              </w:rPr>
              <w:t>March</w:t>
            </w:r>
            <w:r w:rsidR="00822F35">
              <w:rPr>
                <w:color w:val="000000"/>
              </w:rPr>
              <w:t xml:space="preserve"> 201</w:t>
            </w:r>
            <w:r>
              <w:rPr>
                <w:color w:val="000000"/>
              </w:rPr>
              <w:t>4</w:t>
            </w:r>
          </w:p>
        </w:tc>
      </w:tr>
    </w:tbl>
    <w:p w:rsidR="000B1B60" w:rsidRPr="00D72C7C" w:rsidRDefault="000B1B60" w:rsidP="00C54A8A">
      <w:pPr>
        <w:spacing w:after="120"/>
        <w:jc w:val="both"/>
        <w:rPr>
          <w:b/>
          <w:color w:val="000000"/>
        </w:rPr>
      </w:pPr>
    </w:p>
    <w:p w:rsidR="000B1B60" w:rsidRDefault="000B1B60" w:rsidP="00C54A8A">
      <w:pPr>
        <w:pStyle w:val="Head1-nonumber"/>
        <w:jc w:val="both"/>
      </w:pPr>
      <w:r>
        <w:t xml:space="preserve"> </w:t>
      </w:r>
      <w:bookmarkStart w:id="1" w:name="_Toc382574724"/>
      <w:r w:rsidRPr="00C30244">
        <w:t>Executive Summary</w:t>
      </w:r>
      <w:bookmarkEnd w:id="1"/>
    </w:p>
    <w:p w:rsidR="00F74054" w:rsidRDefault="007C4ACD" w:rsidP="00C54A8A">
      <w:pPr>
        <w:jc w:val="both"/>
      </w:pPr>
      <w:r>
        <w:t>The purpose of this report is to explore the pathway of care for COPD patients and identify interventions that the NHC should conduct health technology assessment</w:t>
      </w:r>
      <w:r w:rsidR="0059413C">
        <w:t>s (HTAs) on in order to improve</w:t>
      </w:r>
      <w:r>
        <w:t xml:space="preserve"> health outcomes and efficiency.  </w:t>
      </w:r>
      <w:r w:rsidR="00002A92">
        <w:t xml:space="preserve">In </w:t>
      </w:r>
      <w:r w:rsidR="00002A92" w:rsidRPr="00B77198">
        <w:rPr>
          <w:i/>
        </w:rPr>
        <w:t>Strategic Overview: Respiratory Disease in New Zealand</w:t>
      </w:r>
      <w:r w:rsidR="00002A92">
        <w:t xml:space="preserve">, the National Health Committee (NHC) identified chronic obstructive pulmonary disease (COPD) as a respiratory disease in which there </w:t>
      </w:r>
      <w:r w:rsidR="00000245">
        <w:t xml:space="preserve">exists a potential for </w:t>
      </w:r>
      <w:r w:rsidR="00002A92">
        <w:t>health gain</w:t>
      </w:r>
      <w:r w:rsidR="00000245">
        <w:t xml:space="preserve"> and material savings</w:t>
      </w:r>
      <w:r w:rsidR="00002A92">
        <w:t xml:space="preserve">.  This document is intended to outline the pathway of care </w:t>
      </w:r>
      <w:r w:rsidR="008455AC">
        <w:t xml:space="preserve">of COPD </w:t>
      </w:r>
      <w:r w:rsidR="00002A92">
        <w:t xml:space="preserve">and identify interventions along that pathway </w:t>
      </w:r>
      <w:r w:rsidR="00D44DDA">
        <w:t xml:space="preserve">which may be used </w:t>
      </w:r>
      <w:r w:rsidR="00002A92">
        <w:t xml:space="preserve">to </w:t>
      </w:r>
      <w:r w:rsidR="00F25F63">
        <w:t xml:space="preserve">improve </w:t>
      </w:r>
      <w:r w:rsidR="00002A92">
        <w:t xml:space="preserve">health outcomes.  </w:t>
      </w:r>
    </w:p>
    <w:p w:rsidR="00F74054" w:rsidRDefault="00002A92" w:rsidP="00C54A8A">
      <w:pPr>
        <w:jc w:val="both"/>
      </w:pPr>
      <w:r>
        <w:t xml:space="preserve">COPD </w:t>
      </w:r>
      <w:r w:rsidR="00FC236D">
        <w:t>af</w:t>
      </w:r>
      <w:r w:rsidR="008455AC">
        <w:t>f</w:t>
      </w:r>
      <w:r w:rsidR="00FC236D">
        <w:t>ected</w:t>
      </w:r>
      <w:r>
        <w:t xml:space="preserve"> over 1</w:t>
      </w:r>
      <w:r w:rsidR="008C1691">
        <w:t xml:space="preserve">38,833 </w:t>
      </w:r>
      <w:r>
        <w:t>pati</w:t>
      </w:r>
      <w:r w:rsidR="008C1691">
        <w:t>ents and accounted for over $125</w:t>
      </w:r>
      <w:r>
        <w:t xml:space="preserve"> million</w:t>
      </w:r>
      <w:r w:rsidR="00000245">
        <w:t xml:space="preserve"> of Vote: Health expenditure</w:t>
      </w:r>
      <w:r>
        <w:t xml:space="preserve"> in 2010/11.  Within that cost, patients who experienced exacerbations were more expensive to treat and had worse health outcomes</w:t>
      </w:r>
      <w:r w:rsidR="008455AC" w:rsidRPr="008455AC">
        <w:t xml:space="preserve"> </w:t>
      </w:r>
      <w:r w:rsidR="008455AC">
        <w:t>than stable patients</w:t>
      </w:r>
      <w:r w:rsidR="00DD7A52">
        <w:t>;</w:t>
      </w:r>
      <w:r w:rsidR="00D44DDA">
        <w:t xml:space="preserve"> Māori from areas o</w:t>
      </w:r>
      <w:r w:rsidR="00F73CCA">
        <w:t>f high deprivation were over-re</w:t>
      </w:r>
      <w:r w:rsidR="00D44DDA">
        <w:t>presented among this patient group</w:t>
      </w:r>
      <w:r>
        <w:t xml:space="preserve">.  </w:t>
      </w:r>
      <w:r w:rsidR="00402750">
        <w:t xml:space="preserve">  </w:t>
      </w:r>
    </w:p>
    <w:p w:rsidR="00002A92" w:rsidRPr="00002A92" w:rsidRDefault="00C77027" w:rsidP="00C54A8A">
      <w:pPr>
        <w:jc w:val="both"/>
      </w:pPr>
      <w:r>
        <w:t xml:space="preserve">After </w:t>
      </w:r>
      <w:r w:rsidR="0029045E">
        <w:t>a meeting of</w:t>
      </w:r>
      <w:r>
        <w:t xml:space="preserve"> the Respiratory Working Group (RWG), the </w:t>
      </w:r>
      <w:r w:rsidR="0029045E">
        <w:t>RWG</w:t>
      </w:r>
      <w:r>
        <w:t xml:space="preserve"> </w:t>
      </w:r>
      <w:r w:rsidR="0029045E">
        <w:t>highlighted the areas of</w:t>
      </w:r>
      <w:r>
        <w:t xml:space="preserve"> pulmonary rehabilitation, diagnosis/case finding, long-term oxygen therapy variation, advance care pl</w:t>
      </w:r>
      <w:r w:rsidR="0029045E">
        <w:t xml:space="preserve">anning, </w:t>
      </w:r>
      <w:r>
        <w:t>non-invasive ventilation</w:t>
      </w:r>
      <w:r w:rsidR="0029045E">
        <w:t>, case management and clinical monitoring of symptoms as areas where health gains may exist</w:t>
      </w:r>
      <w:r>
        <w:t xml:space="preserve">.  </w:t>
      </w:r>
      <w:r w:rsidR="0029045E">
        <w:t>Outside of the NHC and RWG process, stakeholders from the health and disability sector submitted 11 proposals to the Health Innovation Partnership (HIP) for funding consideration</w:t>
      </w:r>
      <w:r>
        <w:t>.</w:t>
      </w:r>
      <w:r w:rsidR="0029045E">
        <w:t xml:space="preserve">  The joint Health Research Council (HRC)/NHC assessment committee chose 6 of those proposals for further consideration in the assessment process.</w:t>
      </w:r>
      <w:r>
        <w:t xml:space="preserve">  </w:t>
      </w:r>
      <w:r w:rsidR="0029045E">
        <w:t>Final funding decisions for those field trials are</w:t>
      </w:r>
      <w:r>
        <w:t xml:space="preserve"> expected in mid-2014.</w:t>
      </w:r>
    </w:p>
    <w:p w:rsidR="000B1B60" w:rsidRDefault="000B1B60" w:rsidP="00C54A8A">
      <w:pPr>
        <w:jc w:val="both"/>
      </w:pPr>
    </w:p>
    <w:sdt>
      <w:sdtPr>
        <w:rPr>
          <w:rFonts w:eastAsia="Times New Roman" w:cs="Times New Roman"/>
          <w:b w:val="0"/>
          <w:bCs w:val="0"/>
          <w:color w:val="auto"/>
          <w:sz w:val="22"/>
          <w:szCs w:val="24"/>
          <w:lang w:val="en-NZ" w:eastAsia="en-US"/>
        </w:rPr>
        <w:id w:val="43414499"/>
        <w:docPartObj>
          <w:docPartGallery w:val="Table of Contents"/>
          <w:docPartUnique/>
        </w:docPartObj>
      </w:sdtPr>
      <w:sdtEndPr>
        <w:rPr>
          <w:noProof/>
        </w:rPr>
      </w:sdtEndPr>
      <w:sdtContent>
        <w:p w:rsidR="000B1B60" w:rsidRPr="00C30244" w:rsidRDefault="000B1B60" w:rsidP="00C54A8A">
          <w:pPr>
            <w:pStyle w:val="TOCHeading"/>
            <w:jc w:val="both"/>
            <w:rPr>
              <w:rFonts w:eastAsia="Times New Roman" w:cs="Arial"/>
              <w:szCs w:val="48"/>
              <w:lang w:val="en-NZ" w:eastAsia="en-US"/>
            </w:rPr>
          </w:pPr>
          <w:r w:rsidRPr="00C30244">
            <w:rPr>
              <w:rFonts w:eastAsia="Times New Roman" w:cs="Arial"/>
              <w:szCs w:val="48"/>
              <w:lang w:val="en-NZ" w:eastAsia="en-US"/>
            </w:rPr>
            <w:t>Table of Contents</w:t>
          </w:r>
        </w:p>
        <w:p w:rsidR="00FE4BF1" w:rsidRDefault="000B1B60">
          <w:pPr>
            <w:pStyle w:val="TOC1"/>
            <w:tabs>
              <w:tab w:val="right" w:leader="dot" w:pos="9344"/>
            </w:tabs>
            <w:rPr>
              <w:rFonts w:asciiTheme="minorHAnsi" w:eastAsiaTheme="minorEastAsia" w:hAnsiTheme="minorHAnsi" w:cstheme="minorBidi"/>
              <w:noProof/>
              <w:szCs w:val="22"/>
              <w:lang w:eastAsia="en-NZ"/>
            </w:rPr>
          </w:pPr>
          <w:r>
            <w:fldChar w:fldCharType="begin"/>
          </w:r>
          <w:r>
            <w:instrText xml:space="preserve"> TOC \o "1-3" \h \z \u </w:instrText>
          </w:r>
          <w:r>
            <w:fldChar w:fldCharType="separate"/>
          </w:r>
          <w:hyperlink w:anchor="_Toc382574724" w:history="1">
            <w:r w:rsidR="00FE4BF1" w:rsidRPr="004B3345">
              <w:rPr>
                <w:rStyle w:val="Hyperlink"/>
                <w:noProof/>
              </w:rPr>
              <w:t>Executive Summary</w:t>
            </w:r>
            <w:r w:rsidR="00FE4BF1">
              <w:rPr>
                <w:noProof/>
                <w:webHidden/>
              </w:rPr>
              <w:tab/>
            </w:r>
            <w:r w:rsidR="00FE4BF1">
              <w:rPr>
                <w:noProof/>
                <w:webHidden/>
              </w:rPr>
              <w:fldChar w:fldCharType="begin"/>
            </w:r>
            <w:r w:rsidR="00FE4BF1">
              <w:rPr>
                <w:noProof/>
                <w:webHidden/>
              </w:rPr>
              <w:instrText xml:space="preserve"> PAGEREF _Toc382574724 \h </w:instrText>
            </w:r>
            <w:r w:rsidR="00FE4BF1">
              <w:rPr>
                <w:noProof/>
                <w:webHidden/>
              </w:rPr>
            </w:r>
            <w:r w:rsidR="00FE4BF1">
              <w:rPr>
                <w:noProof/>
                <w:webHidden/>
              </w:rPr>
              <w:fldChar w:fldCharType="separate"/>
            </w:r>
            <w:r w:rsidR="00457A81">
              <w:rPr>
                <w:noProof/>
                <w:webHidden/>
              </w:rPr>
              <w:t>1</w:t>
            </w:r>
            <w:r w:rsidR="00FE4BF1">
              <w:rPr>
                <w:noProof/>
                <w:webHidden/>
              </w:rPr>
              <w:fldChar w:fldCharType="end"/>
            </w:r>
          </w:hyperlink>
        </w:p>
        <w:p w:rsidR="00FE4BF1" w:rsidRDefault="005E74F2">
          <w:pPr>
            <w:pStyle w:val="TOC1"/>
            <w:tabs>
              <w:tab w:val="left" w:pos="440"/>
              <w:tab w:val="right" w:leader="dot" w:pos="9344"/>
            </w:tabs>
            <w:rPr>
              <w:rFonts w:asciiTheme="minorHAnsi" w:eastAsiaTheme="minorEastAsia" w:hAnsiTheme="minorHAnsi" w:cstheme="minorBidi"/>
              <w:noProof/>
              <w:szCs w:val="22"/>
              <w:lang w:eastAsia="en-NZ"/>
            </w:rPr>
          </w:pPr>
          <w:hyperlink w:anchor="_Toc382574725" w:history="1">
            <w:r w:rsidR="00FE4BF1" w:rsidRPr="004B3345">
              <w:rPr>
                <w:rStyle w:val="Hyperlink"/>
                <w:noProof/>
              </w:rPr>
              <w:t>1</w:t>
            </w:r>
            <w:r w:rsidR="00FE4BF1">
              <w:rPr>
                <w:rFonts w:asciiTheme="minorHAnsi" w:eastAsiaTheme="minorEastAsia" w:hAnsiTheme="minorHAnsi" w:cstheme="minorBidi"/>
                <w:noProof/>
                <w:szCs w:val="22"/>
                <w:lang w:eastAsia="en-NZ"/>
              </w:rPr>
              <w:tab/>
            </w:r>
            <w:r w:rsidR="00FE4BF1" w:rsidRPr="004B3345">
              <w:rPr>
                <w:rStyle w:val="Hyperlink"/>
                <w:noProof/>
              </w:rPr>
              <w:t>Purpose</w:t>
            </w:r>
            <w:r w:rsidR="00FE4BF1">
              <w:rPr>
                <w:noProof/>
                <w:webHidden/>
              </w:rPr>
              <w:tab/>
            </w:r>
            <w:r w:rsidR="00FE4BF1">
              <w:rPr>
                <w:noProof/>
                <w:webHidden/>
              </w:rPr>
              <w:fldChar w:fldCharType="begin"/>
            </w:r>
            <w:r w:rsidR="00FE4BF1">
              <w:rPr>
                <w:noProof/>
                <w:webHidden/>
              </w:rPr>
              <w:instrText xml:space="preserve"> PAGEREF _Toc382574725 \h </w:instrText>
            </w:r>
            <w:r w:rsidR="00FE4BF1">
              <w:rPr>
                <w:noProof/>
                <w:webHidden/>
              </w:rPr>
            </w:r>
            <w:r w:rsidR="00FE4BF1">
              <w:rPr>
                <w:noProof/>
                <w:webHidden/>
              </w:rPr>
              <w:fldChar w:fldCharType="separate"/>
            </w:r>
            <w:r w:rsidR="00457A81">
              <w:rPr>
                <w:noProof/>
                <w:webHidden/>
              </w:rPr>
              <w:t>3</w:t>
            </w:r>
            <w:r w:rsidR="00FE4BF1">
              <w:rPr>
                <w:noProof/>
                <w:webHidden/>
              </w:rPr>
              <w:fldChar w:fldCharType="end"/>
            </w:r>
          </w:hyperlink>
        </w:p>
        <w:p w:rsidR="00FE4BF1" w:rsidRDefault="005E74F2">
          <w:pPr>
            <w:pStyle w:val="TOC1"/>
            <w:tabs>
              <w:tab w:val="left" w:pos="440"/>
              <w:tab w:val="right" w:leader="dot" w:pos="9344"/>
            </w:tabs>
            <w:rPr>
              <w:rFonts w:asciiTheme="minorHAnsi" w:eastAsiaTheme="minorEastAsia" w:hAnsiTheme="minorHAnsi" w:cstheme="minorBidi"/>
              <w:noProof/>
              <w:szCs w:val="22"/>
              <w:lang w:eastAsia="en-NZ"/>
            </w:rPr>
          </w:pPr>
          <w:hyperlink w:anchor="_Toc382574726" w:history="1">
            <w:r w:rsidR="00FE4BF1" w:rsidRPr="004B3345">
              <w:rPr>
                <w:rStyle w:val="Hyperlink"/>
                <w:noProof/>
              </w:rPr>
              <w:t>2</w:t>
            </w:r>
            <w:r w:rsidR="00FE4BF1">
              <w:rPr>
                <w:rFonts w:asciiTheme="minorHAnsi" w:eastAsiaTheme="minorEastAsia" w:hAnsiTheme="minorHAnsi" w:cstheme="minorBidi"/>
                <w:noProof/>
                <w:szCs w:val="22"/>
                <w:lang w:eastAsia="en-NZ"/>
              </w:rPr>
              <w:tab/>
            </w:r>
            <w:r w:rsidR="00FE4BF1" w:rsidRPr="004B3345">
              <w:rPr>
                <w:rStyle w:val="Hyperlink"/>
                <w:noProof/>
              </w:rPr>
              <w:t>Introduction</w:t>
            </w:r>
            <w:r w:rsidR="00FE4BF1">
              <w:rPr>
                <w:noProof/>
                <w:webHidden/>
              </w:rPr>
              <w:tab/>
            </w:r>
            <w:r w:rsidR="00FE4BF1">
              <w:rPr>
                <w:noProof/>
                <w:webHidden/>
              </w:rPr>
              <w:fldChar w:fldCharType="begin"/>
            </w:r>
            <w:r w:rsidR="00FE4BF1">
              <w:rPr>
                <w:noProof/>
                <w:webHidden/>
              </w:rPr>
              <w:instrText xml:space="preserve"> PAGEREF _Toc382574726 \h </w:instrText>
            </w:r>
            <w:r w:rsidR="00FE4BF1">
              <w:rPr>
                <w:noProof/>
                <w:webHidden/>
              </w:rPr>
            </w:r>
            <w:r w:rsidR="00FE4BF1">
              <w:rPr>
                <w:noProof/>
                <w:webHidden/>
              </w:rPr>
              <w:fldChar w:fldCharType="separate"/>
            </w:r>
            <w:r w:rsidR="00457A81">
              <w:rPr>
                <w:noProof/>
                <w:webHidden/>
              </w:rPr>
              <w:t>3</w:t>
            </w:r>
            <w:r w:rsidR="00FE4BF1">
              <w:rPr>
                <w:noProof/>
                <w:webHidden/>
              </w:rPr>
              <w:fldChar w:fldCharType="end"/>
            </w:r>
          </w:hyperlink>
        </w:p>
        <w:p w:rsidR="00FE4BF1" w:rsidRDefault="005E74F2">
          <w:pPr>
            <w:pStyle w:val="TOC1"/>
            <w:tabs>
              <w:tab w:val="left" w:pos="440"/>
              <w:tab w:val="right" w:leader="dot" w:pos="9344"/>
            </w:tabs>
            <w:rPr>
              <w:rFonts w:asciiTheme="minorHAnsi" w:eastAsiaTheme="minorEastAsia" w:hAnsiTheme="minorHAnsi" w:cstheme="minorBidi"/>
              <w:noProof/>
              <w:szCs w:val="22"/>
              <w:lang w:eastAsia="en-NZ"/>
            </w:rPr>
          </w:pPr>
          <w:hyperlink w:anchor="_Toc382574727" w:history="1">
            <w:r w:rsidR="00FE4BF1" w:rsidRPr="004B3345">
              <w:rPr>
                <w:rStyle w:val="Hyperlink"/>
                <w:noProof/>
              </w:rPr>
              <w:t>3</w:t>
            </w:r>
            <w:r w:rsidR="00FE4BF1">
              <w:rPr>
                <w:rFonts w:asciiTheme="minorHAnsi" w:eastAsiaTheme="minorEastAsia" w:hAnsiTheme="minorHAnsi" w:cstheme="minorBidi"/>
                <w:noProof/>
                <w:szCs w:val="22"/>
                <w:lang w:eastAsia="en-NZ"/>
              </w:rPr>
              <w:tab/>
            </w:r>
            <w:r w:rsidR="00FE4BF1" w:rsidRPr="004B3345">
              <w:rPr>
                <w:rStyle w:val="Hyperlink"/>
                <w:noProof/>
              </w:rPr>
              <w:t>Background</w:t>
            </w:r>
            <w:r w:rsidR="00FE4BF1">
              <w:rPr>
                <w:noProof/>
                <w:webHidden/>
              </w:rPr>
              <w:tab/>
            </w:r>
            <w:r w:rsidR="00FE4BF1">
              <w:rPr>
                <w:noProof/>
                <w:webHidden/>
              </w:rPr>
              <w:fldChar w:fldCharType="begin"/>
            </w:r>
            <w:r w:rsidR="00FE4BF1">
              <w:rPr>
                <w:noProof/>
                <w:webHidden/>
              </w:rPr>
              <w:instrText xml:space="preserve"> PAGEREF _Toc382574727 \h </w:instrText>
            </w:r>
            <w:r w:rsidR="00FE4BF1">
              <w:rPr>
                <w:noProof/>
                <w:webHidden/>
              </w:rPr>
            </w:r>
            <w:r w:rsidR="00FE4BF1">
              <w:rPr>
                <w:noProof/>
                <w:webHidden/>
              </w:rPr>
              <w:fldChar w:fldCharType="separate"/>
            </w:r>
            <w:r w:rsidR="00457A81">
              <w:rPr>
                <w:noProof/>
                <w:webHidden/>
              </w:rPr>
              <w:t>4</w:t>
            </w:r>
            <w:r w:rsidR="00FE4BF1">
              <w:rPr>
                <w:noProof/>
                <w:webHidden/>
              </w:rPr>
              <w:fldChar w:fldCharType="end"/>
            </w:r>
          </w:hyperlink>
        </w:p>
        <w:p w:rsidR="00FE4BF1" w:rsidRDefault="005E74F2">
          <w:pPr>
            <w:pStyle w:val="TOC1"/>
            <w:tabs>
              <w:tab w:val="left" w:pos="440"/>
              <w:tab w:val="right" w:leader="dot" w:pos="9344"/>
            </w:tabs>
            <w:rPr>
              <w:rFonts w:asciiTheme="minorHAnsi" w:eastAsiaTheme="minorEastAsia" w:hAnsiTheme="minorHAnsi" w:cstheme="minorBidi"/>
              <w:noProof/>
              <w:szCs w:val="22"/>
              <w:lang w:eastAsia="en-NZ"/>
            </w:rPr>
          </w:pPr>
          <w:hyperlink w:anchor="_Toc382574732" w:history="1">
            <w:r w:rsidR="00FE4BF1" w:rsidRPr="004B3345">
              <w:rPr>
                <w:rStyle w:val="Hyperlink"/>
                <w:noProof/>
              </w:rPr>
              <w:t>4</w:t>
            </w:r>
            <w:r w:rsidR="00FE4BF1">
              <w:rPr>
                <w:rFonts w:asciiTheme="minorHAnsi" w:eastAsiaTheme="minorEastAsia" w:hAnsiTheme="minorHAnsi" w:cstheme="minorBidi"/>
                <w:noProof/>
                <w:szCs w:val="22"/>
                <w:lang w:eastAsia="en-NZ"/>
              </w:rPr>
              <w:tab/>
            </w:r>
            <w:r w:rsidR="00FE4BF1" w:rsidRPr="004B3345">
              <w:rPr>
                <w:rStyle w:val="Hyperlink"/>
                <w:noProof/>
              </w:rPr>
              <w:t>Methods</w:t>
            </w:r>
            <w:r w:rsidR="00FE4BF1">
              <w:rPr>
                <w:noProof/>
                <w:webHidden/>
              </w:rPr>
              <w:tab/>
            </w:r>
            <w:r w:rsidR="00FE4BF1">
              <w:rPr>
                <w:noProof/>
                <w:webHidden/>
              </w:rPr>
              <w:fldChar w:fldCharType="begin"/>
            </w:r>
            <w:r w:rsidR="00FE4BF1">
              <w:rPr>
                <w:noProof/>
                <w:webHidden/>
              </w:rPr>
              <w:instrText xml:space="preserve"> PAGEREF _Toc382574732 \h </w:instrText>
            </w:r>
            <w:r w:rsidR="00FE4BF1">
              <w:rPr>
                <w:noProof/>
                <w:webHidden/>
              </w:rPr>
            </w:r>
            <w:r w:rsidR="00FE4BF1">
              <w:rPr>
                <w:noProof/>
                <w:webHidden/>
              </w:rPr>
              <w:fldChar w:fldCharType="separate"/>
            </w:r>
            <w:r w:rsidR="00457A81">
              <w:rPr>
                <w:noProof/>
                <w:webHidden/>
              </w:rPr>
              <w:t>7</w:t>
            </w:r>
            <w:r w:rsidR="00FE4BF1">
              <w:rPr>
                <w:noProof/>
                <w:webHidden/>
              </w:rPr>
              <w:fldChar w:fldCharType="end"/>
            </w:r>
          </w:hyperlink>
        </w:p>
        <w:p w:rsidR="00FE4BF1" w:rsidRDefault="005E74F2">
          <w:pPr>
            <w:pStyle w:val="TOC1"/>
            <w:tabs>
              <w:tab w:val="left" w:pos="440"/>
              <w:tab w:val="right" w:leader="dot" w:pos="9344"/>
            </w:tabs>
            <w:rPr>
              <w:rFonts w:asciiTheme="minorHAnsi" w:eastAsiaTheme="minorEastAsia" w:hAnsiTheme="minorHAnsi" w:cstheme="minorBidi"/>
              <w:noProof/>
              <w:szCs w:val="22"/>
              <w:lang w:eastAsia="en-NZ"/>
            </w:rPr>
          </w:pPr>
          <w:hyperlink w:anchor="_Toc382574737" w:history="1">
            <w:r w:rsidR="00FE4BF1" w:rsidRPr="004B3345">
              <w:rPr>
                <w:rStyle w:val="Hyperlink"/>
                <w:noProof/>
              </w:rPr>
              <w:t>5</w:t>
            </w:r>
            <w:r w:rsidR="00FE4BF1">
              <w:rPr>
                <w:rFonts w:asciiTheme="minorHAnsi" w:eastAsiaTheme="minorEastAsia" w:hAnsiTheme="minorHAnsi" w:cstheme="minorBidi"/>
                <w:noProof/>
                <w:szCs w:val="22"/>
                <w:lang w:eastAsia="en-NZ"/>
              </w:rPr>
              <w:tab/>
            </w:r>
            <w:r w:rsidR="00FE4BF1" w:rsidRPr="004B3345">
              <w:rPr>
                <w:rStyle w:val="Hyperlink"/>
                <w:noProof/>
              </w:rPr>
              <w:t>Pathway of Care</w:t>
            </w:r>
            <w:r w:rsidR="00FE4BF1">
              <w:rPr>
                <w:noProof/>
                <w:webHidden/>
              </w:rPr>
              <w:tab/>
            </w:r>
            <w:r w:rsidR="00FE4BF1">
              <w:rPr>
                <w:noProof/>
                <w:webHidden/>
              </w:rPr>
              <w:fldChar w:fldCharType="begin"/>
            </w:r>
            <w:r w:rsidR="00FE4BF1">
              <w:rPr>
                <w:noProof/>
                <w:webHidden/>
              </w:rPr>
              <w:instrText xml:space="preserve"> PAGEREF _Toc382574737 \h </w:instrText>
            </w:r>
            <w:r w:rsidR="00FE4BF1">
              <w:rPr>
                <w:noProof/>
                <w:webHidden/>
              </w:rPr>
            </w:r>
            <w:r w:rsidR="00FE4BF1">
              <w:rPr>
                <w:noProof/>
                <w:webHidden/>
              </w:rPr>
              <w:fldChar w:fldCharType="separate"/>
            </w:r>
            <w:r w:rsidR="00457A81">
              <w:rPr>
                <w:noProof/>
                <w:webHidden/>
              </w:rPr>
              <w:t>10</w:t>
            </w:r>
            <w:r w:rsidR="00FE4BF1">
              <w:rPr>
                <w:noProof/>
                <w:webHidden/>
              </w:rPr>
              <w:fldChar w:fldCharType="end"/>
            </w:r>
          </w:hyperlink>
        </w:p>
        <w:p w:rsidR="00FE4BF1" w:rsidRDefault="005E74F2">
          <w:pPr>
            <w:pStyle w:val="TOC1"/>
            <w:tabs>
              <w:tab w:val="left" w:pos="440"/>
              <w:tab w:val="right" w:leader="dot" w:pos="9344"/>
            </w:tabs>
            <w:rPr>
              <w:rFonts w:asciiTheme="minorHAnsi" w:eastAsiaTheme="minorEastAsia" w:hAnsiTheme="minorHAnsi" w:cstheme="minorBidi"/>
              <w:noProof/>
              <w:szCs w:val="22"/>
              <w:lang w:eastAsia="en-NZ"/>
            </w:rPr>
          </w:pPr>
          <w:hyperlink w:anchor="_Toc382574738" w:history="1">
            <w:r w:rsidR="00FE4BF1" w:rsidRPr="004B3345">
              <w:rPr>
                <w:rStyle w:val="Hyperlink"/>
                <w:noProof/>
              </w:rPr>
              <w:t>6</w:t>
            </w:r>
            <w:r w:rsidR="00FE4BF1">
              <w:rPr>
                <w:rFonts w:asciiTheme="minorHAnsi" w:eastAsiaTheme="minorEastAsia" w:hAnsiTheme="minorHAnsi" w:cstheme="minorBidi"/>
                <w:noProof/>
                <w:szCs w:val="22"/>
                <w:lang w:eastAsia="en-NZ"/>
              </w:rPr>
              <w:tab/>
            </w:r>
            <w:r w:rsidR="00FE4BF1" w:rsidRPr="004B3345">
              <w:rPr>
                <w:rStyle w:val="Hyperlink"/>
                <w:noProof/>
              </w:rPr>
              <w:t>Costs</w:t>
            </w:r>
            <w:r w:rsidR="00FE4BF1">
              <w:rPr>
                <w:noProof/>
                <w:webHidden/>
              </w:rPr>
              <w:tab/>
            </w:r>
            <w:r w:rsidR="00FE4BF1">
              <w:rPr>
                <w:noProof/>
                <w:webHidden/>
              </w:rPr>
              <w:fldChar w:fldCharType="begin"/>
            </w:r>
            <w:r w:rsidR="00FE4BF1">
              <w:rPr>
                <w:noProof/>
                <w:webHidden/>
              </w:rPr>
              <w:instrText xml:space="preserve"> PAGEREF _Toc382574738 \h </w:instrText>
            </w:r>
            <w:r w:rsidR="00FE4BF1">
              <w:rPr>
                <w:noProof/>
                <w:webHidden/>
              </w:rPr>
            </w:r>
            <w:r w:rsidR="00FE4BF1">
              <w:rPr>
                <w:noProof/>
                <w:webHidden/>
              </w:rPr>
              <w:fldChar w:fldCharType="separate"/>
            </w:r>
            <w:r w:rsidR="00457A81">
              <w:rPr>
                <w:noProof/>
                <w:webHidden/>
              </w:rPr>
              <w:t>12</w:t>
            </w:r>
            <w:r w:rsidR="00FE4BF1">
              <w:rPr>
                <w:noProof/>
                <w:webHidden/>
              </w:rPr>
              <w:fldChar w:fldCharType="end"/>
            </w:r>
          </w:hyperlink>
        </w:p>
        <w:p w:rsidR="00FE4BF1" w:rsidRDefault="005E74F2">
          <w:pPr>
            <w:pStyle w:val="TOC1"/>
            <w:tabs>
              <w:tab w:val="left" w:pos="440"/>
              <w:tab w:val="right" w:leader="dot" w:pos="9344"/>
            </w:tabs>
            <w:rPr>
              <w:rFonts w:asciiTheme="minorHAnsi" w:eastAsiaTheme="minorEastAsia" w:hAnsiTheme="minorHAnsi" w:cstheme="minorBidi"/>
              <w:noProof/>
              <w:szCs w:val="22"/>
              <w:lang w:eastAsia="en-NZ"/>
            </w:rPr>
          </w:pPr>
          <w:hyperlink w:anchor="_Toc382574743" w:history="1">
            <w:r w:rsidR="00FE4BF1" w:rsidRPr="004B3345">
              <w:rPr>
                <w:rStyle w:val="Hyperlink"/>
                <w:noProof/>
              </w:rPr>
              <w:t>7</w:t>
            </w:r>
            <w:r w:rsidR="00FE4BF1">
              <w:rPr>
                <w:rFonts w:asciiTheme="minorHAnsi" w:eastAsiaTheme="minorEastAsia" w:hAnsiTheme="minorHAnsi" w:cstheme="minorBidi"/>
                <w:noProof/>
                <w:szCs w:val="22"/>
                <w:lang w:eastAsia="en-NZ"/>
              </w:rPr>
              <w:tab/>
            </w:r>
            <w:r w:rsidR="00FE4BF1" w:rsidRPr="004B3345">
              <w:rPr>
                <w:rStyle w:val="Hyperlink"/>
                <w:noProof/>
              </w:rPr>
              <w:t>Interventions</w:t>
            </w:r>
            <w:r w:rsidR="00FE4BF1">
              <w:rPr>
                <w:noProof/>
                <w:webHidden/>
              </w:rPr>
              <w:tab/>
            </w:r>
            <w:r w:rsidR="00FE4BF1">
              <w:rPr>
                <w:noProof/>
                <w:webHidden/>
              </w:rPr>
              <w:fldChar w:fldCharType="begin"/>
            </w:r>
            <w:r w:rsidR="00FE4BF1">
              <w:rPr>
                <w:noProof/>
                <w:webHidden/>
              </w:rPr>
              <w:instrText xml:space="preserve"> PAGEREF _Toc382574743 \h </w:instrText>
            </w:r>
            <w:r w:rsidR="00FE4BF1">
              <w:rPr>
                <w:noProof/>
                <w:webHidden/>
              </w:rPr>
            </w:r>
            <w:r w:rsidR="00FE4BF1">
              <w:rPr>
                <w:noProof/>
                <w:webHidden/>
              </w:rPr>
              <w:fldChar w:fldCharType="separate"/>
            </w:r>
            <w:r w:rsidR="00457A81">
              <w:rPr>
                <w:noProof/>
                <w:webHidden/>
              </w:rPr>
              <w:t>17</w:t>
            </w:r>
            <w:r w:rsidR="00FE4BF1">
              <w:rPr>
                <w:noProof/>
                <w:webHidden/>
              </w:rPr>
              <w:fldChar w:fldCharType="end"/>
            </w:r>
          </w:hyperlink>
        </w:p>
        <w:p w:rsidR="00FE4BF1" w:rsidRDefault="005E74F2">
          <w:pPr>
            <w:pStyle w:val="TOC1"/>
            <w:tabs>
              <w:tab w:val="left" w:pos="440"/>
              <w:tab w:val="right" w:leader="dot" w:pos="9344"/>
            </w:tabs>
            <w:rPr>
              <w:rFonts w:asciiTheme="minorHAnsi" w:eastAsiaTheme="minorEastAsia" w:hAnsiTheme="minorHAnsi" w:cstheme="minorBidi"/>
              <w:noProof/>
              <w:szCs w:val="22"/>
              <w:lang w:eastAsia="en-NZ"/>
            </w:rPr>
          </w:pPr>
          <w:hyperlink w:anchor="_Toc382574744" w:history="1">
            <w:r w:rsidR="00FE4BF1" w:rsidRPr="004B3345">
              <w:rPr>
                <w:rStyle w:val="Hyperlink"/>
                <w:noProof/>
              </w:rPr>
              <w:t>8</w:t>
            </w:r>
            <w:r w:rsidR="00FE4BF1">
              <w:rPr>
                <w:rFonts w:asciiTheme="minorHAnsi" w:eastAsiaTheme="minorEastAsia" w:hAnsiTheme="minorHAnsi" w:cstheme="minorBidi"/>
                <w:noProof/>
                <w:szCs w:val="22"/>
                <w:lang w:eastAsia="en-NZ"/>
              </w:rPr>
              <w:tab/>
            </w:r>
            <w:r w:rsidR="00FE4BF1" w:rsidRPr="004B3345">
              <w:rPr>
                <w:rStyle w:val="Hyperlink"/>
                <w:noProof/>
              </w:rPr>
              <w:t>Respiratory Working Group Commentary</w:t>
            </w:r>
            <w:r w:rsidR="00FE4BF1">
              <w:rPr>
                <w:noProof/>
                <w:webHidden/>
              </w:rPr>
              <w:tab/>
            </w:r>
            <w:r w:rsidR="00FE4BF1">
              <w:rPr>
                <w:noProof/>
                <w:webHidden/>
              </w:rPr>
              <w:fldChar w:fldCharType="begin"/>
            </w:r>
            <w:r w:rsidR="00FE4BF1">
              <w:rPr>
                <w:noProof/>
                <w:webHidden/>
              </w:rPr>
              <w:instrText xml:space="preserve"> PAGEREF _Toc382574744 \h </w:instrText>
            </w:r>
            <w:r w:rsidR="00FE4BF1">
              <w:rPr>
                <w:noProof/>
                <w:webHidden/>
              </w:rPr>
            </w:r>
            <w:r w:rsidR="00FE4BF1">
              <w:rPr>
                <w:noProof/>
                <w:webHidden/>
              </w:rPr>
              <w:fldChar w:fldCharType="separate"/>
            </w:r>
            <w:r w:rsidR="00457A81">
              <w:rPr>
                <w:noProof/>
                <w:webHidden/>
              </w:rPr>
              <w:t>20</w:t>
            </w:r>
            <w:r w:rsidR="00FE4BF1">
              <w:rPr>
                <w:noProof/>
                <w:webHidden/>
              </w:rPr>
              <w:fldChar w:fldCharType="end"/>
            </w:r>
          </w:hyperlink>
        </w:p>
        <w:p w:rsidR="00FE4BF1" w:rsidRDefault="005E74F2">
          <w:pPr>
            <w:pStyle w:val="TOC1"/>
            <w:tabs>
              <w:tab w:val="left" w:pos="440"/>
              <w:tab w:val="right" w:leader="dot" w:pos="9344"/>
            </w:tabs>
            <w:rPr>
              <w:rFonts w:asciiTheme="minorHAnsi" w:eastAsiaTheme="minorEastAsia" w:hAnsiTheme="minorHAnsi" w:cstheme="minorBidi"/>
              <w:noProof/>
              <w:szCs w:val="22"/>
              <w:lang w:eastAsia="en-NZ"/>
            </w:rPr>
          </w:pPr>
          <w:hyperlink w:anchor="_Toc382574745" w:history="1">
            <w:r w:rsidR="00FE4BF1" w:rsidRPr="004B3345">
              <w:rPr>
                <w:rStyle w:val="Hyperlink"/>
                <w:noProof/>
              </w:rPr>
              <w:t>9</w:t>
            </w:r>
            <w:r w:rsidR="00FE4BF1">
              <w:rPr>
                <w:rFonts w:asciiTheme="minorHAnsi" w:eastAsiaTheme="minorEastAsia" w:hAnsiTheme="minorHAnsi" w:cstheme="minorBidi"/>
                <w:noProof/>
                <w:szCs w:val="22"/>
                <w:lang w:eastAsia="en-NZ"/>
              </w:rPr>
              <w:tab/>
            </w:r>
            <w:r w:rsidR="00FE4BF1" w:rsidRPr="004B3345">
              <w:rPr>
                <w:rStyle w:val="Hyperlink"/>
                <w:noProof/>
              </w:rPr>
              <w:t>NHC Executive Perspective</w:t>
            </w:r>
            <w:r w:rsidR="00FE4BF1">
              <w:rPr>
                <w:noProof/>
                <w:webHidden/>
              </w:rPr>
              <w:tab/>
            </w:r>
            <w:r w:rsidR="00FE4BF1">
              <w:rPr>
                <w:noProof/>
                <w:webHidden/>
              </w:rPr>
              <w:fldChar w:fldCharType="begin"/>
            </w:r>
            <w:r w:rsidR="00FE4BF1">
              <w:rPr>
                <w:noProof/>
                <w:webHidden/>
              </w:rPr>
              <w:instrText xml:space="preserve"> PAGEREF _Toc382574745 \h </w:instrText>
            </w:r>
            <w:r w:rsidR="00FE4BF1">
              <w:rPr>
                <w:noProof/>
                <w:webHidden/>
              </w:rPr>
            </w:r>
            <w:r w:rsidR="00FE4BF1">
              <w:rPr>
                <w:noProof/>
                <w:webHidden/>
              </w:rPr>
              <w:fldChar w:fldCharType="separate"/>
            </w:r>
            <w:r w:rsidR="00457A81">
              <w:rPr>
                <w:noProof/>
                <w:webHidden/>
              </w:rPr>
              <w:t>20</w:t>
            </w:r>
            <w:r w:rsidR="00FE4BF1">
              <w:rPr>
                <w:noProof/>
                <w:webHidden/>
              </w:rPr>
              <w:fldChar w:fldCharType="end"/>
            </w:r>
          </w:hyperlink>
        </w:p>
        <w:p w:rsidR="00FE4BF1" w:rsidRDefault="005E74F2">
          <w:pPr>
            <w:pStyle w:val="TOC1"/>
            <w:tabs>
              <w:tab w:val="left" w:pos="660"/>
              <w:tab w:val="right" w:leader="dot" w:pos="9344"/>
            </w:tabs>
            <w:rPr>
              <w:rFonts w:asciiTheme="minorHAnsi" w:eastAsiaTheme="minorEastAsia" w:hAnsiTheme="minorHAnsi" w:cstheme="minorBidi"/>
              <w:noProof/>
              <w:szCs w:val="22"/>
              <w:lang w:eastAsia="en-NZ"/>
            </w:rPr>
          </w:pPr>
          <w:hyperlink w:anchor="_Toc382574746" w:history="1">
            <w:r w:rsidR="00FE4BF1" w:rsidRPr="004B3345">
              <w:rPr>
                <w:rStyle w:val="Hyperlink"/>
                <w:noProof/>
              </w:rPr>
              <w:t>10</w:t>
            </w:r>
            <w:r w:rsidR="00FE4BF1">
              <w:rPr>
                <w:rFonts w:asciiTheme="minorHAnsi" w:eastAsiaTheme="minorEastAsia" w:hAnsiTheme="minorHAnsi" w:cstheme="minorBidi"/>
                <w:noProof/>
                <w:szCs w:val="22"/>
                <w:lang w:eastAsia="en-NZ"/>
              </w:rPr>
              <w:tab/>
            </w:r>
            <w:r w:rsidR="00FE4BF1" w:rsidRPr="004B3345">
              <w:rPr>
                <w:rStyle w:val="Hyperlink"/>
                <w:noProof/>
              </w:rPr>
              <w:t>Health Innovation Partnership</w:t>
            </w:r>
            <w:r w:rsidR="00FE4BF1">
              <w:rPr>
                <w:noProof/>
                <w:webHidden/>
              </w:rPr>
              <w:tab/>
            </w:r>
            <w:r w:rsidR="00FE4BF1">
              <w:rPr>
                <w:noProof/>
                <w:webHidden/>
              </w:rPr>
              <w:fldChar w:fldCharType="begin"/>
            </w:r>
            <w:r w:rsidR="00FE4BF1">
              <w:rPr>
                <w:noProof/>
                <w:webHidden/>
              </w:rPr>
              <w:instrText xml:space="preserve"> PAGEREF _Toc382574746 \h </w:instrText>
            </w:r>
            <w:r w:rsidR="00FE4BF1">
              <w:rPr>
                <w:noProof/>
                <w:webHidden/>
              </w:rPr>
            </w:r>
            <w:r w:rsidR="00FE4BF1">
              <w:rPr>
                <w:noProof/>
                <w:webHidden/>
              </w:rPr>
              <w:fldChar w:fldCharType="separate"/>
            </w:r>
            <w:r w:rsidR="00457A81">
              <w:rPr>
                <w:noProof/>
                <w:webHidden/>
              </w:rPr>
              <w:t>24</w:t>
            </w:r>
            <w:r w:rsidR="00FE4BF1">
              <w:rPr>
                <w:noProof/>
                <w:webHidden/>
              </w:rPr>
              <w:fldChar w:fldCharType="end"/>
            </w:r>
          </w:hyperlink>
        </w:p>
        <w:p w:rsidR="00FE4BF1" w:rsidRDefault="005E74F2">
          <w:pPr>
            <w:pStyle w:val="TOC1"/>
            <w:tabs>
              <w:tab w:val="left" w:pos="660"/>
              <w:tab w:val="right" w:leader="dot" w:pos="9344"/>
            </w:tabs>
            <w:rPr>
              <w:rFonts w:asciiTheme="minorHAnsi" w:eastAsiaTheme="minorEastAsia" w:hAnsiTheme="minorHAnsi" w:cstheme="minorBidi"/>
              <w:noProof/>
              <w:szCs w:val="22"/>
              <w:lang w:eastAsia="en-NZ"/>
            </w:rPr>
          </w:pPr>
          <w:hyperlink w:anchor="_Toc382574747" w:history="1">
            <w:r w:rsidR="00FE4BF1" w:rsidRPr="004B3345">
              <w:rPr>
                <w:rStyle w:val="Hyperlink"/>
                <w:noProof/>
              </w:rPr>
              <w:t>11</w:t>
            </w:r>
            <w:r w:rsidR="00FE4BF1">
              <w:rPr>
                <w:rFonts w:asciiTheme="minorHAnsi" w:eastAsiaTheme="minorEastAsia" w:hAnsiTheme="minorHAnsi" w:cstheme="minorBidi"/>
                <w:noProof/>
                <w:szCs w:val="22"/>
                <w:lang w:eastAsia="en-NZ"/>
              </w:rPr>
              <w:tab/>
            </w:r>
            <w:r w:rsidR="00FE4BF1" w:rsidRPr="004B3345">
              <w:rPr>
                <w:rStyle w:val="Hyperlink"/>
                <w:noProof/>
              </w:rPr>
              <w:t>Limitations</w:t>
            </w:r>
            <w:r w:rsidR="00FE4BF1">
              <w:rPr>
                <w:noProof/>
                <w:webHidden/>
              </w:rPr>
              <w:tab/>
            </w:r>
            <w:r w:rsidR="00FE4BF1">
              <w:rPr>
                <w:noProof/>
                <w:webHidden/>
              </w:rPr>
              <w:fldChar w:fldCharType="begin"/>
            </w:r>
            <w:r w:rsidR="00FE4BF1">
              <w:rPr>
                <w:noProof/>
                <w:webHidden/>
              </w:rPr>
              <w:instrText xml:space="preserve"> PAGEREF _Toc382574747 \h </w:instrText>
            </w:r>
            <w:r w:rsidR="00FE4BF1">
              <w:rPr>
                <w:noProof/>
                <w:webHidden/>
              </w:rPr>
            </w:r>
            <w:r w:rsidR="00FE4BF1">
              <w:rPr>
                <w:noProof/>
                <w:webHidden/>
              </w:rPr>
              <w:fldChar w:fldCharType="separate"/>
            </w:r>
            <w:r w:rsidR="00457A81">
              <w:rPr>
                <w:noProof/>
                <w:webHidden/>
              </w:rPr>
              <w:t>24</w:t>
            </w:r>
            <w:r w:rsidR="00FE4BF1">
              <w:rPr>
                <w:noProof/>
                <w:webHidden/>
              </w:rPr>
              <w:fldChar w:fldCharType="end"/>
            </w:r>
          </w:hyperlink>
        </w:p>
        <w:p w:rsidR="00FE4BF1" w:rsidRDefault="005E74F2">
          <w:pPr>
            <w:pStyle w:val="TOC1"/>
            <w:tabs>
              <w:tab w:val="right" w:leader="dot" w:pos="9344"/>
            </w:tabs>
            <w:rPr>
              <w:rFonts w:asciiTheme="minorHAnsi" w:eastAsiaTheme="minorEastAsia" w:hAnsiTheme="minorHAnsi" w:cstheme="minorBidi"/>
              <w:noProof/>
              <w:szCs w:val="22"/>
              <w:lang w:eastAsia="en-NZ"/>
            </w:rPr>
          </w:pPr>
          <w:hyperlink w:anchor="_Toc382574748" w:history="1">
            <w:r w:rsidR="00FE4BF1" w:rsidRPr="004B3345">
              <w:rPr>
                <w:rStyle w:val="Hyperlink"/>
                <w:noProof/>
              </w:rPr>
              <w:t>References</w:t>
            </w:r>
            <w:r w:rsidR="00FE4BF1">
              <w:rPr>
                <w:noProof/>
                <w:webHidden/>
              </w:rPr>
              <w:tab/>
            </w:r>
            <w:r w:rsidR="00FE4BF1">
              <w:rPr>
                <w:noProof/>
                <w:webHidden/>
              </w:rPr>
              <w:fldChar w:fldCharType="begin"/>
            </w:r>
            <w:r w:rsidR="00FE4BF1">
              <w:rPr>
                <w:noProof/>
                <w:webHidden/>
              </w:rPr>
              <w:instrText xml:space="preserve"> PAGEREF _Toc382574748 \h </w:instrText>
            </w:r>
            <w:r w:rsidR="00FE4BF1">
              <w:rPr>
                <w:noProof/>
                <w:webHidden/>
              </w:rPr>
            </w:r>
            <w:r w:rsidR="00FE4BF1">
              <w:rPr>
                <w:noProof/>
                <w:webHidden/>
              </w:rPr>
              <w:fldChar w:fldCharType="separate"/>
            </w:r>
            <w:r w:rsidR="00457A81">
              <w:rPr>
                <w:noProof/>
                <w:webHidden/>
              </w:rPr>
              <w:t>26</w:t>
            </w:r>
            <w:r w:rsidR="00FE4BF1">
              <w:rPr>
                <w:noProof/>
                <w:webHidden/>
              </w:rPr>
              <w:fldChar w:fldCharType="end"/>
            </w:r>
          </w:hyperlink>
        </w:p>
        <w:p w:rsidR="00FE4BF1" w:rsidRDefault="005E74F2">
          <w:pPr>
            <w:pStyle w:val="TOC1"/>
            <w:tabs>
              <w:tab w:val="right" w:leader="dot" w:pos="9344"/>
            </w:tabs>
            <w:rPr>
              <w:rFonts w:asciiTheme="minorHAnsi" w:eastAsiaTheme="minorEastAsia" w:hAnsiTheme="minorHAnsi" w:cstheme="minorBidi"/>
              <w:noProof/>
              <w:szCs w:val="22"/>
              <w:lang w:eastAsia="en-NZ"/>
            </w:rPr>
          </w:pPr>
          <w:hyperlink w:anchor="_Toc382574749" w:history="1">
            <w:r w:rsidR="00FE4BF1" w:rsidRPr="004B3345">
              <w:rPr>
                <w:rStyle w:val="Hyperlink"/>
                <w:noProof/>
              </w:rPr>
              <w:t>Appendix 1: Cost Tables</w:t>
            </w:r>
            <w:r w:rsidR="00FE4BF1">
              <w:rPr>
                <w:noProof/>
                <w:webHidden/>
              </w:rPr>
              <w:tab/>
            </w:r>
            <w:r w:rsidR="00FE4BF1">
              <w:rPr>
                <w:noProof/>
                <w:webHidden/>
              </w:rPr>
              <w:fldChar w:fldCharType="begin"/>
            </w:r>
            <w:r w:rsidR="00FE4BF1">
              <w:rPr>
                <w:noProof/>
                <w:webHidden/>
              </w:rPr>
              <w:instrText xml:space="preserve"> PAGEREF _Toc382574749 \h </w:instrText>
            </w:r>
            <w:r w:rsidR="00FE4BF1">
              <w:rPr>
                <w:noProof/>
                <w:webHidden/>
              </w:rPr>
            </w:r>
            <w:r w:rsidR="00FE4BF1">
              <w:rPr>
                <w:noProof/>
                <w:webHidden/>
              </w:rPr>
              <w:fldChar w:fldCharType="separate"/>
            </w:r>
            <w:r w:rsidR="00457A81">
              <w:rPr>
                <w:noProof/>
                <w:webHidden/>
              </w:rPr>
              <w:t>28</w:t>
            </w:r>
            <w:r w:rsidR="00FE4BF1">
              <w:rPr>
                <w:noProof/>
                <w:webHidden/>
              </w:rPr>
              <w:fldChar w:fldCharType="end"/>
            </w:r>
          </w:hyperlink>
        </w:p>
        <w:p w:rsidR="00FE4BF1" w:rsidRDefault="005E74F2">
          <w:pPr>
            <w:pStyle w:val="TOC1"/>
            <w:tabs>
              <w:tab w:val="right" w:leader="dot" w:pos="9344"/>
            </w:tabs>
            <w:rPr>
              <w:rFonts w:asciiTheme="minorHAnsi" w:eastAsiaTheme="minorEastAsia" w:hAnsiTheme="minorHAnsi" w:cstheme="minorBidi"/>
              <w:noProof/>
              <w:szCs w:val="22"/>
              <w:lang w:eastAsia="en-NZ"/>
            </w:rPr>
          </w:pPr>
          <w:hyperlink w:anchor="_Toc382574753" w:history="1">
            <w:r w:rsidR="00FE4BF1" w:rsidRPr="004B3345">
              <w:rPr>
                <w:rStyle w:val="Hyperlink"/>
                <w:noProof/>
              </w:rPr>
              <w:t>Appendix 2: ABCC Study Summary Table</w:t>
            </w:r>
            <w:r w:rsidR="00FE4BF1">
              <w:rPr>
                <w:noProof/>
                <w:webHidden/>
              </w:rPr>
              <w:tab/>
            </w:r>
            <w:r w:rsidR="00FE4BF1">
              <w:rPr>
                <w:noProof/>
                <w:webHidden/>
              </w:rPr>
              <w:fldChar w:fldCharType="begin"/>
            </w:r>
            <w:r w:rsidR="00FE4BF1">
              <w:rPr>
                <w:noProof/>
                <w:webHidden/>
              </w:rPr>
              <w:instrText xml:space="preserve"> PAGEREF _Toc382574753 \h </w:instrText>
            </w:r>
            <w:r w:rsidR="00FE4BF1">
              <w:rPr>
                <w:noProof/>
                <w:webHidden/>
              </w:rPr>
            </w:r>
            <w:r w:rsidR="00FE4BF1">
              <w:rPr>
                <w:noProof/>
                <w:webHidden/>
              </w:rPr>
              <w:fldChar w:fldCharType="separate"/>
            </w:r>
            <w:r w:rsidR="00457A81">
              <w:rPr>
                <w:noProof/>
                <w:webHidden/>
              </w:rPr>
              <w:t>31</w:t>
            </w:r>
            <w:r w:rsidR="00FE4BF1">
              <w:rPr>
                <w:noProof/>
                <w:webHidden/>
              </w:rPr>
              <w:fldChar w:fldCharType="end"/>
            </w:r>
          </w:hyperlink>
        </w:p>
        <w:p w:rsidR="00FE4BF1" w:rsidRDefault="005E74F2">
          <w:pPr>
            <w:pStyle w:val="TOC1"/>
            <w:tabs>
              <w:tab w:val="right" w:leader="dot" w:pos="9344"/>
            </w:tabs>
            <w:rPr>
              <w:rFonts w:asciiTheme="minorHAnsi" w:eastAsiaTheme="minorEastAsia" w:hAnsiTheme="minorHAnsi" w:cstheme="minorBidi"/>
              <w:noProof/>
              <w:szCs w:val="22"/>
              <w:lang w:eastAsia="en-NZ"/>
            </w:rPr>
          </w:pPr>
          <w:hyperlink w:anchor="_Toc382574754" w:history="1">
            <w:r w:rsidR="00FE4BF1" w:rsidRPr="004B3345">
              <w:rPr>
                <w:rStyle w:val="Hyperlink"/>
                <w:noProof/>
              </w:rPr>
              <w:t>Appendix 3: Full Methodology</w:t>
            </w:r>
            <w:r w:rsidR="00FE4BF1">
              <w:rPr>
                <w:noProof/>
                <w:webHidden/>
              </w:rPr>
              <w:tab/>
            </w:r>
            <w:r w:rsidR="00FE4BF1">
              <w:rPr>
                <w:noProof/>
                <w:webHidden/>
              </w:rPr>
              <w:fldChar w:fldCharType="begin"/>
            </w:r>
            <w:r w:rsidR="00FE4BF1">
              <w:rPr>
                <w:noProof/>
                <w:webHidden/>
              </w:rPr>
              <w:instrText xml:space="preserve"> PAGEREF _Toc382574754 \h </w:instrText>
            </w:r>
            <w:r w:rsidR="00FE4BF1">
              <w:rPr>
                <w:noProof/>
                <w:webHidden/>
              </w:rPr>
            </w:r>
            <w:r w:rsidR="00FE4BF1">
              <w:rPr>
                <w:noProof/>
                <w:webHidden/>
              </w:rPr>
              <w:fldChar w:fldCharType="separate"/>
            </w:r>
            <w:r w:rsidR="00457A81">
              <w:rPr>
                <w:noProof/>
                <w:webHidden/>
              </w:rPr>
              <w:t>32</w:t>
            </w:r>
            <w:r w:rsidR="00FE4BF1">
              <w:rPr>
                <w:noProof/>
                <w:webHidden/>
              </w:rPr>
              <w:fldChar w:fldCharType="end"/>
            </w:r>
          </w:hyperlink>
        </w:p>
        <w:p w:rsidR="00FE4BF1" w:rsidRDefault="005E74F2">
          <w:pPr>
            <w:pStyle w:val="TOC1"/>
            <w:tabs>
              <w:tab w:val="right" w:leader="dot" w:pos="9344"/>
            </w:tabs>
            <w:rPr>
              <w:rFonts w:asciiTheme="minorHAnsi" w:eastAsiaTheme="minorEastAsia" w:hAnsiTheme="minorHAnsi" w:cstheme="minorBidi"/>
              <w:noProof/>
              <w:szCs w:val="22"/>
              <w:lang w:eastAsia="en-NZ"/>
            </w:rPr>
          </w:pPr>
          <w:hyperlink w:anchor="_Toc382574774" w:history="1">
            <w:r w:rsidR="00FE4BF1" w:rsidRPr="004B3345">
              <w:rPr>
                <w:rStyle w:val="Hyperlink"/>
                <w:noProof/>
              </w:rPr>
              <w:t>Appendix 4: RWG Discussion Notes</w:t>
            </w:r>
            <w:r w:rsidR="00FE4BF1">
              <w:rPr>
                <w:noProof/>
                <w:webHidden/>
              </w:rPr>
              <w:tab/>
            </w:r>
            <w:r w:rsidR="00FE4BF1">
              <w:rPr>
                <w:noProof/>
                <w:webHidden/>
              </w:rPr>
              <w:fldChar w:fldCharType="begin"/>
            </w:r>
            <w:r w:rsidR="00FE4BF1">
              <w:rPr>
                <w:noProof/>
                <w:webHidden/>
              </w:rPr>
              <w:instrText xml:space="preserve"> PAGEREF _Toc382574774 \h </w:instrText>
            </w:r>
            <w:r w:rsidR="00FE4BF1">
              <w:rPr>
                <w:noProof/>
                <w:webHidden/>
              </w:rPr>
            </w:r>
            <w:r w:rsidR="00FE4BF1">
              <w:rPr>
                <w:noProof/>
                <w:webHidden/>
              </w:rPr>
              <w:fldChar w:fldCharType="separate"/>
            </w:r>
            <w:r w:rsidR="00457A81">
              <w:rPr>
                <w:noProof/>
                <w:webHidden/>
              </w:rPr>
              <w:t>51</w:t>
            </w:r>
            <w:r w:rsidR="00FE4BF1">
              <w:rPr>
                <w:noProof/>
                <w:webHidden/>
              </w:rPr>
              <w:fldChar w:fldCharType="end"/>
            </w:r>
          </w:hyperlink>
        </w:p>
        <w:p w:rsidR="000B1B60" w:rsidRDefault="000B1B60" w:rsidP="00C54A8A">
          <w:pPr>
            <w:jc w:val="both"/>
          </w:pPr>
          <w:r>
            <w:rPr>
              <w:b/>
              <w:bCs/>
              <w:noProof/>
            </w:rPr>
            <w:fldChar w:fldCharType="end"/>
          </w:r>
        </w:p>
      </w:sdtContent>
    </w:sdt>
    <w:p w:rsidR="000B1B60" w:rsidRDefault="000B1B60" w:rsidP="00C54A8A">
      <w:pPr>
        <w:jc w:val="both"/>
      </w:pPr>
    </w:p>
    <w:p w:rsidR="000B1B60" w:rsidRDefault="000B1B60" w:rsidP="00C54A8A">
      <w:pPr>
        <w:jc w:val="both"/>
      </w:pPr>
      <w:r>
        <w:br w:type="page"/>
      </w:r>
    </w:p>
    <w:p w:rsidR="00000245" w:rsidRDefault="00000245" w:rsidP="00C54A8A">
      <w:pPr>
        <w:pStyle w:val="Heading1"/>
        <w:jc w:val="both"/>
      </w:pPr>
      <w:bookmarkStart w:id="2" w:name="_Toc382574725"/>
      <w:r>
        <w:lastRenderedPageBreak/>
        <w:t>Purpose</w:t>
      </w:r>
      <w:bookmarkEnd w:id="2"/>
    </w:p>
    <w:p w:rsidR="00000245" w:rsidRDefault="00000245" w:rsidP="00C54A8A">
      <w:pPr>
        <w:jc w:val="both"/>
      </w:pPr>
      <w:r w:rsidRPr="0029045E">
        <w:t>The purpose of this report is to explore the pathway of care for COPD patients and identify</w:t>
      </w:r>
      <w:r>
        <w:t xml:space="preserve"> interventions that the </w:t>
      </w:r>
      <w:r w:rsidR="00FE7ED7">
        <w:t>National Health Committee (</w:t>
      </w:r>
      <w:r>
        <w:t>NHC</w:t>
      </w:r>
      <w:r w:rsidR="00FE7ED7">
        <w:t>)</w:t>
      </w:r>
      <w:r>
        <w:t xml:space="preserve"> should conduct </w:t>
      </w:r>
      <w:r w:rsidR="00D44DDA">
        <w:t>health technology assessments (</w:t>
      </w:r>
      <w:r>
        <w:t>HTAs</w:t>
      </w:r>
      <w:r w:rsidR="00D44DDA">
        <w:t>)</w:t>
      </w:r>
      <w:r w:rsidR="0059413C">
        <w:t xml:space="preserve"> on in order to improve</w:t>
      </w:r>
      <w:r>
        <w:t xml:space="preserve"> health outcomes and efficiency.</w:t>
      </w:r>
    </w:p>
    <w:p w:rsidR="000B1B60" w:rsidRDefault="000B1B60" w:rsidP="00C54A8A">
      <w:pPr>
        <w:pStyle w:val="Heading1"/>
        <w:jc w:val="both"/>
      </w:pPr>
      <w:bookmarkStart w:id="3" w:name="_Toc382574726"/>
      <w:r>
        <w:t>Introduction</w:t>
      </w:r>
      <w:bookmarkEnd w:id="3"/>
    </w:p>
    <w:p w:rsidR="008952DA" w:rsidRDefault="008952DA" w:rsidP="00C54A8A">
      <w:pPr>
        <w:jc w:val="both"/>
        <w:rPr>
          <w:rFonts w:cs="Arial"/>
          <w:color w:val="292526"/>
        </w:rPr>
      </w:pPr>
      <w:r w:rsidRPr="000B2A53">
        <w:rPr>
          <w:rFonts w:cs="Arial"/>
          <w:color w:val="292526"/>
        </w:rPr>
        <w:t xml:space="preserve">The </w:t>
      </w:r>
      <w:r w:rsidR="00FE7ED7">
        <w:rPr>
          <w:rFonts w:cs="Arial"/>
          <w:color w:val="292526"/>
        </w:rPr>
        <w:t>NHC</w:t>
      </w:r>
      <w:r w:rsidR="0029045E">
        <w:rPr>
          <w:rFonts w:cs="Arial"/>
          <w:color w:val="292526"/>
        </w:rPr>
        <w:t xml:space="preserve"> </w:t>
      </w:r>
      <w:r w:rsidRPr="000B2A53">
        <w:rPr>
          <w:rFonts w:cs="Arial"/>
          <w:color w:val="292526"/>
        </w:rPr>
        <w:t xml:space="preserve">is tasked with improving health outcomes whilst maintaining or reducing costs through the prioritisation of the most cost effective new and existing health technologies.  It does this by assessing ‘value for money’ in terms of health outcomes and cost to the health sector.  </w:t>
      </w:r>
      <w:r w:rsidR="00F25F63">
        <w:rPr>
          <w:rFonts w:cs="Arial"/>
          <w:color w:val="292526"/>
        </w:rPr>
        <w:t>T</w:t>
      </w:r>
      <w:r w:rsidR="00F25F63" w:rsidRPr="000B2A53">
        <w:rPr>
          <w:rFonts w:cs="Arial"/>
          <w:color w:val="292526"/>
        </w:rPr>
        <w:t>he NHC’s goal is</w:t>
      </w:r>
      <w:r w:rsidR="00F25F63">
        <w:rPr>
          <w:rFonts w:cs="Arial"/>
          <w:color w:val="292526"/>
        </w:rPr>
        <w:t xml:space="preserve"> to improve </w:t>
      </w:r>
      <w:r w:rsidR="00F25F63" w:rsidRPr="000B2A53">
        <w:rPr>
          <w:rFonts w:cs="Arial"/>
          <w:color w:val="292526"/>
        </w:rPr>
        <w:t>health outcomes and health sector sustainability</w:t>
      </w:r>
      <w:r w:rsidR="00F25F63">
        <w:rPr>
          <w:rFonts w:cs="Arial"/>
          <w:color w:val="292526"/>
        </w:rPr>
        <w:t xml:space="preserve"> through better investment</w:t>
      </w:r>
      <w:r w:rsidRPr="000B2A53">
        <w:rPr>
          <w:rFonts w:cs="Arial"/>
          <w:color w:val="292526"/>
        </w:rPr>
        <w:t xml:space="preserve"> </w:t>
      </w:r>
      <w:r w:rsidR="00F25F63">
        <w:rPr>
          <w:rFonts w:cs="Arial"/>
          <w:color w:val="292526"/>
        </w:rPr>
        <w:t>and targeting of</w:t>
      </w:r>
      <w:r w:rsidRPr="000B2A53">
        <w:rPr>
          <w:rFonts w:cs="Arial"/>
          <w:color w:val="292526"/>
        </w:rPr>
        <w:t xml:space="preserve"> technologies</w:t>
      </w:r>
      <w:r w:rsidR="00F25F63">
        <w:rPr>
          <w:rFonts w:cs="Arial"/>
          <w:color w:val="292526"/>
        </w:rPr>
        <w:t xml:space="preserve"> and service reconfiguration. </w:t>
      </w:r>
      <w:r>
        <w:rPr>
          <w:rFonts w:cs="Arial"/>
          <w:color w:val="292526"/>
        </w:rPr>
        <w:t>With this goal in mind, the NHC identified respiratory disease as a priority area</w:t>
      </w:r>
      <w:r w:rsidR="00221131">
        <w:rPr>
          <w:rFonts w:cs="Arial"/>
          <w:color w:val="292526"/>
        </w:rPr>
        <w:t xml:space="preserve"> as</w:t>
      </w:r>
      <w:r>
        <w:rPr>
          <w:rFonts w:cs="Arial"/>
          <w:color w:val="292526"/>
        </w:rPr>
        <w:t xml:space="preserve"> it </w:t>
      </w:r>
      <w:r w:rsidR="00912CFB">
        <w:rPr>
          <w:rFonts w:cs="Arial"/>
          <w:color w:val="292526"/>
        </w:rPr>
        <w:t xml:space="preserve">affects a large number of people and results in a significant spend in Vote: Health – the Government’s health expenditure. </w:t>
      </w:r>
    </w:p>
    <w:p w:rsidR="008952DA" w:rsidRDefault="00CA0207" w:rsidP="00C54A8A">
      <w:pPr>
        <w:jc w:val="both"/>
        <w:rPr>
          <w:rFonts w:cs="Arial"/>
          <w:color w:val="292526"/>
        </w:rPr>
      </w:pPr>
      <w:r>
        <w:rPr>
          <w:rFonts w:cs="Arial"/>
          <w:color w:val="292526"/>
        </w:rPr>
        <w:t xml:space="preserve">In </w:t>
      </w:r>
      <w:r w:rsidR="00000245">
        <w:rPr>
          <w:rFonts w:cs="Arial"/>
          <w:color w:val="292526"/>
        </w:rPr>
        <w:t>November</w:t>
      </w:r>
      <w:r w:rsidR="00912CFB">
        <w:rPr>
          <w:rFonts w:cs="Arial"/>
          <w:color w:val="292526"/>
        </w:rPr>
        <w:t xml:space="preserve"> </w:t>
      </w:r>
      <w:r w:rsidR="008952DA">
        <w:rPr>
          <w:rFonts w:cs="Arial"/>
          <w:color w:val="292526"/>
        </w:rPr>
        <w:t xml:space="preserve">2013, the NHC published </w:t>
      </w:r>
      <w:r w:rsidR="008952DA" w:rsidRPr="00B77198">
        <w:rPr>
          <w:rFonts w:cs="Arial"/>
          <w:i/>
          <w:color w:val="292526"/>
        </w:rPr>
        <w:t>Strategic Overview: Respiratory Disease in New Zealand</w:t>
      </w:r>
      <w:r w:rsidR="008952DA">
        <w:rPr>
          <w:rFonts w:cs="Arial"/>
          <w:color w:val="292526"/>
        </w:rPr>
        <w:t>.  That document explored the burden of respiratory disease from a prevalence/incidence, health outcomes</w:t>
      </w:r>
      <w:r w:rsidR="00912CFB">
        <w:rPr>
          <w:rFonts w:cs="Arial"/>
          <w:color w:val="292526"/>
        </w:rPr>
        <w:t>,</w:t>
      </w:r>
      <w:r w:rsidR="008952DA">
        <w:rPr>
          <w:rFonts w:cs="Arial"/>
          <w:color w:val="292526"/>
        </w:rPr>
        <w:t xml:space="preserve"> </w:t>
      </w:r>
      <w:r w:rsidR="00FE7ED7">
        <w:rPr>
          <w:rFonts w:cs="Arial"/>
          <w:color w:val="292526"/>
        </w:rPr>
        <w:t xml:space="preserve">resource </w:t>
      </w:r>
      <w:r w:rsidR="008952DA">
        <w:rPr>
          <w:rFonts w:cs="Arial"/>
          <w:color w:val="292526"/>
        </w:rPr>
        <w:t xml:space="preserve">utilisation and cost perspective in order to identify which respiratory disease the NHC should focus further work in 2013/14.  Based on the evidence presented in that report, the NHC identified </w:t>
      </w:r>
      <w:r w:rsidR="00000245">
        <w:rPr>
          <w:rFonts w:cs="Arial"/>
          <w:color w:val="292526"/>
        </w:rPr>
        <w:t>Chronic Obstructive Pulmonary Disease (</w:t>
      </w:r>
      <w:r w:rsidR="008952DA">
        <w:rPr>
          <w:rFonts w:cs="Arial"/>
          <w:color w:val="292526"/>
        </w:rPr>
        <w:t>COPD</w:t>
      </w:r>
      <w:r w:rsidR="00000245">
        <w:rPr>
          <w:rFonts w:cs="Arial"/>
          <w:color w:val="292526"/>
        </w:rPr>
        <w:t>)</w:t>
      </w:r>
      <w:r w:rsidR="008952DA">
        <w:rPr>
          <w:rFonts w:cs="Arial"/>
          <w:color w:val="292526"/>
        </w:rPr>
        <w:t xml:space="preserve"> as </w:t>
      </w:r>
      <w:r w:rsidR="00F25F63">
        <w:rPr>
          <w:rFonts w:cs="Arial"/>
          <w:color w:val="292526"/>
        </w:rPr>
        <w:t xml:space="preserve">best </w:t>
      </w:r>
      <w:r w:rsidR="008952DA">
        <w:rPr>
          <w:rFonts w:cs="Arial"/>
          <w:color w:val="292526"/>
        </w:rPr>
        <w:t>fitting with its decision-making criteria and has agreed to conduct further assessment as per its tiered assessment approach</w:t>
      </w:r>
      <w:r w:rsidR="008952DA">
        <w:rPr>
          <w:rStyle w:val="FootnoteReference"/>
          <w:rFonts w:cs="Arial"/>
          <w:color w:val="292526"/>
        </w:rPr>
        <w:footnoteReference w:id="1"/>
      </w:r>
      <w:r w:rsidR="008952DA">
        <w:rPr>
          <w:rFonts w:cs="Arial"/>
          <w:color w:val="292526"/>
        </w:rPr>
        <w:t xml:space="preserve">.  </w:t>
      </w:r>
    </w:p>
    <w:p w:rsidR="00F25F63" w:rsidRDefault="00F25F63" w:rsidP="00C54A8A">
      <w:pPr>
        <w:jc w:val="both"/>
        <w:rPr>
          <w:rFonts w:cs="Arial"/>
          <w:color w:val="292526"/>
        </w:rPr>
      </w:pPr>
      <w:r>
        <w:rPr>
          <w:rFonts w:cs="Arial"/>
          <w:color w:val="292526"/>
        </w:rPr>
        <w:t xml:space="preserve">This report </w:t>
      </w:r>
      <w:r w:rsidR="0029045E">
        <w:rPr>
          <w:rFonts w:cs="Arial"/>
          <w:color w:val="292526"/>
        </w:rPr>
        <w:t>provides information</w:t>
      </w:r>
      <w:r>
        <w:rPr>
          <w:rFonts w:cs="Arial"/>
          <w:color w:val="292526"/>
        </w:rPr>
        <w:t xml:space="preserve"> that </w:t>
      </w:r>
      <w:r w:rsidR="0029045E">
        <w:rPr>
          <w:rFonts w:cs="Arial"/>
          <w:color w:val="292526"/>
        </w:rPr>
        <w:t>was</w:t>
      </w:r>
      <w:r>
        <w:rPr>
          <w:rFonts w:cs="Arial"/>
          <w:color w:val="292526"/>
        </w:rPr>
        <w:t xml:space="preserve"> used</w:t>
      </w:r>
      <w:r w:rsidR="0029045E">
        <w:rPr>
          <w:rFonts w:cs="Arial"/>
          <w:color w:val="292526"/>
        </w:rPr>
        <w:t xml:space="preserve"> as a basis</w:t>
      </w:r>
      <w:r w:rsidR="007C4ACD">
        <w:rPr>
          <w:rFonts w:cs="Arial"/>
          <w:color w:val="292526"/>
        </w:rPr>
        <w:t xml:space="preserve"> </w:t>
      </w:r>
      <w:r w:rsidR="0029045E">
        <w:rPr>
          <w:rFonts w:cs="Arial"/>
          <w:color w:val="292526"/>
        </w:rPr>
        <w:t>for engaging with</w:t>
      </w:r>
      <w:r w:rsidR="007C4ACD">
        <w:rPr>
          <w:rFonts w:cs="Arial"/>
          <w:color w:val="292526"/>
        </w:rPr>
        <w:t xml:space="preserve"> a </w:t>
      </w:r>
      <w:r w:rsidR="0029045E">
        <w:rPr>
          <w:rFonts w:cs="Arial"/>
          <w:color w:val="292526"/>
        </w:rPr>
        <w:t>respiratory working group (RWG)</w:t>
      </w:r>
      <w:r w:rsidR="007C4ACD">
        <w:rPr>
          <w:rFonts w:cs="Arial"/>
          <w:color w:val="292526"/>
        </w:rPr>
        <w:t xml:space="preserve"> to inform recommendations on </w:t>
      </w:r>
      <w:r w:rsidR="0029045E">
        <w:rPr>
          <w:rFonts w:cs="Arial"/>
          <w:color w:val="292526"/>
        </w:rPr>
        <w:t xml:space="preserve">assessments </w:t>
      </w:r>
      <w:r w:rsidR="007C4ACD">
        <w:rPr>
          <w:rFonts w:cs="Arial"/>
          <w:color w:val="292526"/>
        </w:rPr>
        <w:t xml:space="preserve">to be undertaken.  </w:t>
      </w:r>
      <w:r>
        <w:rPr>
          <w:rFonts w:cs="Arial"/>
          <w:color w:val="292526"/>
        </w:rPr>
        <w:t xml:space="preserve">The RWG is comprised of various sector representatives who </w:t>
      </w:r>
      <w:r w:rsidR="0029045E">
        <w:rPr>
          <w:rFonts w:cs="Arial"/>
          <w:color w:val="292526"/>
        </w:rPr>
        <w:t xml:space="preserve">reviewed </w:t>
      </w:r>
      <w:r>
        <w:rPr>
          <w:rFonts w:cs="Arial"/>
          <w:color w:val="292526"/>
        </w:rPr>
        <w:t>the evidence presented in this repor</w:t>
      </w:r>
      <w:r w:rsidR="007C4ACD">
        <w:rPr>
          <w:rFonts w:cs="Arial"/>
          <w:color w:val="292526"/>
        </w:rPr>
        <w:t>t</w:t>
      </w:r>
      <w:r w:rsidR="0029045E">
        <w:rPr>
          <w:rFonts w:cs="Arial"/>
          <w:color w:val="292526"/>
        </w:rPr>
        <w:t xml:space="preserve"> and provided their own expertise</w:t>
      </w:r>
      <w:r w:rsidR="007C4ACD">
        <w:rPr>
          <w:rFonts w:cs="Arial"/>
          <w:color w:val="292526"/>
        </w:rPr>
        <w:t xml:space="preserve">.  </w:t>
      </w:r>
      <w:r w:rsidR="0029045E">
        <w:rPr>
          <w:rFonts w:cs="Arial"/>
          <w:color w:val="292526"/>
        </w:rPr>
        <w:t>This report is the final version of the draft report that went to the RWG and summarises both the evidence that went to the RWG as well as its commentary on which areas along the COPD pathway of care have the potential for material health gains.</w:t>
      </w:r>
    </w:p>
    <w:p w:rsidR="008952DA" w:rsidRDefault="00912CFB" w:rsidP="00C54A8A">
      <w:pPr>
        <w:jc w:val="both"/>
        <w:rPr>
          <w:rFonts w:cs="Arial"/>
          <w:color w:val="292526"/>
        </w:rPr>
      </w:pPr>
      <w:r>
        <w:rPr>
          <w:rFonts w:cs="Arial"/>
          <w:color w:val="292526"/>
        </w:rPr>
        <w:t>The NHC</w:t>
      </w:r>
      <w:r w:rsidR="008952DA">
        <w:rPr>
          <w:rFonts w:cs="Arial"/>
          <w:color w:val="292526"/>
        </w:rPr>
        <w:t xml:space="preserve"> </w:t>
      </w:r>
      <w:r w:rsidR="00F25F63">
        <w:rPr>
          <w:rFonts w:cs="Arial"/>
          <w:color w:val="292526"/>
        </w:rPr>
        <w:t>assesses</w:t>
      </w:r>
      <w:r>
        <w:rPr>
          <w:rFonts w:cs="Arial"/>
          <w:color w:val="292526"/>
        </w:rPr>
        <w:t xml:space="preserve"> the COPD pathway of care </w:t>
      </w:r>
      <w:r w:rsidR="008952DA">
        <w:rPr>
          <w:rFonts w:cs="Arial"/>
          <w:color w:val="292526"/>
        </w:rPr>
        <w:t xml:space="preserve">by </w:t>
      </w:r>
      <w:r w:rsidR="00F25F63">
        <w:rPr>
          <w:rFonts w:cs="Arial"/>
          <w:color w:val="292526"/>
        </w:rPr>
        <w:t xml:space="preserve">examining </w:t>
      </w:r>
      <w:r w:rsidR="0059413C">
        <w:rPr>
          <w:rFonts w:cs="Arial"/>
          <w:color w:val="292526"/>
        </w:rPr>
        <w:t>Australasian</w:t>
      </w:r>
      <w:r w:rsidR="00F25F63">
        <w:rPr>
          <w:rFonts w:cs="Arial"/>
          <w:color w:val="292526"/>
        </w:rPr>
        <w:t xml:space="preserve"> and </w:t>
      </w:r>
      <w:r w:rsidR="006D219E">
        <w:rPr>
          <w:rFonts w:cs="Arial"/>
          <w:color w:val="292526"/>
        </w:rPr>
        <w:t>United Kingdom (UK)</w:t>
      </w:r>
      <w:r w:rsidR="00F25F63">
        <w:rPr>
          <w:rFonts w:cs="Arial"/>
          <w:color w:val="292526"/>
        </w:rPr>
        <w:t xml:space="preserve"> guidelines.  This pathway then forms</w:t>
      </w:r>
      <w:r w:rsidR="006D219E">
        <w:rPr>
          <w:rFonts w:cs="Arial"/>
          <w:color w:val="292526"/>
        </w:rPr>
        <w:t xml:space="preserve"> the basis of a cost model whereby COPD patient cohort costs and flows are presented along the pathway of care.  </w:t>
      </w:r>
      <w:r w:rsidR="00F25F63">
        <w:rPr>
          <w:rFonts w:cs="Arial"/>
          <w:color w:val="292526"/>
        </w:rPr>
        <w:t>T</w:t>
      </w:r>
      <w:r w:rsidR="006D219E">
        <w:rPr>
          <w:rFonts w:cs="Arial"/>
          <w:color w:val="292526"/>
        </w:rPr>
        <w:t>he pathway of care and data evidence are synthesised and a preliminary prioritisation of interventions for further assessment is proposed</w:t>
      </w:r>
      <w:r w:rsidR="00F25F63">
        <w:rPr>
          <w:rFonts w:cs="Arial"/>
          <w:color w:val="292526"/>
        </w:rPr>
        <w:t>.  This is</w:t>
      </w:r>
      <w:r w:rsidR="006D219E">
        <w:rPr>
          <w:rFonts w:cs="Arial"/>
          <w:color w:val="292526"/>
        </w:rPr>
        <w:t xml:space="preserve"> based on which interventions best meet the goal of improving health </w:t>
      </w:r>
      <w:r w:rsidR="006D219E">
        <w:rPr>
          <w:rFonts w:cs="Arial"/>
          <w:color w:val="292526"/>
        </w:rPr>
        <w:lastRenderedPageBreak/>
        <w:t>outcomes within COPD care</w:t>
      </w:r>
      <w:r w:rsidR="00000245">
        <w:rPr>
          <w:rFonts w:cs="Arial"/>
          <w:color w:val="292526"/>
        </w:rPr>
        <w:t xml:space="preserve"> in the most cost effective manner</w:t>
      </w:r>
      <w:r w:rsidR="006D219E">
        <w:rPr>
          <w:rFonts w:cs="Arial"/>
          <w:color w:val="292526"/>
        </w:rPr>
        <w:t xml:space="preserve">.  A limitations section </w:t>
      </w:r>
      <w:r w:rsidR="00000245">
        <w:rPr>
          <w:rFonts w:cs="Arial"/>
          <w:color w:val="292526"/>
        </w:rPr>
        <w:t>outlines</w:t>
      </w:r>
      <w:r w:rsidR="006D219E">
        <w:rPr>
          <w:rFonts w:cs="Arial"/>
          <w:color w:val="292526"/>
        </w:rPr>
        <w:t xml:space="preserve"> the shortcomings of the methodology and data used in this report.</w:t>
      </w:r>
    </w:p>
    <w:p w:rsidR="00B77198" w:rsidRDefault="00B77198" w:rsidP="00C54A8A">
      <w:pPr>
        <w:pStyle w:val="Heading1"/>
        <w:jc w:val="both"/>
      </w:pPr>
      <w:bookmarkStart w:id="4" w:name="_Toc382574727"/>
      <w:r>
        <w:t>Background</w:t>
      </w:r>
      <w:bookmarkEnd w:id="4"/>
    </w:p>
    <w:p w:rsidR="00B77198" w:rsidRDefault="00B77198" w:rsidP="00C54A8A">
      <w:pPr>
        <w:pStyle w:val="Heading2"/>
        <w:jc w:val="both"/>
      </w:pPr>
      <w:bookmarkStart w:id="5" w:name="_Toc370401374"/>
      <w:bookmarkStart w:id="6" w:name="_Toc370477218"/>
      <w:bookmarkStart w:id="7" w:name="_Toc371949654"/>
      <w:bookmarkStart w:id="8" w:name="_Toc382225505"/>
      <w:bookmarkStart w:id="9" w:name="_Toc382475487"/>
      <w:bookmarkStart w:id="10" w:name="_Toc382554874"/>
      <w:bookmarkStart w:id="11" w:name="_Toc382574728"/>
      <w:r>
        <w:t>Chronic Obstructive Pulmonary Disease (COPD) Description</w:t>
      </w:r>
      <w:bookmarkEnd w:id="5"/>
      <w:bookmarkEnd w:id="6"/>
      <w:bookmarkEnd w:id="7"/>
      <w:bookmarkEnd w:id="8"/>
      <w:bookmarkEnd w:id="9"/>
      <w:bookmarkEnd w:id="10"/>
      <w:bookmarkEnd w:id="11"/>
    </w:p>
    <w:p w:rsidR="00B77198" w:rsidRDefault="00B77198" w:rsidP="00C54A8A">
      <w:pPr>
        <w:autoSpaceDE w:val="0"/>
        <w:autoSpaceDN w:val="0"/>
        <w:adjustRightInd w:val="0"/>
        <w:spacing w:after="120"/>
        <w:jc w:val="both"/>
        <w:rPr>
          <w:rFonts w:cs="Arial"/>
          <w:color w:val="292526"/>
        </w:rPr>
      </w:pPr>
      <w:r w:rsidRPr="000B2A53">
        <w:rPr>
          <w:rFonts w:cs="Arial"/>
          <w:color w:val="292526"/>
        </w:rPr>
        <w:t>COPD is a chronic</w:t>
      </w:r>
      <w:r w:rsidR="0059413C">
        <w:rPr>
          <w:rFonts w:cs="Arial"/>
          <w:color w:val="292526"/>
        </w:rPr>
        <w:t xml:space="preserve"> disease characterised by airflow</w:t>
      </w:r>
      <w:r w:rsidRPr="000B2A53">
        <w:rPr>
          <w:rFonts w:cs="Arial"/>
          <w:color w:val="292526"/>
        </w:rPr>
        <w:t xml:space="preserve"> obstruction that is not fully reversible.  The airflow limitation is usually progressive and associated with an abnormal inflammatory response of the lung to noxious particles or gases</w:t>
      </w:r>
      <w:r w:rsidRPr="000B2A53">
        <w:rPr>
          <w:rFonts w:cs="Arial"/>
          <w:color w:val="292526"/>
        </w:rPr>
        <w:fldChar w:fldCharType="begin"/>
      </w:r>
      <w:r w:rsidR="00CA3202">
        <w:rPr>
          <w:rFonts w:cs="Arial"/>
          <w:color w:val="292526"/>
        </w:rPr>
        <w:instrText xml:space="preserve"> ADDIN EN.CITE &lt;EndNote&gt;&lt;Cite&gt;&lt;Author&gt;Pauwels&lt;/Author&gt;&lt;Year&gt;2001&lt;/Year&gt;&lt;RecNum&gt;698&lt;/RecNum&gt;&lt;DisplayText&gt;&lt;style face="superscript"&gt;(1)&lt;/style&gt;&lt;/DisplayText&gt;&lt;record&gt;&lt;rec-number&gt;698&lt;/rec-number&gt;&lt;foreign-keys&gt;&lt;key app="EN" db-id="paxef0v91tx5e7eaev8xxf2xd92zvrfrv592"&gt;698&lt;/key&gt;&lt;/foreign-keys&gt;&lt;ref-type name="Journal Article"&gt;17&lt;/ref-type&gt;&lt;contributors&gt;&lt;authors&gt;&lt;author&gt;Pauwels, Romain A&lt;/author&gt;&lt;author&gt;Buist, A Sonia&lt;/author&gt;&lt;author&gt;Calverley, Peter MA&lt;/author&gt;&lt;author&gt;Jenkins, Christine R&lt;/author&gt;&lt;author&gt;Hurd, Suzanne S&lt;/author&gt;&lt;/authors&gt;&lt;/contributors&gt;&lt;titles&gt;&lt;title&gt;Global strategy for the diagnosis, management, and prevention of chronic obstructive pulmonary disease NHLBI/WHO Global Initiative for Chronic Obstructive Lung Disease (GOLD) workshop summary&lt;/title&gt;&lt;secondary-title&gt;American journal of respiratory and critical care medicine&lt;/secondary-title&gt;&lt;/titles&gt;&lt;periodical&gt;&lt;full-title&gt;American Journal of Respiratory and Critical Care Medicine&lt;/full-title&gt;&lt;/periodical&gt;&lt;pages&gt;1256-1276&lt;/pages&gt;&lt;volume&gt;163&lt;/volume&gt;&lt;number&gt;5&lt;/number&gt;&lt;dates&gt;&lt;year&gt;2001&lt;/year&gt;&lt;/dates&gt;&lt;isbn&gt;1073-449X&lt;/isbn&gt;&lt;urls&gt;&lt;/urls&gt;&lt;/record&gt;&lt;/Cite&gt;&lt;/EndNote&gt;</w:instrText>
      </w:r>
      <w:r w:rsidRPr="000B2A53">
        <w:rPr>
          <w:rFonts w:cs="Arial"/>
          <w:color w:val="292526"/>
        </w:rPr>
        <w:fldChar w:fldCharType="separate"/>
      </w:r>
      <w:r w:rsidR="00551E6B" w:rsidRPr="00551E6B">
        <w:rPr>
          <w:rFonts w:cs="Arial"/>
          <w:noProof/>
          <w:color w:val="292526"/>
          <w:vertAlign w:val="superscript"/>
        </w:rPr>
        <w:t>(</w:t>
      </w:r>
      <w:hyperlink w:anchor="_ENREF_1" w:tooltip="Pauwels, 2001 #698" w:history="1">
        <w:r w:rsidR="0029347A" w:rsidRPr="00551E6B">
          <w:rPr>
            <w:rFonts w:cs="Arial"/>
            <w:noProof/>
            <w:color w:val="292526"/>
            <w:vertAlign w:val="superscript"/>
          </w:rPr>
          <w:t>1</w:t>
        </w:r>
      </w:hyperlink>
      <w:r w:rsidR="00551E6B" w:rsidRPr="00551E6B">
        <w:rPr>
          <w:rFonts w:cs="Arial"/>
          <w:noProof/>
          <w:color w:val="292526"/>
          <w:vertAlign w:val="superscript"/>
        </w:rPr>
        <w:t>)</w:t>
      </w:r>
      <w:r w:rsidRPr="000B2A53">
        <w:rPr>
          <w:rFonts w:cs="Arial"/>
          <w:color w:val="292526"/>
        </w:rPr>
        <w:fldChar w:fldCharType="end"/>
      </w:r>
      <w:r w:rsidRPr="000B2A53">
        <w:rPr>
          <w:rFonts w:cs="Arial"/>
          <w:color w:val="292526"/>
        </w:rPr>
        <w:t>.  Small-airway narrowing (with or without chronic bronchi</w:t>
      </w:r>
      <w:r w:rsidRPr="000B2A53">
        <w:rPr>
          <w:rFonts w:cs="Arial"/>
          <w:color w:val="292526"/>
        </w:rPr>
        <w:softHyphen/>
        <w:t>tis) and emphysema caused by smoking are the most common</w:t>
      </w:r>
      <w:r>
        <w:rPr>
          <w:rFonts w:cs="Arial"/>
          <w:color w:val="292526"/>
        </w:rPr>
        <w:t xml:space="preserve"> conditions resulting in COPD (</w:t>
      </w:r>
      <w:r>
        <w:rPr>
          <w:rFonts w:cs="Arial"/>
          <w:color w:val="292526"/>
        </w:rPr>
        <w:fldChar w:fldCharType="begin"/>
      </w:r>
      <w:r>
        <w:rPr>
          <w:rFonts w:cs="Arial"/>
          <w:color w:val="292526"/>
        </w:rPr>
        <w:instrText xml:space="preserve"> REF _Ref366819486 \h </w:instrText>
      </w:r>
      <w:r w:rsidR="00C54A8A">
        <w:rPr>
          <w:rFonts w:cs="Arial"/>
          <w:color w:val="292526"/>
        </w:rPr>
        <w:instrText xml:space="preserve"> \* MERGEFORMAT </w:instrText>
      </w:r>
      <w:r>
        <w:rPr>
          <w:rFonts w:cs="Arial"/>
          <w:color w:val="292526"/>
        </w:rPr>
      </w:r>
      <w:r>
        <w:rPr>
          <w:rFonts w:cs="Arial"/>
          <w:color w:val="292526"/>
        </w:rPr>
        <w:fldChar w:fldCharType="separate"/>
      </w:r>
      <w:r w:rsidR="000B70CE">
        <w:t xml:space="preserve">Figure </w:t>
      </w:r>
      <w:r w:rsidR="000B70CE">
        <w:rPr>
          <w:noProof/>
        </w:rPr>
        <w:t>1</w:t>
      </w:r>
      <w:r>
        <w:rPr>
          <w:rFonts w:cs="Arial"/>
          <w:color w:val="292526"/>
        </w:rPr>
        <w:fldChar w:fldCharType="end"/>
      </w:r>
      <w:r>
        <w:rPr>
          <w:rFonts w:cs="Arial"/>
          <w:color w:val="292526"/>
        </w:rPr>
        <w:t>).</w:t>
      </w:r>
    </w:p>
    <w:p w:rsidR="00B77198" w:rsidRDefault="00B77198" w:rsidP="00C54A8A">
      <w:pPr>
        <w:pStyle w:val="Caption"/>
        <w:keepNext/>
        <w:jc w:val="both"/>
      </w:pPr>
      <w:bookmarkStart w:id="12" w:name="_Ref366819486"/>
      <w:r>
        <w:t xml:space="preserve">Figure </w:t>
      </w:r>
      <w:r>
        <w:fldChar w:fldCharType="begin"/>
      </w:r>
      <w:r>
        <w:instrText xml:space="preserve"> SEQ Figure \* ARABIC </w:instrText>
      </w:r>
      <w:r>
        <w:fldChar w:fldCharType="separate"/>
      </w:r>
      <w:r w:rsidR="000B70CE">
        <w:rPr>
          <w:noProof/>
        </w:rPr>
        <w:t>1</w:t>
      </w:r>
      <w:r>
        <w:rPr>
          <w:noProof/>
        </w:rPr>
        <w:fldChar w:fldCharType="end"/>
      </w:r>
      <w:bookmarkEnd w:id="12"/>
      <w:r>
        <w:t>: Effects of COPD</w:t>
      </w:r>
    </w:p>
    <w:p w:rsidR="00B77198" w:rsidRDefault="00B77198" w:rsidP="00457A81">
      <w:pPr>
        <w:autoSpaceDE w:val="0"/>
        <w:autoSpaceDN w:val="0"/>
        <w:adjustRightInd w:val="0"/>
        <w:spacing w:after="120"/>
        <w:jc w:val="center"/>
        <w:rPr>
          <w:noProof/>
          <w:lang w:eastAsia="en-NZ"/>
        </w:rPr>
      </w:pPr>
      <w:r>
        <w:rPr>
          <w:noProof/>
          <w:lang w:eastAsia="en-NZ"/>
        </w:rPr>
        <w:drawing>
          <wp:inline distT="0" distB="0" distL="0" distR="0" wp14:anchorId="7663CCF3" wp14:editId="6DBA7A7D">
            <wp:extent cx="2273935" cy="1280160"/>
            <wp:effectExtent l="0" t="0" r="0" b="0"/>
            <wp:docPr id="26" name="Picture 26" descr="http://www.drugs.com/health-guide/images/205041.jp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26" name="Picture 26" descr="http://www.drugs.com/health-guide/images/205041.jpg">
                      <a:hlinkClick r:id="rId9"/>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3935" cy="1280160"/>
                    </a:xfrm>
                    <a:prstGeom prst="rect">
                      <a:avLst/>
                    </a:prstGeom>
                    <a:noFill/>
                    <a:ln>
                      <a:noFill/>
                    </a:ln>
                  </pic:spPr>
                </pic:pic>
              </a:graphicData>
            </a:graphic>
          </wp:inline>
        </w:drawing>
      </w:r>
      <w:r>
        <w:rPr>
          <w:noProof/>
          <w:lang w:eastAsia="en-NZ"/>
        </w:rPr>
        <w:drawing>
          <wp:inline distT="0" distB="0" distL="0" distR="0" wp14:anchorId="25FA0320" wp14:editId="0356A3E4">
            <wp:extent cx="2177415" cy="1280160"/>
            <wp:effectExtent l="0" t="0" r="0" b="0"/>
            <wp:docPr id="27" name="Picture 27" descr="http://lungcancer.ucla.edu/images/adam_bronchitis.jp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7" name="Picture 27" descr="http://lungcancer.ucla.edu/images/adam_bronchitis.jpg">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7415" cy="1280160"/>
                    </a:xfrm>
                    <a:prstGeom prst="rect">
                      <a:avLst/>
                    </a:prstGeom>
                    <a:noFill/>
                    <a:ln>
                      <a:noFill/>
                    </a:ln>
                  </pic:spPr>
                </pic:pic>
              </a:graphicData>
            </a:graphic>
          </wp:inline>
        </w:drawing>
      </w:r>
    </w:p>
    <w:p w:rsidR="00B77198" w:rsidRPr="000B2A53" w:rsidRDefault="00B77198" w:rsidP="00C54A8A">
      <w:pPr>
        <w:pStyle w:val="SourceCaption"/>
        <w:jc w:val="both"/>
      </w:pPr>
      <w:r>
        <w:t>The picture on the left shows the effects of emphysema (alveoli destruction) and the picture on the right shows obstruction from inflammation</w:t>
      </w:r>
    </w:p>
    <w:p w:rsidR="00B77198" w:rsidRPr="000B2A53" w:rsidRDefault="00B77198" w:rsidP="00C54A8A">
      <w:pPr>
        <w:autoSpaceDE w:val="0"/>
        <w:autoSpaceDN w:val="0"/>
        <w:adjustRightInd w:val="0"/>
        <w:spacing w:after="120"/>
        <w:jc w:val="both"/>
        <w:rPr>
          <w:rFonts w:cs="Arial"/>
          <w:color w:val="292526"/>
        </w:rPr>
      </w:pPr>
      <w:r w:rsidRPr="000B2A53">
        <w:rPr>
          <w:rFonts w:cs="Arial"/>
          <w:color w:val="292526"/>
        </w:rPr>
        <w:t>COPD is characterised by the gradual development of symptoms (over many years), and an estimated 70</w:t>
      </w:r>
      <w:r>
        <w:rPr>
          <w:rFonts w:cs="Arial"/>
          <w:color w:val="292526"/>
        </w:rPr>
        <w:t>–</w:t>
      </w:r>
      <w:r w:rsidRPr="000B2A53">
        <w:rPr>
          <w:rFonts w:cs="Arial"/>
          <w:color w:val="292526"/>
        </w:rPr>
        <w:t>80% of cases are caused by tobacco smoke</w:t>
      </w:r>
      <w:r w:rsidRPr="000B2A53">
        <w:rPr>
          <w:rFonts w:cs="Arial"/>
          <w:color w:val="292526"/>
        </w:rPr>
        <w:fldChar w:fldCharType="begin"/>
      </w:r>
      <w:r w:rsidR="00CA3202">
        <w:rPr>
          <w:rFonts w:cs="Arial"/>
          <w:color w:val="292526"/>
        </w:rPr>
        <w:instrText xml:space="preserve"> ADDIN EN.CITE &lt;EndNote&gt;&lt;Cite&gt;&lt;Author&gt;Barnes&lt;/Author&gt;&lt;Year&gt;2009&lt;/Year&gt;&lt;RecNum&gt;695&lt;/RecNum&gt;&lt;DisplayText&gt;&lt;style face="superscript"&gt;(2)&lt;/style&gt;&lt;/DisplayText&gt;&lt;record&gt;&lt;rec-number&gt;695&lt;/rec-number&gt;&lt;foreign-keys&gt;&lt;key app="EN" db-id="paxef0v91tx5e7eaev8xxf2xd92zvrfrv592"&gt;695&lt;/key&gt;&lt;/foreign-keys&gt;&lt;ref-type name="Book"&gt;6&lt;/ref-type&gt;&lt;contributors&gt;&lt;authors&gt;&lt;author&gt;Barnes, Peter John&lt;/author&gt;&lt;author&gt;Drazen, Jeffrey M&lt;/author&gt;&lt;author&gt;Rennard, Stephen I&lt;/author&gt;&lt;author&gt;Thomson, Neil C&lt;/author&gt;&lt;/authors&gt;&lt;/contributors&gt;&lt;titles&gt;&lt;title&gt;Asthma and COPD: basic mechanisms and clinical management&lt;/title&gt;&lt;/titles&gt;&lt;dates&gt;&lt;year&gt;2009&lt;/year&gt;&lt;/dates&gt;&lt;publisher&gt;Academic Press&lt;/publisher&gt;&lt;isbn&gt;0123740010&lt;/isbn&gt;&lt;urls&gt;&lt;/urls&gt;&lt;/record&gt;&lt;/Cite&gt;&lt;/EndNote&gt;</w:instrText>
      </w:r>
      <w:r w:rsidRPr="000B2A53">
        <w:rPr>
          <w:rFonts w:cs="Arial"/>
          <w:color w:val="292526"/>
        </w:rPr>
        <w:fldChar w:fldCharType="separate"/>
      </w:r>
      <w:r w:rsidR="00551E6B" w:rsidRPr="00551E6B">
        <w:rPr>
          <w:rFonts w:cs="Arial"/>
          <w:noProof/>
          <w:color w:val="292526"/>
          <w:vertAlign w:val="superscript"/>
        </w:rPr>
        <w:t>(</w:t>
      </w:r>
      <w:hyperlink w:anchor="_ENREF_2" w:tooltip="Barnes, 2009 #695" w:history="1">
        <w:r w:rsidR="0029347A" w:rsidRPr="00551E6B">
          <w:rPr>
            <w:rFonts w:cs="Arial"/>
            <w:noProof/>
            <w:color w:val="292526"/>
            <w:vertAlign w:val="superscript"/>
          </w:rPr>
          <w:t>2</w:t>
        </w:r>
      </w:hyperlink>
      <w:r w:rsidR="00551E6B" w:rsidRPr="00551E6B">
        <w:rPr>
          <w:rFonts w:cs="Arial"/>
          <w:noProof/>
          <w:color w:val="292526"/>
          <w:vertAlign w:val="superscript"/>
        </w:rPr>
        <w:t>)</w:t>
      </w:r>
      <w:r w:rsidRPr="000B2A53">
        <w:rPr>
          <w:rFonts w:cs="Arial"/>
          <w:color w:val="292526"/>
        </w:rPr>
        <w:fldChar w:fldCharType="end"/>
      </w:r>
      <w:r w:rsidRPr="000B2A53">
        <w:rPr>
          <w:rFonts w:cs="Arial"/>
          <w:color w:val="292526"/>
        </w:rPr>
        <w:t>. Environmental smoke inhalation and genetic abnormalities are rarer causes. Patients with COPD typically present with shortness of breath, but symptoms are less easily controlled in contrast to asthma and patients often recover more slowly due to poor underlying lung function.  Increasing disease severity leads to multi-organ com</w:t>
      </w:r>
      <w:r w:rsidR="00B823EF">
        <w:rPr>
          <w:rFonts w:cs="Arial"/>
          <w:color w:val="292526"/>
        </w:rPr>
        <w:t>plications and eventually death</w:t>
      </w:r>
      <w:r w:rsidRPr="000B2A53">
        <w:rPr>
          <w:rFonts w:cs="Arial"/>
          <w:color w:val="292526"/>
        </w:rPr>
        <w:fldChar w:fldCharType="begin"/>
      </w:r>
      <w:r w:rsidR="00CA3202">
        <w:rPr>
          <w:rFonts w:cs="Arial"/>
          <w:color w:val="292526"/>
        </w:rPr>
        <w:instrText xml:space="preserve"> ADDIN EN.CITE &lt;EndNote&gt;&lt;Cite&gt;&lt;Author&gt;Fauci&lt;/Author&gt;&lt;Year&gt;2008&lt;/Year&gt;&lt;RecNum&gt;678&lt;/RecNum&gt;&lt;DisplayText&gt;&lt;style face="superscript"&gt;(3)&lt;/style&gt;&lt;/DisplayText&gt;&lt;record&gt;&lt;rec-number&gt;678&lt;/rec-number&gt;&lt;foreign-keys&gt;&lt;key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Pr="000B2A53">
        <w:rPr>
          <w:rFonts w:cs="Arial"/>
          <w:color w:val="292526"/>
        </w:rPr>
        <w:fldChar w:fldCharType="separate"/>
      </w:r>
      <w:r w:rsidR="00551E6B" w:rsidRPr="00551E6B">
        <w:rPr>
          <w:rFonts w:cs="Arial"/>
          <w:noProof/>
          <w:color w:val="292526"/>
          <w:vertAlign w:val="superscript"/>
        </w:rPr>
        <w:t>(</w:t>
      </w:r>
      <w:hyperlink w:anchor="_ENREF_3" w:tooltip="Fauci, 2008 #678" w:history="1">
        <w:r w:rsidR="0029347A" w:rsidRPr="00551E6B">
          <w:rPr>
            <w:rFonts w:cs="Arial"/>
            <w:noProof/>
            <w:color w:val="292526"/>
            <w:vertAlign w:val="superscript"/>
          </w:rPr>
          <w:t>3</w:t>
        </w:r>
      </w:hyperlink>
      <w:r w:rsidR="00551E6B" w:rsidRPr="00551E6B">
        <w:rPr>
          <w:rFonts w:cs="Arial"/>
          <w:noProof/>
          <w:color w:val="292526"/>
          <w:vertAlign w:val="superscript"/>
        </w:rPr>
        <w:t>)</w:t>
      </w:r>
      <w:r w:rsidRPr="000B2A53">
        <w:rPr>
          <w:rFonts w:cs="Arial"/>
          <w:color w:val="292526"/>
        </w:rPr>
        <w:fldChar w:fldCharType="end"/>
      </w:r>
      <w:r w:rsidRPr="000B2A53">
        <w:rPr>
          <w:rFonts w:cs="Arial"/>
          <w:color w:val="292526"/>
        </w:rPr>
        <w:t xml:space="preserve">.  </w:t>
      </w:r>
    </w:p>
    <w:p w:rsidR="00B77198" w:rsidRPr="000B2A53" w:rsidRDefault="0059413C" w:rsidP="00C54A8A">
      <w:pPr>
        <w:autoSpaceDE w:val="0"/>
        <w:autoSpaceDN w:val="0"/>
        <w:adjustRightInd w:val="0"/>
        <w:spacing w:after="120"/>
        <w:jc w:val="both"/>
        <w:rPr>
          <w:rFonts w:cs="Arial"/>
          <w:color w:val="292526"/>
        </w:rPr>
      </w:pPr>
      <w:r>
        <w:rPr>
          <w:rFonts w:cs="Arial"/>
          <w:color w:val="292526"/>
        </w:rPr>
        <w:t>Smoking cessation is the most effective method of preventing COPD</w:t>
      </w:r>
      <w:r>
        <w:rPr>
          <w:rFonts w:cs="Arial"/>
          <w:color w:val="292526"/>
        </w:rPr>
        <w:fldChar w:fldCharType="begin"/>
      </w:r>
      <w:r w:rsidR="00551E6B">
        <w:rPr>
          <w:rFonts w:cs="Arial"/>
          <w:color w:val="292526"/>
        </w:rPr>
        <w:instrText xml:space="preserve"> ADDIN EN.CITE &lt;EndNote&gt;&lt;Cite&gt;&lt;Author&gt;Tashkin&lt;/Author&gt;&lt;Year&gt;2009&lt;/Year&gt;&lt;RecNum&gt;818&lt;/RecNum&gt;&lt;DisplayText&gt;&lt;style face="superscript"&gt;(4)&lt;/style&gt;&lt;/DisplayText&gt;&lt;record&gt;&lt;rec-number&gt;818&lt;/rec-number&gt;&lt;foreign-keys&gt;&lt;key app="EN" db-id="paxef0v91tx5e7eaev8xxf2xd92zvrfrv592"&gt;818&lt;/key&gt;&lt;/foreign-keys&gt;&lt;ref-type name="Journal Article"&gt;17&lt;/ref-type&gt;&lt;contributors&gt;&lt;authors&gt;&lt;author&gt;Tashkin, Donald P&lt;/author&gt;&lt;author&gt;Murray, Robert P&lt;/author&gt;&lt;/authors&gt;&lt;/contributors&gt;&lt;titles&gt;&lt;title&gt;Smoking cessation in chronic obstructive pulmonary disease&lt;/title&gt;&lt;secondary-title&gt;Respiratory medicine&lt;/secondary-title&gt;&lt;/titles&gt;&lt;periodical&gt;&lt;full-title&gt;Respiratory Medicine&lt;/full-title&gt;&lt;/periodical&gt;&lt;pages&gt;963-974&lt;/pages&gt;&lt;volume&gt;103&lt;/volume&gt;&lt;number&gt;7&lt;/number&gt;&lt;dates&gt;&lt;year&gt;2009&lt;/year&gt;&lt;/dates&gt;&lt;isbn&gt;0954-6111&lt;/isbn&gt;&lt;urls&gt;&lt;/urls&gt;&lt;/record&gt;&lt;/Cite&gt;&lt;/EndNote&gt;</w:instrText>
      </w:r>
      <w:r>
        <w:rPr>
          <w:rFonts w:cs="Arial"/>
          <w:color w:val="292526"/>
        </w:rPr>
        <w:fldChar w:fldCharType="separate"/>
      </w:r>
      <w:r w:rsidR="00551E6B" w:rsidRPr="00551E6B">
        <w:rPr>
          <w:rFonts w:cs="Arial"/>
          <w:noProof/>
          <w:color w:val="292526"/>
          <w:vertAlign w:val="superscript"/>
        </w:rPr>
        <w:t>(</w:t>
      </w:r>
      <w:hyperlink w:anchor="_ENREF_4" w:tooltip="Tashkin, 2009 #818" w:history="1">
        <w:r w:rsidR="0029347A" w:rsidRPr="00551E6B">
          <w:rPr>
            <w:rFonts w:cs="Arial"/>
            <w:noProof/>
            <w:color w:val="292526"/>
            <w:vertAlign w:val="superscript"/>
          </w:rPr>
          <w:t>4</w:t>
        </w:r>
      </w:hyperlink>
      <w:r w:rsidR="00551E6B" w:rsidRPr="00551E6B">
        <w:rPr>
          <w:rFonts w:cs="Arial"/>
          <w:noProof/>
          <w:color w:val="292526"/>
          <w:vertAlign w:val="superscript"/>
        </w:rPr>
        <w:t>)</w:t>
      </w:r>
      <w:r>
        <w:rPr>
          <w:rFonts w:cs="Arial"/>
          <w:color w:val="292526"/>
        </w:rPr>
        <w:fldChar w:fldCharType="end"/>
      </w:r>
      <w:r>
        <w:rPr>
          <w:rFonts w:cs="Arial"/>
          <w:color w:val="292526"/>
        </w:rPr>
        <w:t>.  For patients with COPD, t</w:t>
      </w:r>
      <w:r w:rsidR="00B77198" w:rsidRPr="000B2A53">
        <w:rPr>
          <w:rFonts w:cs="Arial"/>
          <w:color w:val="292526"/>
        </w:rPr>
        <w:t>reatment is multi-disciplinary with a variety of interventions that may include pulmonary rehabilitation, long-term oxygen therapy and medications.  Exacerbations are typically managed in the primary care setting using medical management, but hospitalisations also occur.  There is a limit</w:t>
      </w:r>
      <w:r w:rsidR="00B823EF">
        <w:rPr>
          <w:rFonts w:cs="Arial"/>
          <w:color w:val="292526"/>
        </w:rPr>
        <w:t>ed role for surgical management</w:t>
      </w:r>
      <w:r w:rsidR="00B77198" w:rsidRPr="000B2A53">
        <w:rPr>
          <w:rFonts w:cs="Arial"/>
          <w:color w:val="292526"/>
        </w:rPr>
        <w:fldChar w:fldCharType="begin"/>
      </w:r>
      <w:r w:rsidR="00CA3202">
        <w:rPr>
          <w:rFonts w:cs="Arial"/>
          <w:color w:val="292526"/>
        </w:rPr>
        <w:instrText xml:space="preserve"> ADDIN EN.CITE &lt;EndNote&gt;&lt;Cite&gt;&lt;Author&gt;Fauci&lt;/Author&gt;&lt;Year&gt;2008&lt;/Year&gt;&lt;RecNum&gt;678&lt;/RecNum&gt;&lt;DisplayText&gt;&lt;style face="superscript"&gt;(3)&lt;/style&gt;&lt;/DisplayText&gt;&lt;record&gt;&lt;rec-number&gt;678&lt;/rec-number&gt;&lt;foreign-keys&gt;&lt;key app="EN" db-id="paxef0v91tx5e7eaev8xxf2xd92zvrfrv592"&gt;678&lt;/key&gt;&lt;/foreign-keys&gt;&lt;ref-type name="Book"&gt;6&lt;/ref-type&gt;&lt;contributors&gt;&lt;authors&gt;&lt;author&gt;Fauci, Anthony S&lt;/author&gt;&lt;author&gt;Longo, Dan L&lt;/author&gt;&lt;author&gt;Kasper, Dennis L&lt;/author&gt;&lt;author&gt;Hauser, Stephen L&lt;/author&gt;&lt;author&gt;Jameson, J. Larry&lt;/author&gt;&lt;author&gt;Loscalzo, Jospeph&lt;/author&gt;&lt;author&gt;Eds.&lt;/author&gt;&lt;/authors&gt;&lt;/contributors&gt;&lt;titles&gt;&lt;title&gt;Harrison&amp;apos;s principles of internal medicine&lt;/title&gt;&lt;/titles&gt;&lt;volume&gt;2&lt;/volume&gt;&lt;dates&gt;&lt;year&gt;2008&lt;/year&gt;&lt;/dates&gt;&lt;publisher&gt;McGraw-Hill Medical New York&lt;/publisher&gt;&lt;urls&gt;&lt;/urls&gt;&lt;/record&gt;&lt;/Cite&gt;&lt;/EndNote&gt;</w:instrText>
      </w:r>
      <w:r w:rsidR="00B77198" w:rsidRPr="000B2A53">
        <w:rPr>
          <w:rFonts w:cs="Arial"/>
          <w:color w:val="292526"/>
        </w:rPr>
        <w:fldChar w:fldCharType="separate"/>
      </w:r>
      <w:r w:rsidR="00551E6B" w:rsidRPr="00551E6B">
        <w:rPr>
          <w:rFonts w:cs="Arial"/>
          <w:noProof/>
          <w:color w:val="292526"/>
          <w:vertAlign w:val="superscript"/>
        </w:rPr>
        <w:t>(</w:t>
      </w:r>
      <w:hyperlink w:anchor="_ENREF_3" w:tooltip="Fauci, 2008 #678" w:history="1">
        <w:r w:rsidR="0029347A" w:rsidRPr="00551E6B">
          <w:rPr>
            <w:rFonts w:cs="Arial"/>
            <w:noProof/>
            <w:color w:val="292526"/>
            <w:vertAlign w:val="superscript"/>
          </w:rPr>
          <w:t>3</w:t>
        </w:r>
      </w:hyperlink>
      <w:r w:rsidR="00551E6B" w:rsidRPr="00551E6B">
        <w:rPr>
          <w:rFonts w:cs="Arial"/>
          <w:noProof/>
          <w:color w:val="292526"/>
          <w:vertAlign w:val="superscript"/>
        </w:rPr>
        <w:t>)</w:t>
      </w:r>
      <w:r w:rsidR="00B77198" w:rsidRPr="000B2A53">
        <w:rPr>
          <w:rFonts w:cs="Arial"/>
          <w:color w:val="292526"/>
        </w:rPr>
        <w:fldChar w:fldCharType="end"/>
      </w:r>
      <w:r w:rsidR="00B77198" w:rsidRPr="000B2A53">
        <w:rPr>
          <w:rFonts w:cs="Arial"/>
          <w:color w:val="292526"/>
        </w:rPr>
        <w:t>.</w:t>
      </w:r>
    </w:p>
    <w:p w:rsidR="00B77198" w:rsidRDefault="00B77198" w:rsidP="00C54A8A">
      <w:pPr>
        <w:pStyle w:val="Heading2"/>
        <w:jc w:val="both"/>
      </w:pPr>
      <w:bookmarkStart w:id="13" w:name="_Toc370401375"/>
      <w:bookmarkStart w:id="14" w:name="_Toc370477219"/>
      <w:bookmarkStart w:id="15" w:name="_Toc371949655"/>
      <w:bookmarkStart w:id="16" w:name="_Toc382225506"/>
      <w:bookmarkStart w:id="17" w:name="_Toc382475488"/>
      <w:bookmarkStart w:id="18" w:name="_Toc382554875"/>
      <w:bookmarkStart w:id="19" w:name="_Toc382574729"/>
      <w:r>
        <w:t>Prevalence and Incidence</w:t>
      </w:r>
      <w:bookmarkEnd w:id="13"/>
      <w:bookmarkEnd w:id="14"/>
      <w:bookmarkEnd w:id="15"/>
      <w:bookmarkEnd w:id="16"/>
      <w:bookmarkEnd w:id="17"/>
      <w:bookmarkEnd w:id="18"/>
      <w:bookmarkEnd w:id="19"/>
    </w:p>
    <w:p w:rsidR="00B77198" w:rsidRPr="000B2A53" w:rsidRDefault="00B77198" w:rsidP="00C54A8A">
      <w:pPr>
        <w:autoSpaceDE w:val="0"/>
        <w:autoSpaceDN w:val="0"/>
        <w:adjustRightInd w:val="0"/>
        <w:spacing w:after="120"/>
        <w:jc w:val="both"/>
        <w:rPr>
          <w:rFonts w:cs="Arial"/>
          <w:color w:val="292526"/>
        </w:rPr>
      </w:pPr>
      <w:bookmarkStart w:id="20" w:name="_Toc358819668"/>
      <w:r w:rsidRPr="000B2A53">
        <w:rPr>
          <w:rFonts w:cs="Arial"/>
          <w:color w:val="292526"/>
        </w:rPr>
        <w:t>COPD is a major respiratory disease in New Zealand in terms of prevalence.  In the 2006/07 New Zealand Health Survey, the prevalence rate of 6.6% of adults equated to 96,100 adults or 1 in every 15 individuals over 45 years</w:t>
      </w:r>
      <w:r>
        <w:rPr>
          <w:rFonts w:cs="Arial"/>
          <w:color w:val="292526"/>
        </w:rPr>
        <w:fldChar w:fldCharType="begin"/>
      </w:r>
      <w:r w:rsidR="00551E6B">
        <w:rPr>
          <w:rFonts w:cs="Arial"/>
          <w:color w:val="292526"/>
        </w:rPr>
        <w:instrText xml:space="preserve"> ADDIN EN.CITE &lt;EndNote&gt;&lt;Cite&gt;&lt;Author&gt;Ministry of Health&lt;/Author&gt;&lt;Year&gt;2008&lt;/Year&gt;&lt;RecNum&gt;744&lt;/RecNum&gt;&lt;DisplayText&gt;&lt;style face="superscript"&gt;(5)&lt;/style&gt;&lt;/DisplayText&gt;&lt;record&gt;&lt;rec-number&gt;744&lt;/rec-number&gt;&lt;foreign-keys&gt;&lt;key app="EN" db-id="22d09ravozpff5ea9zs509ewttsdavsvwr25"&gt;744&lt;/key&gt;&lt;/foreign-keys&gt;&lt;ref-type name="Book"&gt;6&lt;/ref-type&gt;&lt;contributors&gt;&lt;authors&gt;&lt;author&gt;Ministry of Health,&lt;/author&gt;&lt;/authors&gt;&lt;/contributors&gt;&lt;titles&gt;&lt;title&gt;A Portrait of Health: Key Results of the 2006/07 New Zealand Health Survey&lt;/title&gt;&lt;/titles&gt;&lt;dates&gt;&lt;year&gt;2008&lt;/year&gt;&lt;/dates&gt;&lt;pub-location&gt;Wellington&lt;/pub-location&gt;&lt;publisher&gt;Ministry of Health&lt;/publisher&gt;&lt;urls&gt;&lt;related-urls&gt;&lt;url&gt;http://www.health.govt.nz/publication/portrait-health-key-results-2006-07-new-zealand-health-survey&lt;/url&gt;&lt;/related-urls&gt;&lt;/urls&gt;&lt;/record&gt;&lt;/Cite&gt;&lt;/EndNote&gt;</w:instrText>
      </w:r>
      <w:r>
        <w:rPr>
          <w:rFonts w:cs="Arial"/>
          <w:color w:val="292526"/>
        </w:rPr>
        <w:fldChar w:fldCharType="separate"/>
      </w:r>
      <w:r w:rsidR="00551E6B" w:rsidRPr="00551E6B">
        <w:rPr>
          <w:rFonts w:cs="Arial"/>
          <w:noProof/>
          <w:color w:val="292526"/>
          <w:vertAlign w:val="superscript"/>
        </w:rPr>
        <w:t>(</w:t>
      </w:r>
      <w:hyperlink w:anchor="_ENREF_5" w:tooltip="Ministry of Health, 2008 #744" w:history="1">
        <w:r w:rsidR="0029347A" w:rsidRPr="00551E6B">
          <w:rPr>
            <w:rFonts w:cs="Arial"/>
            <w:noProof/>
            <w:color w:val="292526"/>
            <w:vertAlign w:val="superscript"/>
          </w:rPr>
          <w:t>5</w:t>
        </w:r>
      </w:hyperlink>
      <w:r w:rsidR="00551E6B" w:rsidRPr="00551E6B">
        <w:rPr>
          <w:rFonts w:cs="Arial"/>
          <w:noProof/>
          <w:color w:val="292526"/>
          <w:vertAlign w:val="superscript"/>
        </w:rPr>
        <w:t>)</w:t>
      </w:r>
      <w:r>
        <w:rPr>
          <w:rFonts w:cs="Arial"/>
          <w:color w:val="292526"/>
        </w:rPr>
        <w:fldChar w:fldCharType="end"/>
      </w:r>
      <w:r w:rsidRPr="000B2A53">
        <w:rPr>
          <w:rFonts w:cs="Arial"/>
          <w:color w:val="292526"/>
        </w:rPr>
        <w:t>.   These prevalence figures are likely to underestimate the true rate of disease since many COPD patients are undiagnosed</w:t>
      </w:r>
      <w:r w:rsidR="00D44DDA">
        <w:rPr>
          <w:rFonts w:cs="Arial"/>
          <w:color w:val="292526"/>
        </w:rPr>
        <w:t>. This is likely due to</w:t>
      </w:r>
      <w:r w:rsidRPr="000B2A53">
        <w:rPr>
          <w:rFonts w:cs="Arial"/>
          <w:color w:val="292526"/>
        </w:rPr>
        <w:t xml:space="preserve"> signs and symptoms of the disease only appear</w:t>
      </w:r>
      <w:r w:rsidR="00D44DDA">
        <w:rPr>
          <w:rFonts w:cs="Arial"/>
          <w:color w:val="292526"/>
        </w:rPr>
        <w:t>ing</w:t>
      </w:r>
      <w:r w:rsidRPr="000B2A53">
        <w:rPr>
          <w:rFonts w:cs="Arial"/>
          <w:color w:val="292526"/>
        </w:rPr>
        <w:t xml:space="preserve"> later in the disease course and </w:t>
      </w:r>
      <w:r w:rsidR="0059413C">
        <w:rPr>
          <w:rFonts w:cs="Arial"/>
          <w:color w:val="292526"/>
        </w:rPr>
        <w:t>limited access to spirometry in primary care</w:t>
      </w:r>
      <w:r w:rsidR="00B823EF">
        <w:rPr>
          <w:rStyle w:val="FootnoteReference"/>
          <w:rFonts w:cs="Arial"/>
          <w:color w:val="292526"/>
        </w:rPr>
        <w:footnoteReference w:id="2"/>
      </w:r>
      <w:r w:rsidRPr="000B2A53">
        <w:rPr>
          <w:rFonts w:cs="Arial"/>
          <w:color w:val="292526"/>
        </w:rPr>
        <w:t>.</w:t>
      </w:r>
      <w:r>
        <w:rPr>
          <w:rFonts w:cs="Arial"/>
          <w:color w:val="292526"/>
        </w:rPr>
        <w:t xml:space="preserve"> </w:t>
      </w:r>
      <w:r w:rsidR="00D44DDA">
        <w:rPr>
          <w:rFonts w:cs="Arial"/>
          <w:color w:val="292526"/>
        </w:rPr>
        <w:t>We estimate</w:t>
      </w:r>
      <w:r w:rsidR="002D5F70">
        <w:rPr>
          <w:rFonts w:cs="Arial"/>
          <w:color w:val="292526"/>
        </w:rPr>
        <w:t xml:space="preserve"> that over </w:t>
      </w:r>
      <w:r w:rsidR="008C1691">
        <w:rPr>
          <w:rFonts w:cs="Arial"/>
          <w:color w:val="292526"/>
        </w:rPr>
        <w:t>138,000</w:t>
      </w:r>
      <w:r w:rsidR="002D5F70">
        <w:rPr>
          <w:rFonts w:cs="Arial"/>
          <w:color w:val="292526"/>
        </w:rPr>
        <w:t xml:space="preserve"> New Zealanders over the age of 35 had COPD in 2010/11</w:t>
      </w:r>
      <w:r w:rsidR="00F25F63">
        <w:rPr>
          <w:rFonts w:cs="Arial"/>
          <w:color w:val="292526"/>
        </w:rPr>
        <w:t xml:space="preserve"> (see section 5)</w:t>
      </w:r>
      <w:r w:rsidR="002D5F70">
        <w:rPr>
          <w:rFonts w:cs="Arial"/>
          <w:color w:val="292526"/>
        </w:rPr>
        <w:t xml:space="preserve">.  </w:t>
      </w:r>
      <w:r>
        <w:rPr>
          <w:rFonts w:cs="Arial"/>
          <w:color w:val="292526"/>
        </w:rPr>
        <w:t>Even when diagnosed, many patients may not know the official name for the disease they suffer from</w:t>
      </w:r>
      <w:r w:rsidR="00B823EF">
        <w:rPr>
          <w:rFonts w:cs="Arial"/>
          <w:color w:val="292526"/>
        </w:rPr>
        <w:t xml:space="preserve"> and many suffer from other co-morbidities such as </w:t>
      </w:r>
      <w:r w:rsidR="0059413C">
        <w:rPr>
          <w:rFonts w:cs="Arial"/>
          <w:color w:val="292526"/>
        </w:rPr>
        <w:t xml:space="preserve">ischaemic heart disease (IHD) and </w:t>
      </w:r>
      <w:r w:rsidR="00B823EF">
        <w:rPr>
          <w:rFonts w:cs="Arial"/>
          <w:color w:val="292526"/>
        </w:rPr>
        <w:t>lung cancer.</w:t>
      </w:r>
      <w:r w:rsidRPr="000B2A53">
        <w:rPr>
          <w:rFonts w:cs="Arial"/>
          <w:color w:val="292526"/>
        </w:rPr>
        <w:t xml:space="preserve">  </w:t>
      </w:r>
      <w:r w:rsidR="00B823EF">
        <w:rPr>
          <w:rFonts w:cs="Arial"/>
          <w:color w:val="292526"/>
        </w:rPr>
        <w:t xml:space="preserve"> </w:t>
      </w:r>
    </w:p>
    <w:p w:rsidR="00B77198" w:rsidRPr="000B2A53" w:rsidRDefault="00B77198" w:rsidP="00C54A8A">
      <w:pPr>
        <w:autoSpaceDE w:val="0"/>
        <w:autoSpaceDN w:val="0"/>
        <w:adjustRightInd w:val="0"/>
        <w:spacing w:after="120"/>
        <w:jc w:val="both"/>
        <w:rPr>
          <w:rFonts w:cs="Arial"/>
          <w:color w:val="292526"/>
        </w:rPr>
      </w:pPr>
      <w:r w:rsidRPr="000B2A53">
        <w:rPr>
          <w:rFonts w:cs="Arial"/>
          <w:color w:val="292526"/>
        </w:rPr>
        <w:t>COPD is very unco</w:t>
      </w:r>
      <w:r w:rsidR="00DD7A52">
        <w:rPr>
          <w:rFonts w:cs="Arial"/>
          <w:color w:val="292526"/>
        </w:rPr>
        <w:t>mmon in younger individuals; h</w:t>
      </w:r>
      <w:r w:rsidRPr="000B2A53">
        <w:rPr>
          <w:rFonts w:cs="Arial"/>
          <w:color w:val="292526"/>
        </w:rPr>
        <w:t>owever, damage to the small airwa</w:t>
      </w:r>
      <w:r w:rsidR="00000245">
        <w:rPr>
          <w:rFonts w:cs="Arial"/>
          <w:color w:val="292526"/>
        </w:rPr>
        <w:t xml:space="preserve">ys can affect younger patients </w:t>
      </w:r>
      <w:r w:rsidRPr="000B2A53">
        <w:rPr>
          <w:rFonts w:cs="Arial"/>
          <w:color w:val="292526"/>
        </w:rPr>
        <w:t xml:space="preserve">and probably affects another 5-10% of the population, many of whom acquire the condition as a consequence of passive smoking and infections in the first few years of life.  Whilst not affecting lung function substantially, the condition often resurfaces in later life and can be the cause of recurrent or persistent bronchitis in patients over 45 years. These patients are often wrongly diagnosed and managed as having late onset asthma. </w:t>
      </w:r>
    </w:p>
    <w:p w:rsidR="00B77198" w:rsidRPr="000B2A53" w:rsidRDefault="00B77198" w:rsidP="00C54A8A">
      <w:pPr>
        <w:autoSpaceDE w:val="0"/>
        <w:autoSpaceDN w:val="0"/>
        <w:adjustRightInd w:val="0"/>
        <w:spacing w:after="120"/>
        <w:jc w:val="both"/>
        <w:rPr>
          <w:rFonts w:cs="Arial"/>
          <w:color w:val="292526"/>
        </w:rPr>
      </w:pPr>
      <w:r w:rsidRPr="000B2A53">
        <w:rPr>
          <w:rFonts w:cs="Arial"/>
          <w:color w:val="292526"/>
        </w:rPr>
        <w:t xml:space="preserve">COPD disproportionately affects Māori and women, with </w:t>
      </w:r>
      <w:r>
        <w:rPr>
          <w:rFonts w:cs="Arial"/>
          <w:color w:val="292526"/>
        </w:rPr>
        <w:t xml:space="preserve">the prevalence among </w:t>
      </w:r>
      <w:r w:rsidRPr="000B2A53">
        <w:rPr>
          <w:rFonts w:cs="Arial"/>
          <w:color w:val="292526"/>
        </w:rPr>
        <w:t xml:space="preserve">Māori </w:t>
      </w:r>
      <w:r>
        <w:rPr>
          <w:rFonts w:cs="Arial"/>
          <w:color w:val="292526"/>
        </w:rPr>
        <w:t>being</w:t>
      </w:r>
      <w:r w:rsidRPr="000B2A53">
        <w:rPr>
          <w:rFonts w:cs="Arial"/>
          <w:color w:val="292526"/>
        </w:rPr>
        <w:t xml:space="preserve"> twice that of people of other ethnic groups.  </w:t>
      </w:r>
      <w:r w:rsidR="0029045E">
        <w:rPr>
          <w:rFonts w:cs="Arial"/>
          <w:color w:val="292526"/>
        </w:rPr>
        <w:t xml:space="preserve">This could possibly be due to a higher smoking rate among Māori compared to non-Māori individuals.  </w:t>
      </w:r>
      <w:r w:rsidRPr="000B2A53">
        <w:rPr>
          <w:rFonts w:cs="Arial"/>
          <w:color w:val="292526"/>
        </w:rPr>
        <w:t xml:space="preserve">Women from areas with </w:t>
      </w:r>
      <w:r w:rsidR="00402750">
        <w:rPr>
          <w:rFonts w:cs="Arial"/>
          <w:color w:val="292526"/>
        </w:rPr>
        <w:t>high</w:t>
      </w:r>
      <w:r w:rsidR="00907C8A">
        <w:rPr>
          <w:rFonts w:cs="Arial"/>
          <w:color w:val="292526"/>
        </w:rPr>
        <w:t xml:space="preserve"> </w:t>
      </w:r>
      <w:r w:rsidR="00402750">
        <w:rPr>
          <w:rFonts w:cs="Arial"/>
          <w:color w:val="292526"/>
        </w:rPr>
        <w:t>deprivation</w:t>
      </w:r>
      <w:r w:rsidRPr="000B2A53">
        <w:rPr>
          <w:rFonts w:cs="Arial"/>
          <w:color w:val="292526"/>
        </w:rPr>
        <w:t xml:space="preserve"> </w:t>
      </w:r>
      <w:r>
        <w:rPr>
          <w:rFonts w:cs="Arial"/>
          <w:color w:val="292526"/>
        </w:rPr>
        <w:t>are</w:t>
      </w:r>
      <w:r w:rsidRPr="000B2A53">
        <w:rPr>
          <w:rFonts w:cs="Arial"/>
          <w:color w:val="292526"/>
        </w:rPr>
        <w:t xml:space="preserve"> also more likely than women from more affluent areas to have COPD</w:t>
      </w:r>
      <w:r>
        <w:rPr>
          <w:rFonts w:cs="Arial"/>
          <w:color w:val="292526"/>
        </w:rPr>
        <w:fldChar w:fldCharType="begin"/>
      </w:r>
      <w:r w:rsidR="00551E6B">
        <w:rPr>
          <w:rFonts w:cs="Arial"/>
          <w:color w:val="292526"/>
        </w:rPr>
        <w:instrText xml:space="preserve"> ADDIN EN.CITE &lt;EndNote&gt;&lt;Cite&gt;&lt;Author&gt;Ministry of Health&lt;/Author&gt;&lt;Year&gt;2008&lt;/Year&gt;&lt;RecNum&gt;744&lt;/RecNum&gt;&lt;DisplayText&gt;&lt;style face="superscript"&gt;(5)&lt;/style&gt;&lt;/DisplayText&gt;&lt;record&gt;&lt;rec-number&gt;744&lt;/rec-number&gt;&lt;foreign-keys&gt;&lt;key app="EN" db-id="22d09ravozpff5ea9zs509ewttsdavsvwr25"&gt;744&lt;/key&gt;&lt;/foreign-keys&gt;&lt;ref-type name="Book"&gt;6&lt;/ref-type&gt;&lt;contributors&gt;&lt;authors&gt;&lt;author&gt;Ministry of Health,&lt;/author&gt;&lt;/authors&gt;&lt;/contributors&gt;&lt;titles&gt;&lt;title&gt;A Portrait of Health: Key Results of the 2006/07 New Zealand Health Survey&lt;/title&gt;&lt;/titles&gt;&lt;dates&gt;&lt;year&gt;2008&lt;/year&gt;&lt;/dates&gt;&lt;pub-location&gt;Wellington&lt;/pub-location&gt;&lt;publisher&gt;Ministry of Health&lt;/publisher&gt;&lt;urls&gt;&lt;related-urls&gt;&lt;url&gt;http://www.health.govt.nz/publication/portrait-health-key-results-2006-07-new-zealand-health-survey&lt;/url&gt;&lt;/related-urls&gt;&lt;/urls&gt;&lt;/record&gt;&lt;/Cite&gt;&lt;/EndNote&gt;</w:instrText>
      </w:r>
      <w:r>
        <w:rPr>
          <w:rFonts w:cs="Arial"/>
          <w:color w:val="292526"/>
        </w:rPr>
        <w:fldChar w:fldCharType="separate"/>
      </w:r>
      <w:r w:rsidR="00551E6B" w:rsidRPr="00551E6B">
        <w:rPr>
          <w:rFonts w:cs="Arial"/>
          <w:noProof/>
          <w:color w:val="292526"/>
          <w:vertAlign w:val="superscript"/>
        </w:rPr>
        <w:t>(</w:t>
      </w:r>
      <w:hyperlink w:anchor="_ENREF_5" w:tooltip="Ministry of Health, 2008 #744" w:history="1">
        <w:r w:rsidR="0029347A" w:rsidRPr="00551E6B">
          <w:rPr>
            <w:rFonts w:cs="Arial"/>
            <w:noProof/>
            <w:color w:val="292526"/>
            <w:vertAlign w:val="superscript"/>
          </w:rPr>
          <w:t>5</w:t>
        </w:r>
      </w:hyperlink>
      <w:r w:rsidR="00551E6B" w:rsidRPr="00551E6B">
        <w:rPr>
          <w:rFonts w:cs="Arial"/>
          <w:noProof/>
          <w:color w:val="292526"/>
          <w:vertAlign w:val="superscript"/>
        </w:rPr>
        <w:t>)</w:t>
      </w:r>
      <w:r>
        <w:rPr>
          <w:rFonts w:cs="Arial"/>
          <w:color w:val="292526"/>
        </w:rPr>
        <w:fldChar w:fldCharType="end"/>
      </w:r>
      <w:r w:rsidRPr="000B2A53">
        <w:rPr>
          <w:rFonts w:cs="Arial"/>
          <w:color w:val="292526"/>
        </w:rPr>
        <w:t xml:space="preserve">.    </w:t>
      </w:r>
    </w:p>
    <w:p w:rsidR="00B77198" w:rsidRDefault="00B77198" w:rsidP="00C54A8A">
      <w:pPr>
        <w:pStyle w:val="Heading2"/>
        <w:jc w:val="both"/>
      </w:pPr>
      <w:bookmarkStart w:id="21" w:name="_Toc370401376"/>
      <w:bookmarkStart w:id="22" w:name="_Toc370477220"/>
      <w:bookmarkStart w:id="23" w:name="_Toc371949656"/>
      <w:bookmarkStart w:id="24" w:name="_Toc382225507"/>
      <w:bookmarkStart w:id="25" w:name="_Toc382475489"/>
      <w:bookmarkStart w:id="26" w:name="_Toc382554876"/>
      <w:bookmarkStart w:id="27" w:name="_Toc382574730"/>
      <w:r>
        <w:t>Health Outcomes</w:t>
      </w:r>
      <w:bookmarkEnd w:id="20"/>
      <w:bookmarkEnd w:id="21"/>
      <w:bookmarkEnd w:id="22"/>
      <w:bookmarkEnd w:id="23"/>
      <w:bookmarkEnd w:id="24"/>
      <w:bookmarkEnd w:id="25"/>
      <w:bookmarkEnd w:id="26"/>
      <w:bookmarkEnd w:id="27"/>
    </w:p>
    <w:p w:rsidR="00B77198" w:rsidRDefault="00B77198" w:rsidP="00C54A8A">
      <w:pPr>
        <w:autoSpaceDE w:val="0"/>
        <w:autoSpaceDN w:val="0"/>
        <w:adjustRightInd w:val="0"/>
        <w:spacing w:after="120"/>
        <w:jc w:val="both"/>
      </w:pPr>
      <w:r w:rsidRPr="000B2A53">
        <w:rPr>
          <w:rFonts w:cs="Arial"/>
          <w:color w:val="292526"/>
        </w:rPr>
        <w:t>COPD accounted for 1,523 deaths in</w:t>
      </w:r>
      <w:r w:rsidR="0059413C">
        <w:rPr>
          <w:rFonts w:cs="Arial"/>
          <w:color w:val="292526"/>
        </w:rPr>
        <w:t xml:space="preserve"> New Zealand in</w:t>
      </w:r>
      <w:r w:rsidRPr="000B2A53">
        <w:rPr>
          <w:rFonts w:cs="Arial"/>
          <w:color w:val="292526"/>
        </w:rPr>
        <w:t xml:space="preserve"> 2006</w:t>
      </w:r>
      <w:r w:rsidR="00211132">
        <w:rPr>
          <w:rFonts w:cs="Arial"/>
          <w:color w:val="292526"/>
        </w:rPr>
        <w:fldChar w:fldCharType="begin"/>
      </w:r>
      <w:r w:rsidR="00551E6B">
        <w:rPr>
          <w:rFonts w:cs="Arial"/>
          <w:color w:val="292526"/>
        </w:rPr>
        <w:instrText xml:space="preserve"> ADDIN EN.CITE &lt;EndNote&gt;&lt;Cite&gt;&lt;Author&gt;National Health Committee&lt;/Author&gt;&lt;Year&gt;2013&lt;/Year&gt;&lt;RecNum&gt;782&lt;/RecNum&gt;&lt;DisplayText&gt;&lt;style face="superscript"&gt;(6)&lt;/style&gt;&lt;/DisplayText&gt;&lt;record&gt;&lt;rec-number&gt;782&lt;/rec-number&gt;&lt;foreign-keys&gt;&lt;key app="EN" db-id="paxef0v91tx5e7eaev8xxf2xd92zvrfrv592"&gt;782&lt;/key&gt;&lt;/foreign-keys&gt;&lt;ref-type name="Government Document"&gt;46&lt;/ref-type&gt;&lt;contributors&gt;&lt;authors&gt;&lt;author&gt;National Health Committee,&lt;/author&gt;&lt;/authors&gt;&lt;/contributors&gt;&lt;titles&gt;&lt;title&gt;Strategic Overview: Respiratory Disease in New Zealand&lt;/title&gt;&lt;/titles&gt;&lt;dates&gt;&lt;year&gt;2013&lt;/year&gt;&lt;/dates&gt;&lt;pub-location&gt;Wellington&lt;/pub-location&gt;&lt;urls&gt;&lt;/urls&gt;&lt;/record&gt;&lt;/Cite&gt;&lt;/EndNote&gt;</w:instrText>
      </w:r>
      <w:r w:rsidR="00211132">
        <w:rPr>
          <w:rFonts w:cs="Arial"/>
          <w:color w:val="292526"/>
        </w:rPr>
        <w:fldChar w:fldCharType="separate"/>
      </w:r>
      <w:r w:rsidR="00551E6B" w:rsidRPr="00551E6B">
        <w:rPr>
          <w:rFonts w:cs="Arial"/>
          <w:noProof/>
          <w:color w:val="292526"/>
          <w:vertAlign w:val="superscript"/>
        </w:rPr>
        <w:t>(</w:t>
      </w:r>
      <w:hyperlink w:anchor="_ENREF_6" w:tooltip="National Health Committee, 2013 #782" w:history="1">
        <w:r w:rsidR="0029347A" w:rsidRPr="00551E6B">
          <w:rPr>
            <w:rFonts w:cs="Arial"/>
            <w:noProof/>
            <w:color w:val="292526"/>
            <w:vertAlign w:val="superscript"/>
          </w:rPr>
          <w:t>6</w:t>
        </w:r>
      </w:hyperlink>
      <w:r w:rsidR="00551E6B" w:rsidRPr="00551E6B">
        <w:rPr>
          <w:rFonts w:cs="Arial"/>
          <w:noProof/>
          <w:color w:val="292526"/>
          <w:vertAlign w:val="superscript"/>
        </w:rPr>
        <w:t>)</w:t>
      </w:r>
      <w:r w:rsidR="00211132">
        <w:rPr>
          <w:rFonts w:cs="Arial"/>
          <w:color w:val="292526"/>
        </w:rPr>
        <w:fldChar w:fldCharType="end"/>
      </w:r>
      <w:r w:rsidR="00211132">
        <w:rPr>
          <w:rFonts w:cs="Arial"/>
          <w:color w:val="292526"/>
        </w:rPr>
        <w:t xml:space="preserve">.  </w:t>
      </w:r>
      <w:r w:rsidRPr="000B2A53">
        <w:rPr>
          <w:rFonts w:cs="Arial"/>
          <w:color w:val="292526"/>
        </w:rPr>
        <w:t xml:space="preserve">COPD deaths tend to occur in individuals aged over 65 years.  COPD was responsible for </w:t>
      </w:r>
      <w:r w:rsidR="0029045E">
        <w:rPr>
          <w:rFonts w:cs="Arial"/>
          <w:color w:val="292526"/>
        </w:rPr>
        <w:t xml:space="preserve">the loss of </w:t>
      </w:r>
      <w:r w:rsidRPr="000B2A53">
        <w:rPr>
          <w:rFonts w:cs="Arial"/>
          <w:color w:val="292526"/>
        </w:rPr>
        <w:t xml:space="preserve">35,339 </w:t>
      </w:r>
      <w:r w:rsidR="00D44DDA">
        <w:rPr>
          <w:rFonts w:cs="Arial"/>
          <w:color w:val="292526"/>
        </w:rPr>
        <w:t>disability</w:t>
      </w:r>
      <w:r w:rsidR="00907C8A">
        <w:rPr>
          <w:rFonts w:cs="Arial"/>
          <w:color w:val="292526"/>
        </w:rPr>
        <w:t>-</w:t>
      </w:r>
      <w:r w:rsidR="00D44DDA">
        <w:rPr>
          <w:rFonts w:cs="Arial"/>
          <w:color w:val="292526"/>
        </w:rPr>
        <w:t>adjusted life</w:t>
      </w:r>
      <w:r w:rsidR="00907C8A">
        <w:rPr>
          <w:rFonts w:cs="Arial"/>
          <w:color w:val="292526"/>
        </w:rPr>
        <w:t>-</w:t>
      </w:r>
      <w:r w:rsidR="00D44DDA">
        <w:rPr>
          <w:rFonts w:cs="Arial"/>
          <w:color w:val="292526"/>
        </w:rPr>
        <w:t>years (</w:t>
      </w:r>
      <w:r w:rsidRPr="000B2A53">
        <w:rPr>
          <w:rFonts w:cs="Arial"/>
          <w:color w:val="292526"/>
        </w:rPr>
        <w:t>DALYs</w:t>
      </w:r>
      <w:r w:rsidR="00D44DDA">
        <w:rPr>
          <w:rFonts w:cs="Arial"/>
          <w:color w:val="292526"/>
        </w:rPr>
        <w:t>)</w:t>
      </w:r>
      <w:r w:rsidRPr="000B2A53">
        <w:rPr>
          <w:rFonts w:cs="Arial"/>
          <w:color w:val="292526"/>
        </w:rPr>
        <w:t xml:space="preserve"> in 2006. </w:t>
      </w:r>
      <w:r w:rsidR="00DD7A52">
        <w:rPr>
          <w:rFonts w:cs="Arial"/>
          <w:color w:val="292526"/>
        </w:rPr>
        <w:t xml:space="preserve"> </w:t>
      </w:r>
      <w:r w:rsidR="00DD7A52" w:rsidRPr="000B2A53">
        <w:rPr>
          <w:rFonts w:cs="Arial"/>
          <w:color w:val="292526"/>
        </w:rPr>
        <w:t xml:space="preserve">DALYs combine years of life lost (YLLs) and years lived with disability (YLDs) such that one DALY is equivalent to loss of one year of healthy life.  As such, they are more than just a metric for death; they include both fatal and non-fatal outcomes. </w:t>
      </w:r>
      <w:r w:rsidRPr="000B2A53">
        <w:rPr>
          <w:rFonts w:cs="Arial"/>
          <w:color w:val="292526"/>
        </w:rPr>
        <w:t xml:space="preserve"> Of all of the respiratory diseases, COPD is the biggest cause of both deaths and DALYs.  Nearly 75% of those DALYs were lost in </w:t>
      </w:r>
      <w:bookmarkStart w:id="28" w:name="_Toc358819669"/>
      <w:r>
        <w:rPr>
          <w:rFonts w:cs="Arial"/>
          <w:color w:val="292526"/>
        </w:rPr>
        <w:t>individuals aged over 60 years</w:t>
      </w:r>
      <w:r w:rsidR="00211132">
        <w:rPr>
          <w:rFonts w:cs="Arial"/>
          <w:color w:val="292526"/>
        </w:rPr>
        <w:fldChar w:fldCharType="begin"/>
      </w:r>
      <w:r w:rsidR="00551E6B">
        <w:rPr>
          <w:rFonts w:cs="Arial"/>
          <w:color w:val="292526"/>
        </w:rPr>
        <w:instrText xml:space="preserve"> ADDIN EN.CITE &lt;EndNote&gt;&lt;Cite&gt;&lt;Author&gt;National Health Committee&lt;/Author&gt;&lt;Year&gt;2013&lt;/Year&gt;&lt;RecNum&gt;782&lt;/RecNum&gt;&lt;DisplayText&gt;&lt;style face="superscript"&gt;(6)&lt;/style&gt;&lt;/DisplayText&gt;&lt;record&gt;&lt;rec-number&gt;782&lt;/rec-number&gt;&lt;foreign-keys&gt;&lt;key app="EN" db-id="paxef0v91tx5e7eaev8xxf2xd92zvrfrv592"&gt;782&lt;/key&gt;&lt;/foreign-keys&gt;&lt;ref-type name="Government Document"&gt;46&lt;/ref-type&gt;&lt;contributors&gt;&lt;authors&gt;&lt;author&gt;National Health Committee,&lt;/author&gt;&lt;/authors&gt;&lt;/contributors&gt;&lt;titles&gt;&lt;title&gt;Strategic Overview: Respiratory Disease in New Zealand&lt;/title&gt;&lt;/titles&gt;&lt;dates&gt;&lt;year&gt;2013&lt;/year&gt;&lt;/dates&gt;&lt;pub-location&gt;Wellington&lt;/pub-location&gt;&lt;urls&gt;&lt;/urls&gt;&lt;/record&gt;&lt;/Cite&gt;&lt;/EndNote&gt;</w:instrText>
      </w:r>
      <w:r w:rsidR="00211132">
        <w:rPr>
          <w:rFonts w:cs="Arial"/>
          <w:color w:val="292526"/>
        </w:rPr>
        <w:fldChar w:fldCharType="separate"/>
      </w:r>
      <w:r w:rsidR="00551E6B" w:rsidRPr="00551E6B">
        <w:rPr>
          <w:rFonts w:cs="Arial"/>
          <w:noProof/>
          <w:color w:val="292526"/>
          <w:vertAlign w:val="superscript"/>
        </w:rPr>
        <w:t>(</w:t>
      </w:r>
      <w:hyperlink w:anchor="_ENREF_6" w:tooltip="National Health Committee, 2013 #782" w:history="1">
        <w:r w:rsidR="0029347A" w:rsidRPr="00551E6B">
          <w:rPr>
            <w:rFonts w:cs="Arial"/>
            <w:noProof/>
            <w:color w:val="292526"/>
            <w:vertAlign w:val="superscript"/>
          </w:rPr>
          <w:t>6</w:t>
        </w:r>
      </w:hyperlink>
      <w:r w:rsidR="00551E6B" w:rsidRPr="00551E6B">
        <w:rPr>
          <w:rFonts w:cs="Arial"/>
          <w:noProof/>
          <w:color w:val="292526"/>
          <w:vertAlign w:val="superscript"/>
        </w:rPr>
        <w:t>)</w:t>
      </w:r>
      <w:r w:rsidR="00211132">
        <w:rPr>
          <w:rFonts w:cs="Arial"/>
          <w:color w:val="292526"/>
        </w:rPr>
        <w:fldChar w:fldCharType="end"/>
      </w:r>
      <w:r w:rsidR="00211132">
        <w:rPr>
          <w:rFonts w:cs="Arial"/>
          <w:color w:val="292526"/>
        </w:rPr>
        <w:t>.</w:t>
      </w:r>
    </w:p>
    <w:p w:rsidR="00B77198" w:rsidRPr="008952DA" w:rsidRDefault="00B77198" w:rsidP="00C54A8A">
      <w:pPr>
        <w:pStyle w:val="Heading2"/>
        <w:jc w:val="both"/>
        <w:rPr>
          <w:color w:val="292526"/>
        </w:rPr>
      </w:pPr>
      <w:bookmarkStart w:id="29" w:name="_Toc370401377"/>
      <w:bookmarkStart w:id="30" w:name="_Toc370477221"/>
      <w:bookmarkStart w:id="31" w:name="_Toc371949657"/>
      <w:bookmarkStart w:id="32" w:name="_Toc382225508"/>
      <w:bookmarkStart w:id="33" w:name="_Toc382475490"/>
      <w:bookmarkStart w:id="34" w:name="_Toc382554877"/>
      <w:bookmarkStart w:id="35" w:name="_Toc382574731"/>
      <w:r>
        <w:t>Health Utilisation and Cost</w:t>
      </w:r>
      <w:bookmarkEnd w:id="28"/>
      <w:bookmarkEnd w:id="29"/>
      <w:bookmarkEnd w:id="30"/>
      <w:bookmarkEnd w:id="31"/>
      <w:bookmarkEnd w:id="32"/>
      <w:bookmarkEnd w:id="33"/>
      <w:bookmarkEnd w:id="34"/>
      <w:bookmarkEnd w:id="35"/>
    </w:p>
    <w:p w:rsidR="00B77198" w:rsidRPr="001E007B" w:rsidRDefault="00B77198" w:rsidP="00C54A8A">
      <w:pPr>
        <w:jc w:val="both"/>
      </w:pPr>
      <w:r w:rsidRPr="000B2A53">
        <w:rPr>
          <w:rFonts w:cs="Arial"/>
          <w:color w:val="292526"/>
        </w:rPr>
        <w:t>COPD hospitalisation rates were highest in individuals aged over 50 years</w:t>
      </w:r>
      <w:r w:rsidR="00211132">
        <w:rPr>
          <w:rFonts w:cs="Arial"/>
          <w:color w:val="292526"/>
        </w:rPr>
        <w:fldChar w:fldCharType="begin"/>
      </w:r>
      <w:r w:rsidR="00551E6B">
        <w:rPr>
          <w:rFonts w:cs="Arial"/>
          <w:color w:val="292526"/>
        </w:rPr>
        <w:instrText xml:space="preserve"> ADDIN EN.CITE &lt;EndNote&gt;&lt;Cite&gt;&lt;Author&gt;National Health Committee&lt;/Author&gt;&lt;Year&gt;2013&lt;/Year&gt;&lt;RecNum&gt;782&lt;/RecNum&gt;&lt;DisplayText&gt;&lt;style face="superscript"&gt;(6)&lt;/style&gt;&lt;/DisplayText&gt;&lt;record&gt;&lt;rec-number&gt;782&lt;/rec-number&gt;&lt;foreign-keys&gt;&lt;key app="EN" db-id="paxef0v91tx5e7eaev8xxf2xd92zvrfrv592"&gt;782&lt;/key&gt;&lt;/foreign-keys&gt;&lt;ref-type name="Government Document"&gt;46&lt;/ref-type&gt;&lt;contributors&gt;&lt;authors&gt;&lt;author&gt;National Health Committee,&lt;/author&gt;&lt;/authors&gt;&lt;/contributors&gt;&lt;titles&gt;&lt;title&gt;Strategic Overview: Respiratory Disease in New Zealand&lt;/title&gt;&lt;/titles&gt;&lt;dates&gt;&lt;year&gt;2013&lt;/year&gt;&lt;/dates&gt;&lt;pub-location&gt;Wellington&lt;/pub-location&gt;&lt;urls&gt;&lt;/urls&gt;&lt;/record&gt;&lt;/Cite&gt;&lt;/EndNote&gt;</w:instrText>
      </w:r>
      <w:r w:rsidR="00211132">
        <w:rPr>
          <w:rFonts w:cs="Arial"/>
          <w:color w:val="292526"/>
        </w:rPr>
        <w:fldChar w:fldCharType="separate"/>
      </w:r>
      <w:r w:rsidR="00551E6B" w:rsidRPr="00551E6B">
        <w:rPr>
          <w:rFonts w:cs="Arial"/>
          <w:noProof/>
          <w:color w:val="292526"/>
          <w:vertAlign w:val="superscript"/>
        </w:rPr>
        <w:t>(</w:t>
      </w:r>
      <w:hyperlink w:anchor="_ENREF_6" w:tooltip="National Health Committee, 2013 #782" w:history="1">
        <w:r w:rsidR="0029347A" w:rsidRPr="00551E6B">
          <w:rPr>
            <w:rFonts w:cs="Arial"/>
            <w:noProof/>
            <w:color w:val="292526"/>
            <w:vertAlign w:val="superscript"/>
          </w:rPr>
          <w:t>6</w:t>
        </w:r>
      </w:hyperlink>
      <w:r w:rsidR="00551E6B" w:rsidRPr="00551E6B">
        <w:rPr>
          <w:rFonts w:cs="Arial"/>
          <w:noProof/>
          <w:color w:val="292526"/>
          <w:vertAlign w:val="superscript"/>
        </w:rPr>
        <w:t>)</w:t>
      </w:r>
      <w:r w:rsidR="00211132">
        <w:rPr>
          <w:rFonts w:cs="Arial"/>
          <w:color w:val="292526"/>
        </w:rPr>
        <w:fldChar w:fldCharType="end"/>
      </w:r>
      <w:r w:rsidR="00211132">
        <w:rPr>
          <w:rFonts w:cs="Arial"/>
          <w:color w:val="292526"/>
        </w:rPr>
        <w:t xml:space="preserve">.  </w:t>
      </w:r>
      <w:r w:rsidRPr="000B2A53">
        <w:rPr>
          <w:rFonts w:cs="Arial"/>
          <w:color w:val="292526"/>
        </w:rPr>
        <w:t>In the 2006</w:t>
      </w:r>
      <w:r>
        <w:rPr>
          <w:rFonts w:cs="Arial"/>
          <w:color w:val="292526"/>
        </w:rPr>
        <w:t>–</w:t>
      </w:r>
      <w:r w:rsidRPr="000B2A53">
        <w:rPr>
          <w:rFonts w:cs="Arial"/>
          <w:color w:val="292526"/>
        </w:rPr>
        <w:t>2009 years, ethnic-standardised hospitalisation rates were as follows in</w:t>
      </w:r>
      <w:r>
        <w:rPr>
          <w:rFonts w:cs="Arial"/>
          <w:color w:val="292526"/>
        </w:rPr>
        <w:t xml:space="preserve"> </w:t>
      </w:r>
      <w:r>
        <w:rPr>
          <w:rFonts w:cs="Arial"/>
          <w:color w:val="292526"/>
        </w:rPr>
        <w:fldChar w:fldCharType="begin"/>
      </w:r>
      <w:r>
        <w:rPr>
          <w:rFonts w:cs="Arial"/>
          <w:color w:val="292526"/>
        </w:rPr>
        <w:instrText xml:space="preserve"> REF _Ref366819696 \h </w:instrText>
      </w:r>
      <w:r w:rsidR="00C54A8A">
        <w:rPr>
          <w:rFonts w:cs="Arial"/>
          <w:color w:val="292526"/>
        </w:rPr>
        <w:instrText xml:space="preserve"> \* MERGEFORMAT </w:instrText>
      </w:r>
      <w:r>
        <w:rPr>
          <w:rFonts w:cs="Arial"/>
          <w:color w:val="292526"/>
        </w:rPr>
      </w:r>
      <w:r>
        <w:rPr>
          <w:rFonts w:cs="Arial"/>
          <w:color w:val="292526"/>
        </w:rPr>
        <w:fldChar w:fldCharType="separate"/>
      </w:r>
      <w:r w:rsidR="000B70CE">
        <w:t xml:space="preserve">Table </w:t>
      </w:r>
      <w:r w:rsidR="000B70CE">
        <w:rPr>
          <w:noProof/>
        </w:rPr>
        <w:t>1</w:t>
      </w:r>
      <w:r>
        <w:rPr>
          <w:rFonts w:cs="Arial"/>
          <w:color w:val="292526"/>
        </w:rPr>
        <w:fldChar w:fldCharType="end"/>
      </w:r>
      <w:r>
        <w:rPr>
          <w:rFonts w:cs="Arial"/>
          <w:color w:val="292526"/>
        </w:rPr>
        <w:t xml:space="preserve"> and </w:t>
      </w:r>
      <w:r>
        <w:rPr>
          <w:rFonts w:cs="Arial"/>
          <w:color w:val="292526"/>
        </w:rPr>
        <w:fldChar w:fldCharType="begin"/>
      </w:r>
      <w:r>
        <w:rPr>
          <w:rFonts w:cs="Arial"/>
          <w:color w:val="292526"/>
        </w:rPr>
        <w:instrText xml:space="preserve"> REF _Ref366819701 \h </w:instrText>
      </w:r>
      <w:r w:rsidR="00C54A8A">
        <w:rPr>
          <w:rFonts w:cs="Arial"/>
          <w:color w:val="292526"/>
        </w:rPr>
        <w:instrText xml:space="preserve"> \* MERGEFORMAT </w:instrText>
      </w:r>
      <w:r>
        <w:rPr>
          <w:rFonts w:cs="Arial"/>
          <w:color w:val="292526"/>
        </w:rPr>
      </w:r>
      <w:r>
        <w:rPr>
          <w:rFonts w:cs="Arial"/>
          <w:color w:val="292526"/>
        </w:rPr>
        <w:fldChar w:fldCharType="separate"/>
      </w:r>
      <w:r w:rsidR="000B70CE">
        <w:t>Table</w:t>
      </w:r>
      <w:r w:rsidR="000B70CE">
        <w:rPr>
          <w:noProof/>
        </w:rPr>
        <w:t xml:space="preserve"> 2</w:t>
      </w:r>
      <w:r>
        <w:rPr>
          <w:rFonts w:cs="Arial"/>
          <w:color w:val="292526"/>
        </w:rPr>
        <w:fldChar w:fldCharType="end"/>
      </w:r>
      <w:r w:rsidRPr="000B2A53">
        <w:rPr>
          <w:rFonts w:cs="Arial"/>
          <w:color w:val="292526"/>
        </w:rPr>
        <w:t xml:space="preserve">: </w:t>
      </w:r>
    </w:p>
    <w:p w:rsidR="00402750" w:rsidRDefault="00402750" w:rsidP="00C54A8A">
      <w:pPr>
        <w:autoSpaceDE w:val="0"/>
        <w:autoSpaceDN w:val="0"/>
        <w:adjustRightInd w:val="0"/>
        <w:spacing w:after="120"/>
        <w:jc w:val="both"/>
        <w:rPr>
          <w:rFonts w:cs="Arial"/>
          <w:color w:val="292526"/>
        </w:rPr>
      </w:pPr>
    </w:p>
    <w:p w:rsidR="00402750" w:rsidRDefault="00402750" w:rsidP="00C54A8A">
      <w:pPr>
        <w:autoSpaceDE w:val="0"/>
        <w:autoSpaceDN w:val="0"/>
        <w:adjustRightInd w:val="0"/>
        <w:spacing w:after="120"/>
        <w:jc w:val="both"/>
        <w:rPr>
          <w:rFonts w:cs="Arial"/>
          <w:color w:val="292526"/>
        </w:rPr>
      </w:pPr>
    </w:p>
    <w:p w:rsidR="00402750" w:rsidRDefault="00402750" w:rsidP="00C54A8A">
      <w:pPr>
        <w:autoSpaceDE w:val="0"/>
        <w:autoSpaceDN w:val="0"/>
        <w:adjustRightInd w:val="0"/>
        <w:spacing w:after="120"/>
        <w:jc w:val="both"/>
        <w:rPr>
          <w:rFonts w:cs="Arial"/>
          <w:color w:val="292526"/>
        </w:rPr>
      </w:pPr>
    </w:p>
    <w:p w:rsidR="00402750" w:rsidRDefault="00402750" w:rsidP="00C54A8A">
      <w:pPr>
        <w:autoSpaceDE w:val="0"/>
        <w:autoSpaceDN w:val="0"/>
        <w:adjustRightInd w:val="0"/>
        <w:spacing w:after="120"/>
        <w:jc w:val="both"/>
      </w:pPr>
    </w:p>
    <w:p w:rsidR="00B77198" w:rsidRDefault="00B77198" w:rsidP="00C54A8A">
      <w:pPr>
        <w:pStyle w:val="Caption"/>
        <w:keepNext/>
        <w:jc w:val="both"/>
      </w:pPr>
      <w:bookmarkStart w:id="36" w:name="_Ref366819696"/>
      <w:r>
        <w:t xml:space="preserve">Table </w:t>
      </w:r>
      <w:r>
        <w:fldChar w:fldCharType="begin"/>
      </w:r>
      <w:r>
        <w:instrText xml:space="preserve"> SEQ Table \* ARABIC </w:instrText>
      </w:r>
      <w:r>
        <w:fldChar w:fldCharType="separate"/>
      </w:r>
      <w:r w:rsidR="000B70CE">
        <w:rPr>
          <w:noProof/>
        </w:rPr>
        <w:t>1</w:t>
      </w:r>
      <w:r>
        <w:rPr>
          <w:noProof/>
        </w:rPr>
        <w:fldChar w:fldCharType="end"/>
      </w:r>
      <w:bookmarkEnd w:id="36"/>
      <w:r>
        <w:t>:</w:t>
      </w:r>
      <w:r w:rsidRPr="001E06DA">
        <w:t xml:space="preserve"> </w:t>
      </w:r>
      <w:r w:rsidR="00907C8A">
        <w:t xml:space="preserve">Age-standardised </w:t>
      </w:r>
      <w:r w:rsidRPr="001E06DA">
        <w:t xml:space="preserve">COPD </w:t>
      </w:r>
      <w:r w:rsidR="005F5245">
        <w:t>h</w:t>
      </w:r>
      <w:r w:rsidRPr="001E06DA">
        <w:t xml:space="preserve">ospitalisation </w:t>
      </w:r>
      <w:r w:rsidR="005F5245">
        <w:t>r</w:t>
      </w:r>
      <w:r w:rsidRPr="001E06DA">
        <w:t xml:space="preserve">ates per 100,000 for </w:t>
      </w:r>
      <w:r w:rsidR="005F5245">
        <w:t>a</w:t>
      </w:r>
      <w:r w:rsidRPr="001E06DA">
        <w:t xml:space="preserve">dults </w:t>
      </w:r>
      <w:r w:rsidR="005F5245">
        <w:t>a</w:t>
      </w:r>
      <w:r w:rsidRPr="001E06DA">
        <w:t xml:space="preserve">ged over 45 Years by </w:t>
      </w:r>
      <w:r w:rsidR="005F5245">
        <w:t>g</w:t>
      </w:r>
      <w:r w:rsidRPr="001E06DA">
        <w:t xml:space="preserve">ender and </w:t>
      </w:r>
      <w:r w:rsidR="005F5245">
        <w:t>e</w:t>
      </w:r>
      <w:r w:rsidRPr="001E06DA">
        <w:t>thnicity</w:t>
      </w:r>
    </w:p>
    <w:tbl>
      <w:tblPr>
        <w:tblStyle w:val="MediumGrid1-Accent3"/>
        <w:tblW w:w="4963" w:type="pct"/>
        <w:tblLook w:val="04A0" w:firstRow="1" w:lastRow="0" w:firstColumn="1" w:lastColumn="0" w:noHBand="0" w:noVBand="1"/>
        <w:tblDescription w:val="Table 19: Chronic obstructive pulmonary disease (COPD) indicators"/>
      </w:tblPr>
      <w:tblGrid>
        <w:gridCol w:w="1696"/>
        <w:gridCol w:w="1695"/>
        <w:gridCol w:w="1695"/>
        <w:gridCol w:w="1471"/>
        <w:gridCol w:w="1471"/>
        <w:gridCol w:w="1471"/>
      </w:tblGrid>
      <w:tr w:rsidR="00B77198" w:rsidRPr="003F3D7C" w:rsidTr="00B77198">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0" w:type="auto"/>
            <w:gridSpan w:val="3"/>
            <w:vAlign w:val="center"/>
            <w:hideMark/>
          </w:tcPr>
          <w:p w:rsidR="00B77198" w:rsidRPr="003F3D7C" w:rsidRDefault="00B77198" w:rsidP="00C54A8A">
            <w:pPr>
              <w:spacing w:after="0" w:line="240" w:lineRule="auto"/>
              <w:jc w:val="both"/>
              <w:rPr>
                <w:rFonts w:cs="Arial"/>
                <w:bCs w:val="0"/>
                <w:color w:val="002639"/>
                <w:sz w:val="20"/>
                <w:szCs w:val="20"/>
                <w:lang w:eastAsia="en-NZ"/>
              </w:rPr>
            </w:pPr>
            <w:r w:rsidRPr="003F3D7C">
              <w:rPr>
                <w:rFonts w:cs="Arial"/>
                <w:bCs w:val="0"/>
                <w:color w:val="002639"/>
                <w:sz w:val="20"/>
                <w:szCs w:val="20"/>
                <w:lang w:eastAsia="en-NZ"/>
              </w:rPr>
              <w:t>Māori</w:t>
            </w:r>
          </w:p>
        </w:tc>
        <w:tc>
          <w:tcPr>
            <w:tcW w:w="0" w:type="auto"/>
            <w:gridSpan w:val="3"/>
            <w:vAlign w:val="center"/>
            <w:hideMark/>
          </w:tcPr>
          <w:p w:rsidR="00B77198" w:rsidRPr="003F3D7C" w:rsidRDefault="00B77198"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bCs w:val="0"/>
                <w:color w:val="002639"/>
                <w:sz w:val="20"/>
                <w:szCs w:val="20"/>
                <w:lang w:eastAsia="en-NZ"/>
              </w:rPr>
            </w:pPr>
            <w:r w:rsidRPr="003F3D7C">
              <w:rPr>
                <w:rFonts w:cs="Arial"/>
                <w:bCs w:val="0"/>
                <w:color w:val="002639"/>
                <w:sz w:val="20"/>
                <w:szCs w:val="20"/>
                <w:lang w:eastAsia="en-NZ"/>
              </w:rPr>
              <w:t>non-Māori</w:t>
            </w:r>
          </w:p>
        </w:tc>
      </w:tr>
      <w:tr w:rsidR="00B77198" w:rsidRPr="003F3D7C" w:rsidTr="00B7719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77198" w:rsidRPr="003F3D7C" w:rsidRDefault="00B77198" w:rsidP="00C54A8A">
            <w:pPr>
              <w:spacing w:after="0" w:line="240" w:lineRule="auto"/>
              <w:jc w:val="both"/>
              <w:rPr>
                <w:rFonts w:cs="Arial"/>
                <w:b w:val="0"/>
                <w:bCs w:val="0"/>
                <w:color w:val="002639"/>
                <w:sz w:val="20"/>
                <w:szCs w:val="20"/>
                <w:lang w:eastAsia="en-NZ"/>
              </w:rPr>
            </w:pPr>
            <w:r w:rsidRPr="003F3D7C">
              <w:rPr>
                <w:rFonts w:cs="Arial"/>
                <w:b w:val="0"/>
                <w:bCs w:val="0"/>
                <w:color w:val="002639"/>
                <w:sz w:val="20"/>
                <w:szCs w:val="20"/>
                <w:lang w:eastAsia="en-NZ"/>
              </w:rPr>
              <w:t>Males</w:t>
            </w:r>
          </w:p>
        </w:tc>
        <w:tc>
          <w:tcPr>
            <w:tcW w:w="0" w:type="auto"/>
            <w:vAlign w:val="center"/>
            <w:hideMark/>
          </w:tcPr>
          <w:p w:rsidR="00B77198" w:rsidRPr="003F3D7C" w:rsidRDefault="00B77198"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Females</w:t>
            </w:r>
          </w:p>
        </w:tc>
        <w:tc>
          <w:tcPr>
            <w:tcW w:w="0" w:type="auto"/>
            <w:vAlign w:val="center"/>
            <w:hideMark/>
          </w:tcPr>
          <w:p w:rsidR="00B77198" w:rsidRPr="00F91A52" w:rsidRDefault="00B77198"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bCs/>
                <w:color w:val="002639"/>
                <w:sz w:val="20"/>
                <w:szCs w:val="20"/>
                <w:lang w:eastAsia="en-NZ"/>
              </w:rPr>
            </w:pPr>
            <w:r w:rsidRPr="00F91A52">
              <w:rPr>
                <w:rFonts w:cs="Arial"/>
                <w:b/>
                <w:bCs/>
                <w:color w:val="002639"/>
                <w:sz w:val="20"/>
                <w:szCs w:val="20"/>
                <w:lang w:eastAsia="en-NZ"/>
              </w:rPr>
              <w:t>Total</w:t>
            </w:r>
          </w:p>
        </w:tc>
        <w:tc>
          <w:tcPr>
            <w:tcW w:w="0" w:type="auto"/>
            <w:vAlign w:val="center"/>
            <w:hideMark/>
          </w:tcPr>
          <w:p w:rsidR="00B77198" w:rsidRPr="003F3D7C" w:rsidRDefault="00B77198"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Males</w:t>
            </w:r>
          </w:p>
        </w:tc>
        <w:tc>
          <w:tcPr>
            <w:tcW w:w="0" w:type="auto"/>
            <w:vAlign w:val="center"/>
            <w:hideMark/>
          </w:tcPr>
          <w:p w:rsidR="00B77198" w:rsidRPr="003F3D7C" w:rsidRDefault="00B77198"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Females</w:t>
            </w:r>
          </w:p>
        </w:tc>
        <w:tc>
          <w:tcPr>
            <w:tcW w:w="0" w:type="auto"/>
            <w:vAlign w:val="center"/>
            <w:hideMark/>
          </w:tcPr>
          <w:p w:rsidR="00B77198" w:rsidRPr="00F91A52" w:rsidRDefault="00B77198"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bCs/>
                <w:color w:val="002639"/>
                <w:sz w:val="20"/>
                <w:szCs w:val="20"/>
                <w:lang w:eastAsia="en-NZ"/>
              </w:rPr>
            </w:pPr>
            <w:r w:rsidRPr="00F91A52">
              <w:rPr>
                <w:rFonts w:cs="Arial"/>
                <w:b/>
                <w:bCs/>
                <w:color w:val="002639"/>
                <w:sz w:val="20"/>
                <w:szCs w:val="20"/>
                <w:lang w:eastAsia="en-NZ"/>
              </w:rPr>
              <w:t>Total</w:t>
            </w:r>
          </w:p>
        </w:tc>
      </w:tr>
      <w:tr w:rsidR="00B77198" w:rsidRPr="003F3D7C" w:rsidTr="00B77198">
        <w:trPr>
          <w:trHeight w:val="104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77198" w:rsidRPr="003F3D7C" w:rsidRDefault="00B77198" w:rsidP="00C54A8A">
            <w:pPr>
              <w:spacing w:after="0" w:line="240" w:lineRule="auto"/>
              <w:jc w:val="both"/>
              <w:rPr>
                <w:rFonts w:cs="Arial"/>
                <w:b w:val="0"/>
                <w:bCs w:val="0"/>
                <w:color w:val="002639"/>
                <w:sz w:val="20"/>
                <w:szCs w:val="20"/>
                <w:lang w:eastAsia="en-NZ"/>
              </w:rPr>
            </w:pPr>
            <w:r w:rsidRPr="003F3D7C">
              <w:rPr>
                <w:rFonts w:cs="Arial"/>
                <w:b w:val="0"/>
                <w:bCs w:val="0"/>
                <w:color w:val="002639"/>
                <w:sz w:val="20"/>
                <w:szCs w:val="20"/>
                <w:lang w:eastAsia="en-NZ"/>
              </w:rPr>
              <w:t>1800.7</w:t>
            </w:r>
            <w:r w:rsidRPr="003F3D7C">
              <w:rPr>
                <w:rFonts w:cs="Arial"/>
                <w:b w:val="0"/>
                <w:bCs w:val="0"/>
                <w:color w:val="002639"/>
                <w:sz w:val="20"/>
                <w:szCs w:val="20"/>
                <w:lang w:eastAsia="en-NZ"/>
              </w:rPr>
              <w:br/>
              <w:t>(1683.6–1925.9)</w:t>
            </w:r>
          </w:p>
        </w:tc>
        <w:tc>
          <w:tcPr>
            <w:tcW w:w="0" w:type="auto"/>
            <w:vAlign w:val="center"/>
            <w:hideMark/>
          </w:tcPr>
          <w:p w:rsidR="00B77198" w:rsidRPr="003F3D7C" w:rsidRDefault="00B77198"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2217.6</w:t>
            </w:r>
            <w:r w:rsidRPr="003F3D7C">
              <w:rPr>
                <w:rFonts w:cs="Arial"/>
                <w:bCs/>
                <w:color w:val="002639"/>
                <w:sz w:val="20"/>
                <w:szCs w:val="20"/>
                <w:lang w:eastAsia="en-NZ"/>
              </w:rPr>
              <w:br/>
              <w:t>(2095.9–2346.4)</w:t>
            </w:r>
          </w:p>
        </w:tc>
        <w:tc>
          <w:tcPr>
            <w:tcW w:w="0" w:type="auto"/>
            <w:vAlign w:val="center"/>
            <w:hideMark/>
          </w:tcPr>
          <w:p w:rsidR="00B77198" w:rsidRPr="003F3D7C" w:rsidRDefault="00B77198"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2021.7</w:t>
            </w:r>
            <w:r w:rsidRPr="003F3D7C">
              <w:rPr>
                <w:rFonts w:cs="Arial"/>
                <w:bCs/>
                <w:color w:val="002639"/>
                <w:sz w:val="20"/>
                <w:szCs w:val="20"/>
                <w:lang w:eastAsia="en-NZ"/>
              </w:rPr>
              <w:br/>
              <w:t>(1936.3–2110.9)</w:t>
            </w:r>
          </w:p>
        </w:tc>
        <w:tc>
          <w:tcPr>
            <w:tcW w:w="0" w:type="auto"/>
            <w:noWrap/>
            <w:vAlign w:val="center"/>
            <w:hideMark/>
          </w:tcPr>
          <w:p w:rsidR="00B77198" w:rsidRPr="003F3D7C" w:rsidRDefault="00B77198"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549.8</w:t>
            </w:r>
            <w:r w:rsidRPr="003F3D7C">
              <w:rPr>
                <w:rFonts w:cs="Arial"/>
                <w:bCs/>
                <w:color w:val="002639"/>
                <w:sz w:val="20"/>
                <w:szCs w:val="20"/>
                <w:lang w:eastAsia="en-NZ"/>
              </w:rPr>
              <w:br/>
              <w:t>(532.1–568.1)</w:t>
            </w:r>
          </w:p>
        </w:tc>
        <w:tc>
          <w:tcPr>
            <w:tcW w:w="0" w:type="auto"/>
            <w:noWrap/>
            <w:vAlign w:val="center"/>
            <w:hideMark/>
          </w:tcPr>
          <w:p w:rsidR="00B77198" w:rsidRPr="003F3D7C" w:rsidRDefault="00B77198"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439.3</w:t>
            </w:r>
            <w:r w:rsidRPr="003F3D7C">
              <w:rPr>
                <w:rFonts w:cs="Arial"/>
                <w:bCs/>
                <w:color w:val="002639"/>
                <w:sz w:val="20"/>
                <w:szCs w:val="20"/>
                <w:lang w:eastAsia="en-NZ"/>
              </w:rPr>
              <w:br/>
              <w:t>(422.6–456.7)</w:t>
            </w:r>
          </w:p>
        </w:tc>
        <w:tc>
          <w:tcPr>
            <w:tcW w:w="0" w:type="auto"/>
            <w:noWrap/>
            <w:vAlign w:val="center"/>
            <w:hideMark/>
          </w:tcPr>
          <w:p w:rsidR="00B77198" w:rsidRPr="003F3D7C" w:rsidRDefault="00B77198"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484.1</w:t>
            </w:r>
            <w:r w:rsidRPr="003F3D7C">
              <w:rPr>
                <w:rFonts w:cs="Arial"/>
                <w:bCs/>
                <w:color w:val="002639"/>
                <w:sz w:val="20"/>
                <w:szCs w:val="20"/>
                <w:lang w:eastAsia="en-NZ"/>
              </w:rPr>
              <w:br/>
              <w:t>(471.9–496.5)</w:t>
            </w:r>
          </w:p>
        </w:tc>
      </w:tr>
    </w:tbl>
    <w:p w:rsidR="00B77198" w:rsidRPr="00443215" w:rsidRDefault="00B77198" w:rsidP="00C54A8A">
      <w:pPr>
        <w:pStyle w:val="SourceCaption"/>
        <w:jc w:val="both"/>
      </w:pPr>
      <w:r w:rsidRPr="00443215">
        <w:t xml:space="preserve">Source: </w:t>
      </w:r>
      <w:hyperlink r:id="rId13" w:history="1">
        <w:r w:rsidR="00211132" w:rsidRPr="0014594F">
          <w:rPr>
            <w:rStyle w:val="Hyperlink"/>
            <w:color w:val="auto"/>
          </w:rPr>
          <w:t>Tatau Kura Tangata: Health of Older Māori Chart Book</w:t>
        </w:r>
      </w:hyperlink>
      <w:r w:rsidR="00907C8A">
        <w:rPr>
          <w:rStyle w:val="Hyperlink"/>
          <w:color w:val="auto"/>
        </w:rPr>
        <w:t xml:space="preserve"> 2011</w:t>
      </w:r>
      <w:r w:rsidR="00211132" w:rsidRPr="0014594F">
        <w:rPr>
          <w:color w:val="auto"/>
        </w:rPr>
        <w:t>,</w:t>
      </w:r>
      <w:r w:rsidR="00211132" w:rsidRPr="0014594F">
        <w:rPr>
          <w:color w:val="auto"/>
          <w:sz w:val="19"/>
          <w:szCs w:val="19"/>
        </w:rPr>
        <w:t xml:space="preserve"> </w:t>
      </w:r>
      <w:r w:rsidR="00211132">
        <w:t>NMDS 2006-2008</w:t>
      </w:r>
    </w:p>
    <w:p w:rsidR="00907C8A" w:rsidRDefault="00907C8A" w:rsidP="00C54A8A">
      <w:pPr>
        <w:jc w:val="both"/>
      </w:pPr>
      <w:bookmarkStart w:id="37" w:name="_Ref366819701"/>
    </w:p>
    <w:p w:rsidR="00B77198" w:rsidRDefault="00B77198" w:rsidP="00C54A8A">
      <w:pPr>
        <w:pStyle w:val="Caption"/>
        <w:keepNext/>
        <w:jc w:val="both"/>
      </w:pPr>
      <w:r>
        <w:t xml:space="preserve">Table </w:t>
      </w:r>
      <w:r>
        <w:fldChar w:fldCharType="begin"/>
      </w:r>
      <w:r>
        <w:instrText xml:space="preserve"> SEQ Table \* ARABIC </w:instrText>
      </w:r>
      <w:r>
        <w:fldChar w:fldCharType="separate"/>
      </w:r>
      <w:r w:rsidR="000B70CE">
        <w:rPr>
          <w:noProof/>
        </w:rPr>
        <w:t>2</w:t>
      </w:r>
      <w:r>
        <w:rPr>
          <w:noProof/>
        </w:rPr>
        <w:fldChar w:fldCharType="end"/>
      </w:r>
      <w:bookmarkEnd w:id="37"/>
      <w:r>
        <w:t xml:space="preserve">: </w:t>
      </w:r>
      <w:r w:rsidR="00907C8A">
        <w:t xml:space="preserve">Age-standardised </w:t>
      </w:r>
      <w:r w:rsidRPr="00B5649B">
        <w:t xml:space="preserve">COPD </w:t>
      </w:r>
      <w:r w:rsidR="005F5245">
        <w:t>h</w:t>
      </w:r>
      <w:r w:rsidRPr="00B5649B">
        <w:t xml:space="preserve">ospitalisation </w:t>
      </w:r>
      <w:r w:rsidR="005F5245">
        <w:t>r</w:t>
      </w:r>
      <w:r w:rsidRPr="00B5649B">
        <w:t xml:space="preserve">ates per 100,000 Adults </w:t>
      </w:r>
      <w:r w:rsidR="005F5245">
        <w:t>a</w:t>
      </w:r>
      <w:r w:rsidRPr="00B5649B">
        <w:t xml:space="preserve">ged over 50 </w:t>
      </w:r>
      <w:r w:rsidR="005F5245">
        <w:t>y</w:t>
      </w:r>
      <w:r w:rsidRPr="00B5649B">
        <w:t xml:space="preserve">ears by </w:t>
      </w:r>
      <w:r w:rsidR="005F5245">
        <w:t>a</w:t>
      </w:r>
      <w:r w:rsidRPr="00B5649B">
        <w:t xml:space="preserve">ge, </w:t>
      </w:r>
      <w:r w:rsidR="005F5245">
        <w:t>g</w:t>
      </w:r>
      <w:r w:rsidRPr="00B5649B">
        <w:t xml:space="preserve">ender and </w:t>
      </w:r>
      <w:r w:rsidR="005F5245">
        <w:t>e</w:t>
      </w:r>
      <w:r w:rsidRPr="00B5649B">
        <w:t>thnicity</w:t>
      </w:r>
    </w:p>
    <w:tbl>
      <w:tblPr>
        <w:tblStyle w:val="MediumGrid1-Accent3"/>
        <w:tblW w:w="4959" w:type="pct"/>
        <w:tblLook w:val="04A0" w:firstRow="1" w:lastRow="0" w:firstColumn="1" w:lastColumn="0" w:noHBand="0" w:noVBand="1"/>
        <w:tblDescription w:val="Table 20: Chronic obstructive pulmonary disease (COPD) indicators, Māori and non-Māori, by gender"/>
      </w:tblPr>
      <w:tblGrid>
        <w:gridCol w:w="1161"/>
        <w:gridCol w:w="1118"/>
        <w:gridCol w:w="1272"/>
        <w:gridCol w:w="1161"/>
        <w:gridCol w:w="1272"/>
        <w:gridCol w:w="1118"/>
        <w:gridCol w:w="1272"/>
        <w:gridCol w:w="1118"/>
      </w:tblGrid>
      <w:tr w:rsidR="00B77198" w:rsidRPr="0036722C" w:rsidTr="00B77198">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rsidR="00B77198" w:rsidRPr="003F3D7C" w:rsidRDefault="00B77198" w:rsidP="00C54A8A">
            <w:pPr>
              <w:spacing w:after="0" w:line="240" w:lineRule="auto"/>
              <w:jc w:val="both"/>
              <w:rPr>
                <w:rFonts w:cs="Arial"/>
                <w:bCs w:val="0"/>
                <w:color w:val="002639"/>
                <w:sz w:val="20"/>
                <w:szCs w:val="20"/>
                <w:lang w:eastAsia="en-NZ"/>
              </w:rPr>
            </w:pPr>
            <w:r>
              <w:rPr>
                <w:rFonts w:cs="Arial"/>
                <w:bCs w:val="0"/>
                <w:color w:val="002639"/>
                <w:sz w:val="20"/>
                <w:szCs w:val="20"/>
                <w:lang w:eastAsia="en-NZ"/>
              </w:rPr>
              <w:t>Males</w:t>
            </w:r>
          </w:p>
        </w:tc>
        <w:tc>
          <w:tcPr>
            <w:tcW w:w="0" w:type="auto"/>
            <w:gridSpan w:val="4"/>
            <w:vAlign w:val="center"/>
          </w:tcPr>
          <w:p w:rsidR="00B77198" w:rsidRPr="003F3D7C" w:rsidRDefault="00B77198"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bCs w:val="0"/>
                <w:color w:val="002639"/>
                <w:sz w:val="20"/>
                <w:szCs w:val="20"/>
                <w:lang w:eastAsia="en-NZ"/>
              </w:rPr>
            </w:pPr>
            <w:r>
              <w:rPr>
                <w:rFonts w:cs="Arial"/>
                <w:bCs w:val="0"/>
                <w:color w:val="002639"/>
                <w:sz w:val="20"/>
                <w:szCs w:val="20"/>
                <w:lang w:eastAsia="en-NZ"/>
              </w:rPr>
              <w:t>Females</w:t>
            </w:r>
          </w:p>
        </w:tc>
      </w:tr>
      <w:tr w:rsidR="00B77198" w:rsidRPr="0036722C" w:rsidTr="00B7719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gridSpan w:val="2"/>
            <w:vAlign w:val="center"/>
            <w:hideMark/>
          </w:tcPr>
          <w:p w:rsidR="00B77198" w:rsidRPr="003F3D7C" w:rsidRDefault="00B77198" w:rsidP="00C54A8A">
            <w:pPr>
              <w:spacing w:after="0" w:line="240" w:lineRule="auto"/>
              <w:jc w:val="both"/>
              <w:rPr>
                <w:rFonts w:cs="Arial"/>
                <w:b w:val="0"/>
                <w:bCs w:val="0"/>
                <w:color w:val="002639"/>
                <w:sz w:val="20"/>
                <w:szCs w:val="20"/>
                <w:lang w:eastAsia="en-NZ"/>
              </w:rPr>
            </w:pPr>
            <w:r w:rsidRPr="003F3D7C">
              <w:rPr>
                <w:rFonts w:cs="Arial"/>
                <w:b w:val="0"/>
                <w:bCs w:val="0"/>
                <w:color w:val="002639"/>
                <w:sz w:val="20"/>
                <w:szCs w:val="20"/>
                <w:lang w:eastAsia="en-NZ"/>
              </w:rPr>
              <w:t>50–64 years</w:t>
            </w:r>
          </w:p>
        </w:tc>
        <w:tc>
          <w:tcPr>
            <w:tcW w:w="0" w:type="auto"/>
            <w:gridSpan w:val="2"/>
            <w:vAlign w:val="center"/>
            <w:hideMark/>
          </w:tcPr>
          <w:p w:rsidR="00B77198" w:rsidRPr="003F3D7C" w:rsidRDefault="00B77198"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65+ years</w:t>
            </w:r>
          </w:p>
        </w:tc>
        <w:tc>
          <w:tcPr>
            <w:tcW w:w="0" w:type="auto"/>
            <w:gridSpan w:val="2"/>
            <w:vAlign w:val="center"/>
            <w:hideMark/>
          </w:tcPr>
          <w:p w:rsidR="00B77198" w:rsidRPr="003F3D7C" w:rsidRDefault="00B77198"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50–64 years</w:t>
            </w:r>
          </w:p>
        </w:tc>
        <w:tc>
          <w:tcPr>
            <w:tcW w:w="0" w:type="auto"/>
            <w:gridSpan w:val="2"/>
            <w:vAlign w:val="center"/>
            <w:hideMark/>
          </w:tcPr>
          <w:p w:rsidR="00B77198" w:rsidRPr="003F3D7C" w:rsidRDefault="00B77198"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65+ years</w:t>
            </w:r>
          </w:p>
        </w:tc>
      </w:tr>
      <w:tr w:rsidR="00B77198" w:rsidRPr="0036722C" w:rsidTr="00B77198">
        <w:trPr>
          <w:trHeight w:val="29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77198" w:rsidRPr="003F3D7C" w:rsidRDefault="00B77198" w:rsidP="00C54A8A">
            <w:pPr>
              <w:spacing w:after="0" w:line="240" w:lineRule="auto"/>
              <w:jc w:val="both"/>
              <w:rPr>
                <w:rFonts w:cs="Arial"/>
                <w:b w:val="0"/>
                <w:bCs w:val="0"/>
                <w:color w:val="002639"/>
                <w:sz w:val="20"/>
                <w:szCs w:val="20"/>
                <w:lang w:eastAsia="en-NZ"/>
              </w:rPr>
            </w:pPr>
            <w:r w:rsidRPr="003F3D7C">
              <w:rPr>
                <w:rFonts w:cs="Arial"/>
                <w:b w:val="0"/>
                <w:bCs w:val="0"/>
                <w:color w:val="002639"/>
                <w:sz w:val="20"/>
                <w:szCs w:val="20"/>
                <w:lang w:eastAsia="en-NZ"/>
              </w:rPr>
              <w:t>Māori</w:t>
            </w:r>
          </w:p>
        </w:tc>
        <w:tc>
          <w:tcPr>
            <w:tcW w:w="0" w:type="auto"/>
            <w:vAlign w:val="center"/>
            <w:hideMark/>
          </w:tcPr>
          <w:p w:rsidR="00B77198" w:rsidRPr="003F3D7C" w:rsidRDefault="00B77198"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non-Māori</w:t>
            </w:r>
          </w:p>
        </w:tc>
        <w:tc>
          <w:tcPr>
            <w:tcW w:w="0" w:type="auto"/>
            <w:vAlign w:val="center"/>
            <w:hideMark/>
          </w:tcPr>
          <w:p w:rsidR="00B77198" w:rsidRPr="003F3D7C" w:rsidRDefault="00B77198"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Māori</w:t>
            </w:r>
          </w:p>
        </w:tc>
        <w:tc>
          <w:tcPr>
            <w:tcW w:w="0" w:type="auto"/>
            <w:vAlign w:val="center"/>
            <w:hideMark/>
          </w:tcPr>
          <w:p w:rsidR="00B77198" w:rsidRPr="003F3D7C" w:rsidRDefault="00B77198"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non-Māori</w:t>
            </w:r>
          </w:p>
        </w:tc>
        <w:tc>
          <w:tcPr>
            <w:tcW w:w="0" w:type="auto"/>
            <w:vAlign w:val="center"/>
            <w:hideMark/>
          </w:tcPr>
          <w:p w:rsidR="00B77198" w:rsidRPr="003F3D7C" w:rsidRDefault="00B77198"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Māori</w:t>
            </w:r>
          </w:p>
        </w:tc>
        <w:tc>
          <w:tcPr>
            <w:tcW w:w="0" w:type="auto"/>
            <w:vAlign w:val="center"/>
            <w:hideMark/>
          </w:tcPr>
          <w:p w:rsidR="00B77198" w:rsidRPr="003F3D7C" w:rsidRDefault="00B77198"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non-Māori</w:t>
            </w:r>
          </w:p>
        </w:tc>
        <w:tc>
          <w:tcPr>
            <w:tcW w:w="0" w:type="auto"/>
            <w:vAlign w:val="center"/>
            <w:hideMark/>
          </w:tcPr>
          <w:p w:rsidR="00B77198" w:rsidRPr="003F3D7C" w:rsidRDefault="00B77198"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Māori</w:t>
            </w:r>
          </w:p>
        </w:tc>
        <w:tc>
          <w:tcPr>
            <w:tcW w:w="0" w:type="auto"/>
            <w:vAlign w:val="center"/>
            <w:hideMark/>
          </w:tcPr>
          <w:p w:rsidR="00B77198" w:rsidRPr="003F3D7C" w:rsidRDefault="00B77198"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non-Māori</w:t>
            </w:r>
          </w:p>
        </w:tc>
      </w:tr>
      <w:tr w:rsidR="00B77198" w:rsidRPr="0036722C" w:rsidTr="00B77198">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77198" w:rsidRPr="003F3D7C" w:rsidRDefault="00B77198" w:rsidP="00C54A8A">
            <w:pPr>
              <w:spacing w:after="0" w:line="240" w:lineRule="auto"/>
              <w:jc w:val="both"/>
              <w:rPr>
                <w:rFonts w:cs="Arial"/>
                <w:b w:val="0"/>
                <w:bCs w:val="0"/>
                <w:color w:val="002639"/>
                <w:sz w:val="20"/>
                <w:szCs w:val="20"/>
                <w:lang w:eastAsia="en-NZ"/>
              </w:rPr>
            </w:pPr>
            <w:r w:rsidRPr="003F3D7C">
              <w:rPr>
                <w:rFonts w:cs="Arial"/>
                <w:b w:val="0"/>
                <w:bCs w:val="0"/>
                <w:color w:val="002639"/>
                <w:sz w:val="20"/>
                <w:szCs w:val="20"/>
                <w:lang w:eastAsia="en-NZ"/>
              </w:rPr>
              <w:t>991.8</w:t>
            </w:r>
            <w:r w:rsidRPr="003F3D7C">
              <w:rPr>
                <w:rFonts w:cs="Arial"/>
                <w:b w:val="0"/>
                <w:bCs w:val="0"/>
                <w:color w:val="002639"/>
                <w:sz w:val="20"/>
                <w:szCs w:val="20"/>
                <w:lang w:eastAsia="en-NZ"/>
              </w:rPr>
              <w:br/>
              <w:t>(916.7–1073.0)</w:t>
            </w:r>
          </w:p>
        </w:tc>
        <w:tc>
          <w:tcPr>
            <w:tcW w:w="0" w:type="auto"/>
            <w:vAlign w:val="center"/>
            <w:hideMark/>
          </w:tcPr>
          <w:p w:rsidR="00B77198" w:rsidRPr="003F3D7C" w:rsidRDefault="00B77198"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201.6</w:t>
            </w:r>
            <w:r w:rsidRPr="003F3D7C">
              <w:rPr>
                <w:rFonts w:cs="Arial"/>
                <w:bCs/>
                <w:color w:val="002639"/>
                <w:sz w:val="20"/>
                <w:szCs w:val="20"/>
                <w:lang w:eastAsia="en-NZ"/>
              </w:rPr>
              <w:br/>
              <w:t>(190.0–213.8)</w:t>
            </w:r>
          </w:p>
        </w:tc>
        <w:tc>
          <w:tcPr>
            <w:tcW w:w="0" w:type="auto"/>
            <w:vAlign w:val="center"/>
            <w:hideMark/>
          </w:tcPr>
          <w:p w:rsidR="00B77198" w:rsidRPr="003F3D7C" w:rsidRDefault="00B77198"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3333.9</w:t>
            </w:r>
            <w:r w:rsidRPr="003F3D7C">
              <w:rPr>
                <w:rFonts w:cs="Arial"/>
                <w:bCs/>
                <w:color w:val="002639"/>
                <w:sz w:val="20"/>
                <w:szCs w:val="20"/>
                <w:lang w:eastAsia="en-NZ"/>
              </w:rPr>
              <w:br/>
              <w:t>(3074.4–3615.4)</w:t>
            </w:r>
          </w:p>
        </w:tc>
        <w:tc>
          <w:tcPr>
            <w:tcW w:w="0" w:type="auto"/>
            <w:vAlign w:val="center"/>
            <w:hideMark/>
          </w:tcPr>
          <w:p w:rsidR="00B77198" w:rsidRPr="003F3D7C" w:rsidRDefault="00B77198"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1010.1</w:t>
            </w:r>
            <w:r w:rsidRPr="003F3D7C">
              <w:rPr>
                <w:rFonts w:cs="Arial"/>
                <w:bCs/>
                <w:color w:val="002639"/>
                <w:sz w:val="20"/>
                <w:szCs w:val="20"/>
                <w:lang w:eastAsia="en-NZ"/>
              </w:rPr>
              <w:br/>
              <w:t>(969.4–1052.5)</w:t>
            </w:r>
          </w:p>
        </w:tc>
        <w:tc>
          <w:tcPr>
            <w:tcW w:w="0" w:type="auto"/>
            <w:vAlign w:val="center"/>
            <w:hideMark/>
          </w:tcPr>
          <w:p w:rsidR="00B77198" w:rsidRPr="003F3D7C" w:rsidRDefault="00B77198"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1560.6</w:t>
            </w:r>
            <w:r w:rsidRPr="003F3D7C">
              <w:rPr>
                <w:rFonts w:cs="Arial"/>
                <w:bCs/>
                <w:color w:val="002639"/>
                <w:sz w:val="20"/>
                <w:szCs w:val="20"/>
                <w:lang w:eastAsia="en-NZ"/>
              </w:rPr>
              <w:br/>
              <w:t>(1466.6–1660.7)</w:t>
            </w:r>
          </w:p>
        </w:tc>
        <w:tc>
          <w:tcPr>
            <w:tcW w:w="0" w:type="auto"/>
            <w:vAlign w:val="center"/>
            <w:hideMark/>
          </w:tcPr>
          <w:p w:rsidR="00B77198" w:rsidRPr="003F3D7C" w:rsidRDefault="00B77198"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232.3</w:t>
            </w:r>
            <w:r w:rsidRPr="003F3D7C">
              <w:rPr>
                <w:rFonts w:cs="Arial"/>
                <w:bCs/>
                <w:color w:val="002639"/>
                <w:sz w:val="20"/>
                <w:szCs w:val="20"/>
                <w:lang w:eastAsia="en-NZ"/>
              </w:rPr>
              <w:br/>
              <w:t>(218.5–246.9)</w:t>
            </w:r>
          </w:p>
        </w:tc>
        <w:tc>
          <w:tcPr>
            <w:tcW w:w="0" w:type="auto"/>
            <w:vAlign w:val="center"/>
            <w:hideMark/>
          </w:tcPr>
          <w:p w:rsidR="00B77198" w:rsidRPr="003F3D7C" w:rsidRDefault="00B77198"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3823.0</w:t>
            </w:r>
            <w:r w:rsidRPr="003F3D7C">
              <w:rPr>
                <w:rFonts w:cs="Arial"/>
                <w:bCs/>
                <w:color w:val="002639"/>
                <w:sz w:val="20"/>
                <w:szCs w:val="20"/>
                <w:lang w:eastAsia="en-NZ"/>
              </w:rPr>
              <w:br/>
              <w:t>(3542.6–4125.6)</w:t>
            </w:r>
          </w:p>
        </w:tc>
        <w:tc>
          <w:tcPr>
            <w:tcW w:w="0" w:type="auto"/>
            <w:vAlign w:val="center"/>
            <w:hideMark/>
          </w:tcPr>
          <w:p w:rsidR="00B77198" w:rsidRPr="003F3D7C" w:rsidRDefault="00B77198"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Cs/>
                <w:color w:val="002639"/>
                <w:sz w:val="20"/>
                <w:szCs w:val="20"/>
                <w:lang w:eastAsia="en-NZ"/>
              </w:rPr>
            </w:pPr>
            <w:r w:rsidRPr="003F3D7C">
              <w:rPr>
                <w:rFonts w:cs="Arial"/>
                <w:bCs/>
                <w:color w:val="002639"/>
                <w:sz w:val="20"/>
                <w:szCs w:val="20"/>
                <w:lang w:eastAsia="en-NZ"/>
              </w:rPr>
              <w:t>803.2</w:t>
            </w:r>
            <w:r w:rsidRPr="003F3D7C">
              <w:rPr>
                <w:rFonts w:cs="Arial"/>
                <w:bCs/>
                <w:color w:val="002639"/>
                <w:sz w:val="20"/>
                <w:szCs w:val="20"/>
                <w:lang w:eastAsia="en-NZ"/>
              </w:rPr>
              <w:br/>
              <w:t>(764.2–844.2)</w:t>
            </w:r>
          </w:p>
        </w:tc>
      </w:tr>
    </w:tbl>
    <w:p w:rsidR="00B77198" w:rsidRPr="004B4041" w:rsidRDefault="00B77198" w:rsidP="00C54A8A">
      <w:pPr>
        <w:pStyle w:val="SourceCaption"/>
        <w:jc w:val="both"/>
        <w:rPr>
          <w:b/>
        </w:rPr>
      </w:pPr>
      <w:r w:rsidRPr="004B4041">
        <w:t>Source:</w:t>
      </w:r>
      <w:r>
        <w:t xml:space="preserve"> </w:t>
      </w:r>
      <w:hyperlink r:id="rId14" w:history="1">
        <w:r w:rsidR="00211132" w:rsidRPr="0014594F">
          <w:rPr>
            <w:rStyle w:val="Hyperlink"/>
            <w:color w:val="auto"/>
          </w:rPr>
          <w:t>Tatau Kura Tangata: Health of Older Māori Chart Book</w:t>
        </w:r>
      </w:hyperlink>
      <w:r w:rsidR="00907C8A">
        <w:rPr>
          <w:rStyle w:val="Hyperlink"/>
          <w:color w:val="auto"/>
        </w:rPr>
        <w:t xml:space="preserve"> 2011</w:t>
      </w:r>
      <w:r w:rsidR="00211132" w:rsidRPr="0014594F">
        <w:rPr>
          <w:color w:val="auto"/>
        </w:rPr>
        <w:t>,</w:t>
      </w:r>
      <w:r w:rsidR="00211132" w:rsidRPr="0014594F">
        <w:rPr>
          <w:color w:val="auto"/>
          <w:sz w:val="19"/>
          <w:szCs w:val="19"/>
        </w:rPr>
        <w:t xml:space="preserve"> </w:t>
      </w:r>
      <w:r w:rsidR="00211132">
        <w:t>NMDS 2006-2008</w:t>
      </w:r>
    </w:p>
    <w:p w:rsidR="00907C8A" w:rsidRDefault="00907C8A" w:rsidP="00C54A8A">
      <w:pPr>
        <w:autoSpaceDE w:val="0"/>
        <w:autoSpaceDN w:val="0"/>
        <w:adjustRightInd w:val="0"/>
        <w:spacing w:after="120"/>
        <w:jc w:val="both"/>
        <w:rPr>
          <w:rFonts w:cs="Arial"/>
          <w:color w:val="292526"/>
        </w:rPr>
      </w:pPr>
    </w:p>
    <w:p w:rsidR="00907C8A" w:rsidRDefault="0059413C" w:rsidP="00C54A8A">
      <w:pPr>
        <w:autoSpaceDE w:val="0"/>
        <w:autoSpaceDN w:val="0"/>
        <w:adjustRightInd w:val="0"/>
        <w:spacing w:after="120"/>
        <w:jc w:val="both"/>
        <w:rPr>
          <w:rFonts w:cs="Arial"/>
          <w:color w:val="292526"/>
        </w:rPr>
      </w:pPr>
      <w:r>
        <w:rPr>
          <w:rFonts w:cs="Arial"/>
          <w:color w:val="292526"/>
        </w:rPr>
        <w:t>H</w:t>
      </w:r>
      <w:r w:rsidR="00B77198" w:rsidRPr="000B2A53">
        <w:rPr>
          <w:rFonts w:cs="Arial"/>
          <w:color w:val="292526"/>
        </w:rPr>
        <w:t>ospitalisations are more common in both women and Mā</w:t>
      </w:r>
      <w:r w:rsidR="00B77198">
        <w:rPr>
          <w:rFonts w:cs="Arial"/>
          <w:color w:val="292526"/>
        </w:rPr>
        <w:t>ori (with the exception of non-</w:t>
      </w:r>
      <w:r w:rsidR="00B77198" w:rsidRPr="000B2A53">
        <w:rPr>
          <w:rFonts w:cs="Arial"/>
          <w:color w:val="292526"/>
        </w:rPr>
        <w:t>Māori women aged over 65 years)</w:t>
      </w:r>
      <w:r w:rsidR="00211132">
        <w:rPr>
          <w:rFonts w:cs="Arial"/>
          <w:color w:val="292526"/>
        </w:rPr>
        <w:t>,</w:t>
      </w:r>
      <w:r w:rsidR="00B77198" w:rsidRPr="000B2A53">
        <w:rPr>
          <w:rFonts w:cs="Arial"/>
          <w:color w:val="292526"/>
        </w:rPr>
        <w:t xml:space="preserve"> a reflection of the prevalence burden.  </w:t>
      </w:r>
    </w:p>
    <w:p w:rsidR="00B77198" w:rsidRPr="000B2A53" w:rsidRDefault="00B77198" w:rsidP="00C54A8A">
      <w:pPr>
        <w:autoSpaceDE w:val="0"/>
        <w:autoSpaceDN w:val="0"/>
        <w:adjustRightInd w:val="0"/>
        <w:spacing w:after="120"/>
        <w:jc w:val="both"/>
        <w:rPr>
          <w:rFonts w:cs="Arial"/>
          <w:color w:val="292526"/>
        </w:rPr>
      </w:pPr>
      <w:r w:rsidRPr="000B2A53">
        <w:rPr>
          <w:rFonts w:cs="Arial"/>
          <w:color w:val="292526"/>
        </w:rPr>
        <w:t>In terms of ambulatory sensitive</w:t>
      </w:r>
      <w:r w:rsidR="00D44DDA">
        <w:rPr>
          <w:rFonts w:cs="Arial"/>
          <w:color w:val="292526"/>
        </w:rPr>
        <w:t xml:space="preserve"> </w:t>
      </w:r>
      <w:r w:rsidR="00D44DDA" w:rsidRPr="000B2A53">
        <w:rPr>
          <w:rFonts w:cs="Arial"/>
          <w:color w:val="292526"/>
        </w:rPr>
        <w:t>(avoidable)</w:t>
      </w:r>
      <w:r w:rsidRPr="000B2A53">
        <w:rPr>
          <w:rFonts w:cs="Arial"/>
          <w:color w:val="292526"/>
        </w:rPr>
        <w:t xml:space="preserve"> hospitalisations, COPD ranks among the top 20 causes accounting for about 10% of avoidabl</w:t>
      </w:r>
      <w:r w:rsidR="00211132">
        <w:rPr>
          <w:rFonts w:cs="Arial"/>
          <w:color w:val="292526"/>
        </w:rPr>
        <w:t>e hospitalisations in Australia</w:t>
      </w:r>
      <w:r w:rsidRPr="000B2A53">
        <w:rPr>
          <w:rFonts w:cs="Arial"/>
          <w:color w:val="292526"/>
        </w:rPr>
        <w:fldChar w:fldCharType="begin"/>
      </w:r>
      <w:r w:rsidR="00CA3202">
        <w:rPr>
          <w:rFonts w:cs="Arial"/>
          <w:color w:val="292526"/>
        </w:rPr>
        <w:instrText xml:space="preserve"> ADDIN EN.CITE &lt;EndNote&gt;&lt;Cite&gt;&lt;Author&gt;Page&lt;/Author&gt;&lt;Year&gt;2007&lt;/Year&gt;&lt;RecNum&gt;704&lt;/RecNum&gt;&lt;DisplayText&gt;&lt;style face="superscript"&gt;(7)&lt;/style&gt;&lt;/DisplayText&gt;&lt;record&gt;&lt;rec-number&gt;704&lt;/rec-number&gt;&lt;foreign-keys&gt;&lt;key app="EN" db-id="paxef0v91tx5e7eaev8xxf2xd92zvrfrv592"&gt;704&lt;/key&gt;&lt;/foreign-keys&gt;&lt;ref-type name="Book"&gt;6&lt;/ref-type&gt;&lt;contributors&gt;&lt;authors&gt;&lt;author&gt;Page, Anthea&lt;/author&gt;&lt;author&gt;Ambrose, Sarah Jane&lt;/author&gt;&lt;author&gt;Glover, John Donald&lt;/author&gt;&lt;author&gt;Hetzel, Diana&lt;/author&gt;&lt;/authors&gt;&lt;/contributors&gt;&lt;titles&gt;&lt;title&gt;Atlas of Avoidable Hospitalisations in Australia: ambulatory care-sensitive conditions&lt;/title&gt;&lt;/titles&gt;&lt;dates&gt;&lt;year&gt;2007&lt;/year&gt;&lt;/dates&gt;&lt;publisher&gt;Commonwealth of Australia&lt;/publisher&gt;&lt;isbn&gt;0730895882&lt;/isbn&gt;&lt;urls&gt;&lt;/urls&gt;&lt;/record&gt;&lt;/Cite&gt;&lt;/EndNote&gt;</w:instrText>
      </w:r>
      <w:r w:rsidRPr="000B2A53">
        <w:rPr>
          <w:rFonts w:cs="Arial"/>
          <w:color w:val="292526"/>
        </w:rPr>
        <w:fldChar w:fldCharType="separate"/>
      </w:r>
      <w:r w:rsidR="00551E6B" w:rsidRPr="00551E6B">
        <w:rPr>
          <w:rFonts w:cs="Arial"/>
          <w:noProof/>
          <w:color w:val="292526"/>
          <w:vertAlign w:val="superscript"/>
        </w:rPr>
        <w:t>(</w:t>
      </w:r>
      <w:hyperlink w:anchor="_ENREF_7" w:tooltip="Page, 2007 #704" w:history="1">
        <w:r w:rsidR="0029347A" w:rsidRPr="00551E6B">
          <w:rPr>
            <w:rFonts w:cs="Arial"/>
            <w:noProof/>
            <w:color w:val="292526"/>
            <w:vertAlign w:val="superscript"/>
          </w:rPr>
          <w:t>7</w:t>
        </w:r>
      </w:hyperlink>
      <w:r w:rsidR="00551E6B" w:rsidRPr="00551E6B">
        <w:rPr>
          <w:rFonts w:cs="Arial"/>
          <w:noProof/>
          <w:color w:val="292526"/>
          <w:vertAlign w:val="superscript"/>
        </w:rPr>
        <w:t>)</w:t>
      </w:r>
      <w:r w:rsidRPr="000B2A53">
        <w:rPr>
          <w:rFonts w:cs="Arial"/>
          <w:color w:val="292526"/>
        </w:rPr>
        <w:fldChar w:fldCharType="end"/>
      </w:r>
      <w:r w:rsidRPr="000B2A53">
        <w:rPr>
          <w:rFonts w:cs="Arial"/>
          <w:color w:val="292526"/>
        </w:rPr>
        <w:t xml:space="preserve">.  </w:t>
      </w:r>
      <w:r w:rsidR="0059413C">
        <w:rPr>
          <w:rFonts w:cs="Arial"/>
          <w:color w:val="292526"/>
        </w:rPr>
        <w:t>In one report, COPD accounted</w:t>
      </w:r>
      <w:r w:rsidRPr="000B2A53">
        <w:rPr>
          <w:rFonts w:cs="Arial"/>
          <w:color w:val="292526"/>
        </w:rPr>
        <w:t xml:space="preserve"> for 95% of a</w:t>
      </w:r>
      <w:r w:rsidR="00211132">
        <w:rPr>
          <w:rFonts w:cs="Arial"/>
          <w:color w:val="292526"/>
        </w:rPr>
        <w:t>ll avoidable respiratory deaths</w:t>
      </w:r>
      <w:r w:rsidRPr="000B2A53">
        <w:rPr>
          <w:rFonts w:cs="Arial"/>
          <w:color w:val="292526"/>
        </w:rPr>
        <w:fldChar w:fldCharType="begin"/>
      </w:r>
      <w:r w:rsidR="00551E6B">
        <w:rPr>
          <w:rFonts w:cs="Arial"/>
          <w:color w:val="292526"/>
        </w:rPr>
        <w:instrText xml:space="preserve"> ADDIN EN.CITE &lt;EndNote&gt;&lt;Cite&gt;&lt;Author&gt;Technical Advisory Services Limited&lt;/Author&gt;&lt;Year&gt;2008&lt;/Year&gt;&lt;RecNum&gt;705&lt;/RecNum&gt;&lt;DisplayText&gt;&lt;style face="superscript"&gt;(8)&lt;/style&gt;&lt;/DisplayText&gt;&lt;record&gt;&lt;rec-number&gt;705&lt;/rec-number&gt;&lt;foreign-keys&gt;&lt;key app="EN" db-id="paxef0v91tx5e7eaev8xxf2xd92zvrfrv592"&gt;705&lt;/key&gt;&lt;/foreign-keys&gt;&lt;ref-type name="Report"&gt;27&lt;/ref-type&gt;&lt;contributors&gt;&lt;authors&gt;&lt;author&gt;Technical Advisory Services Limited,&lt;/author&gt;&lt;/authors&gt;&lt;/contributors&gt;&lt;titles&gt;&lt;title&gt;Health Needs Assessment for the Central Region&amp;apos;s District Health Boards&lt;/title&gt;&lt;/titles&gt;&lt;dates&gt;&lt;year&gt;2008&lt;/year&gt;&lt;/dates&gt;&lt;publisher&gt;Central Region&amp;apos;s Technical Advisory Services Limited&lt;/publisher&gt;&lt;urls&gt;&lt;/urls&gt;&lt;/record&gt;&lt;/Cite&gt;&lt;/EndNote&gt;</w:instrText>
      </w:r>
      <w:r w:rsidRPr="000B2A53">
        <w:rPr>
          <w:rFonts w:cs="Arial"/>
          <w:color w:val="292526"/>
        </w:rPr>
        <w:fldChar w:fldCharType="separate"/>
      </w:r>
      <w:r w:rsidR="00551E6B" w:rsidRPr="00551E6B">
        <w:rPr>
          <w:rFonts w:cs="Arial"/>
          <w:noProof/>
          <w:color w:val="292526"/>
          <w:vertAlign w:val="superscript"/>
        </w:rPr>
        <w:t>(</w:t>
      </w:r>
      <w:hyperlink w:anchor="_ENREF_8" w:tooltip="Technical Advisory Services Limited, 2008 #705" w:history="1">
        <w:r w:rsidR="0029347A" w:rsidRPr="00551E6B">
          <w:rPr>
            <w:rFonts w:cs="Arial"/>
            <w:noProof/>
            <w:color w:val="292526"/>
            <w:vertAlign w:val="superscript"/>
          </w:rPr>
          <w:t>8</w:t>
        </w:r>
      </w:hyperlink>
      <w:r w:rsidR="00551E6B" w:rsidRPr="00551E6B">
        <w:rPr>
          <w:rFonts w:cs="Arial"/>
          <w:noProof/>
          <w:color w:val="292526"/>
          <w:vertAlign w:val="superscript"/>
        </w:rPr>
        <w:t>)</w:t>
      </w:r>
      <w:r w:rsidRPr="000B2A53">
        <w:rPr>
          <w:rFonts w:cs="Arial"/>
          <w:color w:val="292526"/>
        </w:rPr>
        <w:fldChar w:fldCharType="end"/>
      </w:r>
      <w:r w:rsidRPr="000B2A53">
        <w:rPr>
          <w:rFonts w:cs="Arial"/>
          <w:color w:val="292526"/>
        </w:rPr>
        <w:t>; however, the disease classification in the cited report did not include lung cancer which is a significant cause of avoidable mortality</w:t>
      </w:r>
      <w:r>
        <w:rPr>
          <w:rFonts w:cs="Arial"/>
          <w:color w:val="292526"/>
        </w:rPr>
        <w:fldChar w:fldCharType="begin"/>
      </w:r>
      <w:r w:rsidR="00551E6B">
        <w:rPr>
          <w:rFonts w:cs="Arial"/>
          <w:color w:val="292526"/>
        </w:rPr>
        <w:instrText xml:space="preserve"> ADDIN EN.CITE &lt;EndNote&gt;&lt;Cite&gt;&lt;Author&gt;Page&lt;/Author&gt;&lt;Year&gt;2006&lt;/Year&gt;&lt;RecNum&gt;745&lt;/RecNum&gt;&lt;DisplayText&gt;&lt;style face="superscript"&gt;(9)&lt;/style&gt;&lt;/DisplayText&gt;&lt;record&gt;&lt;rec-number&gt;745&lt;/rec-number&gt;&lt;foreign-keys&gt;&lt;key app="EN" db-id="22d09ravozpff5ea9zs509ewttsdavsvwr25"&gt;745&lt;/key&gt;&lt;/foreign-keys&gt;&lt;ref-type name="Book"&gt;6&lt;/ref-type&gt;&lt;contributors&gt;&lt;authors&gt;&lt;author&gt;Page, Anthea&lt;/author&gt;&lt;author&gt;Tobias, Martin&lt;/author&gt;&lt;author&gt;Glover, John&lt;/author&gt;&lt;author&gt;Wright, Craig&lt;/author&gt;&lt;author&gt;Hetzel, Diana&lt;/author&gt;&lt;author&gt;Fisher, Elizabeth&lt;/author&gt;&lt;/authors&gt;&lt;/contributors&gt;&lt;titles&gt;&lt;title&gt;Australian and New Zealand Atlas of Avoidable Mortality&lt;/title&gt;&lt;/titles&gt;&lt;dates&gt;&lt;year&gt;2006&lt;/year&gt;&lt;/dates&gt;&lt;pub-location&gt;Adelaide&lt;/pub-location&gt;&lt;publisher&gt;PHIDU, University of Adelaide&lt;/publisher&gt;&lt;urls&gt;&lt;related-urls&gt;&lt;url&gt;http://www.publichealth.gov.au/publications/australian-and-new-zealand-atlas-of-avoidable-mortality.html&lt;/url&gt;&lt;/related-urls&gt;&lt;/urls&gt;&lt;/record&gt;&lt;/Cite&gt;&lt;/EndNote&gt;</w:instrText>
      </w:r>
      <w:r>
        <w:rPr>
          <w:rFonts w:cs="Arial"/>
          <w:color w:val="292526"/>
        </w:rPr>
        <w:fldChar w:fldCharType="separate"/>
      </w:r>
      <w:r w:rsidR="00551E6B" w:rsidRPr="00551E6B">
        <w:rPr>
          <w:rFonts w:cs="Arial"/>
          <w:noProof/>
          <w:color w:val="292526"/>
          <w:vertAlign w:val="superscript"/>
        </w:rPr>
        <w:t>(</w:t>
      </w:r>
      <w:hyperlink w:anchor="_ENREF_9" w:tooltip="Page, 2006 #745" w:history="1">
        <w:r w:rsidR="0029347A" w:rsidRPr="00551E6B">
          <w:rPr>
            <w:rFonts w:cs="Arial"/>
            <w:noProof/>
            <w:color w:val="292526"/>
            <w:vertAlign w:val="superscript"/>
          </w:rPr>
          <w:t>9</w:t>
        </w:r>
      </w:hyperlink>
      <w:r w:rsidR="00551E6B" w:rsidRPr="00551E6B">
        <w:rPr>
          <w:rFonts w:cs="Arial"/>
          <w:noProof/>
          <w:color w:val="292526"/>
          <w:vertAlign w:val="superscript"/>
        </w:rPr>
        <w:t>)</w:t>
      </w:r>
      <w:r>
        <w:rPr>
          <w:rFonts w:cs="Arial"/>
          <w:color w:val="292526"/>
        </w:rPr>
        <w:fldChar w:fldCharType="end"/>
      </w:r>
      <w:r w:rsidRPr="000B2A53">
        <w:rPr>
          <w:rFonts w:cs="Arial"/>
          <w:color w:val="292526"/>
        </w:rPr>
        <w:t xml:space="preserve">.  </w:t>
      </w:r>
      <w:r w:rsidR="00A0004C">
        <w:rPr>
          <w:rFonts w:cs="Arial"/>
          <w:color w:val="292526"/>
        </w:rPr>
        <w:t xml:space="preserve">Further, COPD is an independent risk factor for not only lung cancer but also ischaemic heart disease (IHD), cerebrovascular accidents (CVA) and pneumonia such that COPD patients often have co-morbidities which contribute to their functional status and survival.  </w:t>
      </w:r>
      <w:r w:rsidRPr="000B2A53">
        <w:rPr>
          <w:rFonts w:cs="Arial"/>
          <w:color w:val="292526"/>
        </w:rPr>
        <w:t xml:space="preserve">Internationally, New Zealand has the </w:t>
      </w:r>
      <w:r w:rsidR="00B301B1">
        <w:rPr>
          <w:rFonts w:cs="Arial"/>
          <w:color w:val="292526"/>
        </w:rPr>
        <w:t>third</w:t>
      </w:r>
      <w:r w:rsidRPr="000B2A53">
        <w:rPr>
          <w:rFonts w:cs="Arial"/>
          <w:color w:val="292526"/>
        </w:rPr>
        <w:t xml:space="preserve"> highest rate of avoidable hospitalisations due to COPD in the OECD (</w:t>
      </w:r>
      <w:r>
        <w:rPr>
          <w:rFonts w:cs="Arial"/>
          <w:color w:val="292526"/>
        </w:rPr>
        <w:fldChar w:fldCharType="begin"/>
      </w:r>
      <w:r>
        <w:rPr>
          <w:rFonts w:cs="Arial"/>
          <w:color w:val="292526"/>
        </w:rPr>
        <w:instrText xml:space="preserve"> REF _Ref366819770 \h </w:instrText>
      </w:r>
      <w:r w:rsidR="00C54A8A">
        <w:rPr>
          <w:rFonts w:cs="Arial"/>
          <w:color w:val="292526"/>
        </w:rPr>
        <w:instrText xml:space="preserve"> \* MERGEFORMAT </w:instrText>
      </w:r>
      <w:r>
        <w:rPr>
          <w:rFonts w:cs="Arial"/>
          <w:color w:val="292526"/>
        </w:rPr>
      </w:r>
      <w:r>
        <w:rPr>
          <w:rFonts w:cs="Arial"/>
          <w:color w:val="292526"/>
        </w:rPr>
        <w:fldChar w:fldCharType="separate"/>
      </w:r>
      <w:r w:rsidR="000B70CE">
        <w:t xml:space="preserve">Figure </w:t>
      </w:r>
      <w:r w:rsidR="000B70CE">
        <w:rPr>
          <w:noProof/>
        </w:rPr>
        <w:t>2</w:t>
      </w:r>
      <w:r>
        <w:rPr>
          <w:rFonts w:cs="Arial"/>
          <w:color w:val="292526"/>
        </w:rPr>
        <w:fldChar w:fldCharType="end"/>
      </w:r>
      <w:r w:rsidR="00211132">
        <w:rPr>
          <w:rFonts w:cs="Arial"/>
          <w:color w:val="292526"/>
        </w:rPr>
        <w:t>)</w:t>
      </w:r>
      <w:r w:rsidRPr="000B2A53">
        <w:rPr>
          <w:rFonts w:cs="Arial"/>
          <w:color w:val="292526"/>
        </w:rPr>
        <w:fldChar w:fldCharType="begin"/>
      </w:r>
      <w:r w:rsidR="00CA3202">
        <w:rPr>
          <w:rFonts w:cs="Arial"/>
          <w:color w:val="292526"/>
        </w:rPr>
        <w:instrText xml:space="preserve"> ADDIN EN.CITE &lt;EndNote&gt;&lt;Cite&gt;&lt;Author&gt;Cooperation&lt;/Author&gt;&lt;Year&gt;2011&lt;/Year&gt;&lt;RecNum&gt;738&lt;/RecNum&gt;&lt;DisplayText&gt;&lt;style face="superscript"&gt;(10)&lt;/style&gt;&lt;/DisplayText&gt;&lt;record&gt;&lt;rec-number&gt;738&lt;/rec-number&gt;&lt;foreign-keys&gt;&lt;key app="EN" db-id="paxef0v91tx5e7eaev8xxf2xd92zvrfrv592"&gt;738&lt;/key&gt;&lt;/foreign-keys&gt;&lt;ref-type name="Book"&gt;6&lt;/ref-type&gt;&lt;contributors&gt;&lt;authors&gt;&lt;author&gt;Organization for Economic Cooperation Development,&lt;/author&gt;&lt;/authors&gt;&lt;/contributors&gt;&lt;titles&gt;&lt;title&gt;Health at a Glance 2011: OECD Indicators&lt;/title&gt;&lt;/titles&gt;&lt;dates&gt;&lt;year&gt;2011&lt;/year&gt;&lt;/dates&gt;&lt;publisher&gt;OECD&lt;/publisher&gt;&lt;isbn&gt;9264111530&lt;/isbn&gt;&lt;urls&gt;&lt;/urls&gt;&lt;/record&gt;&lt;/Cite&gt;&lt;/EndNote&gt;</w:instrText>
      </w:r>
      <w:r w:rsidRPr="000B2A53">
        <w:rPr>
          <w:rFonts w:cs="Arial"/>
          <w:color w:val="292526"/>
        </w:rPr>
        <w:fldChar w:fldCharType="separate"/>
      </w:r>
      <w:r w:rsidR="00551E6B" w:rsidRPr="00551E6B">
        <w:rPr>
          <w:rFonts w:cs="Arial"/>
          <w:noProof/>
          <w:color w:val="292526"/>
          <w:vertAlign w:val="superscript"/>
        </w:rPr>
        <w:t>(</w:t>
      </w:r>
      <w:hyperlink w:anchor="_ENREF_10" w:tooltip="Organization for Economic Cooperation Development, 2011 #738" w:history="1">
        <w:r w:rsidR="0029347A" w:rsidRPr="00551E6B">
          <w:rPr>
            <w:rFonts w:cs="Arial"/>
            <w:noProof/>
            <w:color w:val="292526"/>
            <w:vertAlign w:val="superscript"/>
          </w:rPr>
          <w:t>10</w:t>
        </w:r>
      </w:hyperlink>
      <w:r w:rsidR="00551E6B" w:rsidRPr="00551E6B">
        <w:rPr>
          <w:rFonts w:cs="Arial"/>
          <w:noProof/>
          <w:color w:val="292526"/>
          <w:vertAlign w:val="superscript"/>
        </w:rPr>
        <w:t>)</w:t>
      </w:r>
      <w:r w:rsidRPr="000B2A53">
        <w:rPr>
          <w:rFonts w:cs="Arial"/>
          <w:color w:val="292526"/>
        </w:rPr>
        <w:fldChar w:fldCharType="end"/>
      </w:r>
      <w:r w:rsidRPr="000B2A53">
        <w:rPr>
          <w:rFonts w:cs="Arial"/>
          <w:color w:val="292526"/>
        </w:rPr>
        <w:t xml:space="preserve">.  </w:t>
      </w:r>
    </w:p>
    <w:p w:rsidR="00B77198" w:rsidRDefault="00B77198" w:rsidP="00C54A8A">
      <w:pPr>
        <w:pStyle w:val="Caption"/>
        <w:keepNext/>
        <w:jc w:val="both"/>
      </w:pPr>
      <w:bookmarkStart w:id="38" w:name="_Ref366819770"/>
      <w:r>
        <w:t xml:space="preserve">Figure </w:t>
      </w:r>
      <w:r>
        <w:fldChar w:fldCharType="begin"/>
      </w:r>
      <w:r>
        <w:instrText xml:space="preserve"> SEQ Figure \* ARABIC </w:instrText>
      </w:r>
      <w:r>
        <w:fldChar w:fldCharType="separate"/>
      </w:r>
      <w:r w:rsidR="000B70CE">
        <w:rPr>
          <w:noProof/>
        </w:rPr>
        <w:t>2</w:t>
      </w:r>
      <w:r>
        <w:rPr>
          <w:noProof/>
        </w:rPr>
        <w:fldChar w:fldCharType="end"/>
      </w:r>
      <w:bookmarkEnd w:id="38"/>
      <w:r>
        <w:t>:</w:t>
      </w:r>
      <w:r w:rsidRPr="00B91FC5">
        <w:t xml:space="preserve"> COPD </w:t>
      </w:r>
      <w:r w:rsidR="005F5245">
        <w:t>h</w:t>
      </w:r>
      <w:r w:rsidRPr="00B91FC5">
        <w:t xml:space="preserve">ospitalisation </w:t>
      </w:r>
      <w:r w:rsidR="005F5245">
        <w:t>r</w:t>
      </w:r>
      <w:r w:rsidRPr="00B91FC5">
        <w:t>ates in the OECD</w:t>
      </w:r>
    </w:p>
    <w:p w:rsidR="00B77198" w:rsidRPr="001D2301" w:rsidRDefault="0095238C" w:rsidP="00C54A8A">
      <w:pPr>
        <w:jc w:val="both"/>
        <w:rPr>
          <w:b/>
        </w:rPr>
      </w:pPr>
      <w:r>
        <w:rPr>
          <w:noProof/>
          <w:lang w:eastAsia="en-NZ"/>
        </w:rPr>
        <mc:AlternateContent>
          <mc:Choice Requires="wps">
            <w:drawing>
              <wp:anchor distT="0" distB="0" distL="114300" distR="114300" simplePos="0" relativeHeight="251664384" behindDoc="0" locked="0" layoutInCell="1" allowOverlap="1" wp14:anchorId="107F6888" wp14:editId="02D9E667">
                <wp:simplePos x="0" y="0"/>
                <wp:positionH relativeFrom="column">
                  <wp:posOffset>4772660</wp:posOffset>
                </wp:positionH>
                <wp:positionV relativeFrom="paragraph">
                  <wp:posOffset>774065</wp:posOffset>
                </wp:positionV>
                <wp:extent cx="1180465" cy="140335"/>
                <wp:effectExtent l="5715" t="0" r="6350" b="6350"/>
                <wp:wrapNone/>
                <wp:docPr id="4" name="Rounded Rectangle 4"/>
                <wp:cNvGraphicFramePr/>
                <a:graphic xmlns:a="http://schemas.openxmlformats.org/drawingml/2006/main">
                  <a:graphicData uri="http://schemas.microsoft.com/office/word/2010/wordprocessingShape">
                    <wps:wsp>
                      <wps:cNvSpPr/>
                      <wps:spPr>
                        <a:xfrm rot="5400000">
                          <a:off x="0" y="0"/>
                          <a:ext cx="1180465" cy="140335"/>
                        </a:xfrm>
                        <a:prstGeom prst="roundRect">
                          <a:avLst/>
                        </a:prstGeom>
                        <a:solidFill>
                          <a:srgbClr val="FFFF00">
                            <a:alpha val="5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375.8pt;margin-top:60.95pt;width:92.95pt;height:11.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" fillcolor="yellow" stroked="f" strokeweight="2pt">
                <v:fill opacity="34181f"/>
              </v:roundrect>
            </w:pict>
          </mc:Fallback>
        </mc:AlternateContent>
      </w:r>
      <w:r w:rsidR="00C54B8B">
        <w:rPr>
          <w:b/>
          <w:noProof/>
          <w:lang w:eastAsia="en-NZ"/>
        </w:rPr>
        <w:drawing>
          <wp:inline distT="0" distB="0" distL="0" distR="0" wp14:anchorId="1130DF0E" wp14:editId="1AE9D615">
            <wp:extent cx="5939790" cy="231013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D OECD 201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39790" cy="2310130"/>
                    </a:xfrm>
                    <a:prstGeom prst="rect">
                      <a:avLst/>
                    </a:prstGeom>
                  </pic:spPr>
                </pic:pic>
              </a:graphicData>
            </a:graphic>
          </wp:inline>
        </w:drawing>
      </w:r>
    </w:p>
    <w:p w:rsidR="00B77198" w:rsidRPr="00F94AF0" w:rsidRDefault="00B77198" w:rsidP="00C54A8A">
      <w:pPr>
        <w:pStyle w:val="SourceCaption"/>
        <w:jc w:val="both"/>
        <w:rPr>
          <w:b/>
        </w:rPr>
      </w:pPr>
      <w:r w:rsidRPr="004B4041">
        <w:t>Source:</w:t>
      </w:r>
      <w:r w:rsidR="00C54B8B">
        <w:t xml:space="preserve"> OECD Health Data 2013</w:t>
      </w:r>
    </w:p>
    <w:p w:rsidR="00907C8A" w:rsidRDefault="00907C8A" w:rsidP="00C54A8A">
      <w:pPr>
        <w:autoSpaceDE w:val="0"/>
        <w:autoSpaceDN w:val="0"/>
        <w:adjustRightInd w:val="0"/>
        <w:spacing w:after="120"/>
        <w:jc w:val="both"/>
        <w:rPr>
          <w:rFonts w:cs="Arial"/>
          <w:color w:val="292526"/>
        </w:rPr>
      </w:pPr>
    </w:p>
    <w:p w:rsidR="00B77198" w:rsidRPr="000B2A53" w:rsidRDefault="00B77198" w:rsidP="00C54A8A">
      <w:pPr>
        <w:autoSpaceDE w:val="0"/>
        <w:autoSpaceDN w:val="0"/>
        <w:adjustRightInd w:val="0"/>
        <w:spacing w:after="120"/>
        <w:jc w:val="both"/>
        <w:rPr>
          <w:rFonts w:cs="Arial"/>
          <w:color w:val="292526"/>
        </w:rPr>
      </w:pPr>
      <w:r w:rsidRPr="000B2A53">
        <w:rPr>
          <w:rFonts w:cs="Arial"/>
          <w:color w:val="292526"/>
        </w:rPr>
        <w:t xml:space="preserve">The main costs to the health </w:t>
      </w:r>
      <w:r w:rsidR="00000245">
        <w:rPr>
          <w:rFonts w:cs="Arial"/>
          <w:color w:val="292526"/>
        </w:rPr>
        <w:t xml:space="preserve">and disability </w:t>
      </w:r>
      <w:r w:rsidRPr="000B2A53">
        <w:rPr>
          <w:rFonts w:cs="Arial"/>
          <w:color w:val="292526"/>
        </w:rPr>
        <w:t xml:space="preserve">system in New Zealand attributable to COPD include medications, hospital care and primary care visits. Additional costs accrue from </w:t>
      </w:r>
      <w:r w:rsidR="00E86EB4">
        <w:rPr>
          <w:rFonts w:cs="Arial"/>
          <w:color w:val="292526"/>
        </w:rPr>
        <w:t>ED</w:t>
      </w:r>
      <w:r w:rsidRPr="000B2A53">
        <w:rPr>
          <w:rFonts w:cs="Arial"/>
          <w:color w:val="292526"/>
        </w:rPr>
        <w:t xml:space="preserve"> visits, smoking cessation programmes, the provision of rehabilitation services</w:t>
      </w:r>
      <w:r w:rsidR="00A0004C">
        <w:rPr>
          <w:rFonts w:cs="Arial"/>
          <w:color w:val="292526"/>
        </w:rPr>
        <w:t>, longer lengths of stay when admitted for reasons other than COPD</w:t>
      </w:r>
      <w:r w:rsidR="0059413C">
        <w:rPr>
          <w:rFonts w:cs="Arial"/>
          <w:color w:val="292526"/>
        </w:rPr>
        <w:t xml:space="preserve"> and long-term </w:t>
      </w:r>
      <w:r>
        <w:rPr>
          <w:rFonts w:cs="Arial"/>
          <w:color w:val="292526"/>
        </w:rPr>
        <w:t>oxygen</w:t>
      </w:r>
      <w:r w:rsidR="0059413C">
        <w:rPr>
          <w:rFonts w:cs="Arial"/>
          <w:color w:val="292526"/>
        </w:rPr>
        <w:t xml:space="preserve"> therapy (LTOT)</w:t>
      </w:r>
      <w:r w:rsidRPr="000B2A53">
        <w:rPr>
          <w:rFonts w:cs="Arial"/>
          <w:color w:val="292526"/>
        </w:rPr>
        <w:t>.</w:t>
      </w:r>
    </w:p>
    <w:p w:rsidR="002D5F70" w:rsidRDefault="00B77198" w:rsidP="00C54A8A">
      <w:pPr>
        <w:autoSpaceDE w:val="0"/>
        <w:autoSpaceDN w:val="0"/>
        <w:adjustRightInd w:val="0"/>
        <w:spacing w:after="120"/>
        <w:jc w:val="both"/>
        <w:rPr>
          <w:rFonts w:cs="Arial"/>
          <w:color w:val="292526"/>
        </w:rPr>
      </w:pPr>
      <w:r w:rsidRPr="000B2A53">
        <w:rPr>
          <w:rFonts w:cs="Arial"/>
          <w:color w:val="292526"/>
        </w:rPr>
        <w:t>Depending on the number of prevalent cases, the direct costs in New Zealand have been estimated at $102 mi</w:t>
      </w:r>
      <w:r w:rsidR="00681187">
        <w:rPr>
          <w:rFonts w:cs="Arial"/>
          <w:color w:val="292526"/>
        </w:rPr>
        <w:t>llion to $192 million per annum</w:t>
      </w:r>
      <w:r w:rsidRPr="000B2A53">
        <w:rPr>
          <w:rFonts w:cs="Arial"/>
          <w:color w:val="292526"/>
        </w:rPr>
        <w:fldChar w:fldCharType="begin"/>
      </w:r>
      <w:r w:rsidR="00CA3202">
        <w:rPr>
          <w:rFonts w:cs="Arial"/>
          <w:color w:val="292526"/>
        </w:rPr>
        <w:instrText xml:space="preserve"> ADDIN EN.CITE &lt;EndNote&gt;&lt;Cite&gt;&lt;Author&gt;Town&lt;/Author&gt;&lt;Year&gt;2003&lt;/Year&gt;&lt;RecNum&gt;672&lt;/RecNum&gt;&lt;DisplayText&gt;&lt;style face="superscript"&gt;(11)&lt;/style&gt;&lt;/DisplayText&gt;&lt;record&gt;&lt;rec-number&gt;672&lt;/rec-number&gt;&lt;foreign-keys&gt;&lt;key app="EN" db-id="paxef0v91tx5e7eaev8xxf2xd92zvrfrv592"&gt;672&lt;/key&gt;&lt;/foreign-keys&gt;&lt;ref-type name="Report"&gt;27&lt;/ref-type&gt;&lt;contributors&gt;&lt;authors&gt;&lt;author&gt;Town, I&lt;/author&gt;&lt;author&gt;Taylor, R&lt;/author&gt;&lt;author&gt;Garrett, J&lt;/author&gt;&lt;author&gt;Patterson, J&lt;/author&gt;&lt;/authors&gt;&lt;/contributors&gt;&lt;titles&gt;&lt;title&gt;The burden of COPD in New Zealand&lt;/title&gt;&lt;/titles&gt;&lt;dates&gt;&lt;year&gt;2003&lt;/year&gt;&lt;/dates&gt;&lt;publisher&gt;The Thoracic Society of Australia and New Zealand and The Asthma Respiratory Foundation of New Zealand&lt;/publisher&gt;&lt;urls&gt;&lt;/urls&gt;&lt;/record&gt;&lt;/Cite&gt;&lt;/EndNote&gt;</w:instrText>
      </w:r>
      <w:r w:rsidRPr="000B2A53">
        <w:rPr>
          <w:rFonts w:cs="Arial"/>
          <w:color w:val="292526"/>
        </w:rPr>
        <w:fldChar w:fldCharType="separate"/>
      </w:r>
      <w:r w:rsidR="00551E6B" w:rsidRPr="00551E6B">
        <w:rPr>
          <w:rFonts w:cs="Arial"/>
          <w:noProof/>
          <w:color w:val="292526"/>
          <w:vertAlign w:val="superscript"/>
        </w:rPr>
        <w:t>(</w:t>
      </w:r>
      <w:hyperlink w:anchor="_ENREF_11" w:tooltip="Town, 2003 #672" w:history="1">
        <w:r w:rsidR="0029347A" w:rsidRPr="00551E6B">
          <w:rPr>
            <w:rFonts w:cs="Arial"/>
            <w:noProof/>
            <w:color w:val="292526"/>
            <w:vertAlign w:val="superscript"/>
          </w:rPr>
          <w:t>11</w:t>
        </w:r>
      </w:hyperlink>
      <w:r w:rsidR="00551E6B" w:rsidRPr="00551E6B">
        <w:rPr>
          <w:rFonts w:cs="Arial"/>
          <w:noProof/>
          <w:color w:val="292526"/>
          <w:vertAlign w:val="superscript"/>
        </w:rPr>
        <w:t>)</w:t>
      </w:r>
      <w:r w:rsidRPr="000B2A53">
        <w:rPr>
          <w:rFonts w:cs="Arial"/>
          <w:color w:val="292526"/>
        </w:rPr>
        <w:fldChar w:fldCharType="end"/>
      </w:r>
      <w:r w:rsidRPr="000B2A53">
        <w:rPr>
          <w:rFonts w:cs="Arial"/>
          <w:color w:val="292526"/>
        </w:rPr>
        <w:t xml:space="preserve">. </w:t>
      </w:r>
      <w:r w:rsidR="00D44DDA">
        <w:rPr>
          <w:rFonts w:cs="Arial"/>
          <w:color w:val="292526"/>
        </w:rPr>
        <w:t>We</w:t>
      </w:r>
      <w:r w:rsidR="002D5F70">
        <w:rPr>
          <w:rFonts w:cs="Arial"/>
          <w:color w:val="292526"/>
        </w:rPr>
        <w:t xml:space="preserve"> estimate that COPD</w:t>
      </w:r>
      <w:r w:rsidR="00A91E41">
        <w:rPr>
          <w:rFonts w:cs="Arial"/>
          <w:color w:val="292526"/>
        </w:rPr>
        <w:t xml:space="preserve"> was responsible for over $131</w:t>
      </w:r>
      <w:r w:rsidR="002D5F70">
        <w:rPr>
          <w:rFonts w:cs="Arial"/>
          <w:color w:val="292526"/>
        </w:rPr>
        <w:t xml:space="preserve"> million in costs in 2010/11</w:t>
      </w:r>
      <w:r w:rsidR="0059413C">
        <w:rPr>
          <w:rFonts w:cs="Arial"/>
          <w:color w:val="292526"/>
        </w:rPr>
        <w:t xml:space="preserve"> (see section 5.3 for breakdown of costs)</w:t>
      </w:r>
      <w:r w:rsidR="002D5F70">
        <w:rPr>
          <w:rFonts w:cs="Arial"/>
          <w:color w:val="292526"/>
        </w:rPr>
        <w:t xml:space="preserve">.  </w:t>
      </w:r>
    </w:p>
    <w:p w:rsidR="00B77198" w:rsidRPr="008952DA" w:rsidRDefault="00B77198" w:rsidP="00C54A8A">
      <w:pPr>
        <w:autoSpaceDE w:val="0"/>
        <w:autoSpaceDN w:val="0"/>
        <w:adjustRightInd w:val="0"/>
        <w:spacing w:after="120"/>
        <w:jc w:val="both"/>
        <w:rPr>
          <w:rFonts w:cs="Arial"/>
          <w:color w:val="292526"/>
        </w:rPr>
      </w:pPr>
      <w:r w:rsidRPr="000B2A53">
        <w:rPr>
          <w:rFonts w:cs="Arial"/>
          <w:color w:val="292526"/>
        </w:rPr>
        <w:t xml:space="preserve">In terms of hospitalisations, </w:t>
      </w:r>
      <w:r w:rsidR="00F25F63" w:rsidRPr="000B2A53">
        <w:rPr>
          <w:rFonts w:cs="Arial"/>
          <w:color w:val="292526"/>
        </w:rPr>
        <w:t xml:space="preserve">COPD contributed to $54 million in hospitalisation costs (20.3% of total respiratory hospitalisation </w:t>
      </w:r>
      <w:r w:rsidR="00F25F63">
        <w:rPr>
          <w:rFonts w:cs="Arial"/>
          <w:color w:val="292526"/>
        </w:rPr>
        <w:t>cost) in 2011/12</w:t>
      </w:r>
      <w:r w:rsidR="00F25F63">
        <w:rPr>
          <w:rFonts w:cs="Arial"/>
          <w:color w:val="292526"/>
        </w:rPr>
        <w:fldChar w:fldCharType="begin"/>
      </w:r>
      <w:r w:rsidR="00551E6B">
        <w:rPr>
          <w:rFonts w:cs="Arial"/>
          <w:color w:val="292526"/>
        </w:rPr>
        <w:instrText xml:space="preserve"> ADDIN EN.CITE &lt;EndNote&gt;&lt;Cite&gt;&lt;Author&gt;National Health Committee&lt;/Author&gt;&lt;Year&gt;2013&lt;/Year&gt;&lt;RecNum&gt;782&lt;/RecNum&gt;&lt;DisplayText&gt;&lt;style face="superscript"&gt;(6)&lt;/style&gt;&lt;/DisplayText&gt;&lt;record&gt;&lt;rec-number&gt;782&lt;/rec-number&gt;&lt;foreign-keys&gt;&lt;key app="EN" db-id="paxef0v91tx5e7eaev8xxf2xd92zvrfrv592"&gt;782&lt;/key&gt;&lt;/foreign-keys&gt;&lt;ref-type name="Government Document"&gt;46&lt;/ref-type&gt;&lt;contributors&gt;&lt;authors&gt;&lt;author&gt;National Health Committee,&lt;/author&gt;&lt;/authors&gt;&lt;/contributors&gt;&lt;titles&gt;&lt;title&gt;Strategic Overview: Respiratory Disease in New Zealand&lt;/title&gt;&lt;/titles&gt;&lt;dates&gt;&lt;year&gt;2013&lt;/year&gt;&lt;/dates&gt;&lt;pub-location&gt;Wellington&lt;/pub-location&gt;&lt;urls&gt;&lt;/urls&gt;&lt;/record&gt;&lt;/Cite&gt;&lt;/EndNote&gt;</w:instrText>
      </w:r>
      <w:r w:rsidR="00F25F63">
        <w:rPr>
          <w:rFonts w:cs="Arial"/>
          <w:color w:val="292526"/>
        </w:rPr>
        <w:fldChar w:fldCharType="separate"/>
      </w:r>
      <w:r w:rsidR="00551E6B" w:rsidRPr="00551E6B">
        <w:rPr>
          <w:rFonts w:cs="Arial"/>
          <w:noProof/>
          <w:color w:val="292526"/>
          <w:vertAlign w:val="superscript"/>
        </w:rPr>
        <w:t>(</w:t>
      </w:r>
      <w:hyperlink w:anchor="_ENREF_6" w:tooltip="National Health Committee, 2013 #782" w:history="1">
        <w:r w:rsidR="0029347A" w:rsidRPr="00551E6B">
          <w:rPr>
            <w:rFonts w:cs="Arial"/>
            <w:noProof/>
            <w:color w:val="292526"/>
            <w:vertAlign w:val="superscript"/>
          </w:rPr>
          <w:t>6</w:t>
        </w:r>
      </w:hyperlink>
      <w:r w:rsidR="00551E6B" w:rsidRPr="00551E6B">
        <w:rPr>
          <w:rFonts w:cs="Arial"/>
          <w:noProof/>
          <w:color w:val="292526"/>
          <w:vertAlign w:val="superscript"/>
        </w:rPr>
        <w:t>)</w:t>
      </w:r>
      <w:r w:rsidR="00F25F63">
        <w:rPr>
          <w:rFonts w:cs="Arial"/>
          <w:color w:val="292526"/>
        </w:rPr>
        <w:fldChar w:fldCharType="end"/>
      </w:r>
      <w:r w:rsidR="00F25F63">
        <w:rPr>
          <w:rFonts w:cs="Arial"/>
          <w:color w:val="292526"/>
        </w:rPr>
        <w:t xml:space="preserve">—the largest single disease cost burden in respiratory disease.  In total, </w:t>
      </w:r>
      <w:r w:rsidRPr="000B2A53">
        <w:rPr>
          <w:rFonts w:cs="Arial"/>
          <w:color w:val="292526"/>
        </w:rPr>
        <w:t>7,716 individuals with COPD were hospitalised an average of 1.5 times for a total of 11,619 discharges</w:t>
      </w:r>
      <w:r>
        <w:rPr>
          <w:rFonts w:cs="Arial"/>
          <w:color w:val="292526"/>
        </w:rPr>
        <w:t xml:space="preserve"> </w:t>
      </w:r>
      <w:r w:rsidR="00681187">
        <w:rPr>
          <w:rFonts w:cs="Arial"/>
          <w:color w:val="292526"/>
        </w:rPr>
        <w:t>in 2011/12</w:t>
      </w:r>
      <w:r w:rsidR="00681187">
        <w:rPr>
          <w:rFonts w:cs="Arial"/>
          <w:color w:val="292526"/>
        </w:rPr>
        <w:fldChar w:fldCharType="begin"/>
      </w:r>
      <w:r w:rsidR="00551E6B">
        <w:rPr>
          <w:rFonts w:cs="Arial"/>
          <w:color w:val="292526"/>
        </w:rPr>
        <w:instrText xml:space="preserve"> ADDIN EN.CITE &lt;EndNote&gt;&lt;Cite&gt;&lt;Author&gt;National Health Committee&lt;/Author&gt;&lt;Year&gt;2013&lt;/Year&gt;&lt;RecNum&gt;782&lt;/RecNum&gt;&lt;DisplayText&gt;&lt;style face="superscript"&gt;(6)&lt;/style&gt;&lt;/DisplayText&gt;&lt;record&gt;&lt;rec-number&gt;782&lt;/rec-number&gt;&lt;foreign-keys&gt;&lt;key app="EN" db-id="paxef0v91tx5e7eaev8xxf2xd92zvrfrv592"&gt;782&lt;/key&gt;&lt;/foreign-keys&gt;&lt;ref-type name="Government Document"&gt;46&lt;/ref-type&gt;&lt;contributors&gt;&lt;authors&gt;&lt;author&gt;National Health Committee,&lt;/author&gt;&lt;/authors&gt;&lt;/contributors&gt;&lt;titles&gt;&lt;title&gt;Strategic Overview: Respiratory Disease in New Zealand&lt;/title&gt;&lt;/titles&gt;&lt;dates&gt;&lt;year&gt;2013&lt;/year&gt;&lt;/dates&gt;&lt;pub-location&gt;Wellington&lt;/pub-location&gt;&lt;urls&gt;&lt;/urls&gt;&lt;/record&gt;&lt;/Cite&gt;&lt;/EndNote&gt;</w:instrText>
      </w:r>
      <w:r w:rsidR="00681187">
        <w:rPr>
          <w:rFonts w:cs="Arial"/>
          <w:color w:val="292526"/>
        </w:rPr>
        <w:fldChar w:fldCharType="separate"/>
      </w:r>
      <w:r w:rsidR="00551E6B" w:rsidRPr="00551E6B">
        <w:rPr>
          <w:rFonts w:cs="Arial"/>
          <w:noProof/>
          <w:color w:val="292526"/>
          <w:vertAlign w:val="superscript"/>
        </w:rPr>
        <w:t>(</w:t>
      </w:r>
      <w:hyperlink w:anchor="_ENREF_6" w:tooltip="National Health Committee, 2013 #782" w:history="1">
        <w:r w:rsidR="0029347A" w:rsidRPr="00551E6B">
          <w:rPr>
            <w:rFonts w:cs="Arial"/>
            <w:noProof/>
            <w:color w:val="292526"/>
            <w:vertAlign w:val="superscript"/>
          </w:rPr>
          <w:t>6</w:t>
        </w:r>
      </w:hyperlink>
      <w:r w:rsidR="00551E6B" w:rsidRPr="00551E6B">
        <w:rPr>
          <w:rFonts w:cs="Arial"/>
          <w:noProof/>
          <w:color w:val="292526"/>
          <w:vertAlign w:val="superscript"/>
        </w:rPr>
        <w:t>)</w:t>
      </w:r>
      <w:r w:rsidR="00681187">
        <w:rPr>
          <w:rFonts w:cs="Arial"/>
          <w:color w:val="292526"/>
        </w:rPr>
        <w:fldChar w:fldCharType="end"/>
      </w:r>
      <w:r w:rsidR="00681187">
        <w:rPr>
          <w:rFonts w:cs="Arial"/>
          <w:color w:val="292526"/>
        </w:rPr>
        <w:t>.</w:t>
      </w:r>
      <w:r w:rsidRPr="000B2A53">
        <w:rPr>
          <w:rFonts w:cs="Arial"/>
          <w:color w:val="292526"/>
        </w:rPr>
        <w:t>This translates to a hospitalisation rate of about 0.08% of all COPD patients with a 30 day readmission rate of 17.9%</w:t>
      </w:r>
      <w:r w:rsidR="007F2A09">
        <w:rPr>
          <w:rFonts w:cs="Arial"/>
          <w:color w:val="292526"/>
        </w:rPr>
        <w:fldChar w:fldCharType="begin"/>
      </w:r>
      <w:r w:rsidR="00551E6B">
        <w:rPr>
          <w:rFonts w:cs="Arial"/>
          <w:color w:val="292526"/>
        </w:rPr>
        <w:instrText xml:space="preserve"> ADDIN EN.CITE &lt;EndNote&gt;&lt;Cite&gt;&lt;Author&gt;National Health Committee&lt;/Author&gt;&lt;Year&gt;2013&lt;/Year&gt;&lt;RecNum&gt;782&lt;/RecNum&gt;&lt;DisplayText&gt;&lt;style face="superscript"&gt;(6)&lt;/style&gt;&lt;/DisplayText&gt;&lt;record&gt;&lt;rec-number&gt;782&lt;/rec-number&gt;&lt;foreign-keys&gt;&lt;key app="EN" db-id="paxef0v91tx5e7eaev8xxf2xd92zvrfrv592"&gt;782&lt;/key&gt;&lt;/foreign-keys&gt;&lt;ref-type name="Government Document"&gt;46&lt;/ref-type&gt;&lt;contributors&gt;&lt;authors&gt;&lt;author&gt;National Health Committee,&lt;/author&gt;&lt;/authors&gt;&lt;/contributors&gt;&lt;titles&gt;&lt;title&gt;Strategic Overview: Respiratory Disease in New Zealand&lt;/title&gt;&lt;/titles&gt;&lt;dates&gt;&lt;year&gt;2013&lt;/year&gt;&lt;/dates&gt;&lt;pub-location&gt;Wellington&lt;/pub-location&gt;&lt;urls&gt;&lt;/urls&gt;&lt;/record&gt;&lt;/Cite&gt;&lt;/EndNote&gt;</w:instrText>
      </w:r>
      <w:r w:rsidR="007F2A09">
        <w:rPr>
          <w:rFonts w:cs="Arial"/>
          <w:color w:val="292526"/>
        </w:rPr>
        <w:fldChar w:fldCharType="separate"/>
      </w:r>
      <w:r w:rsidR="00551E6B" w:rsidRPr="00551E6B">
        <w:rPr>
          <w:rFonts w:cs="Arial"/>
          <w:noProof/>
          <w:color w:val="292526"/>
          <w:vertAlign w:val="superscript"/>
        </w:rPr>
        <w:t>(</w:t>
      </w:r>
      <w:hyperlink w:anchor="_ENREF_6" w:tooltip="National Health Committee, 2013 #782" w:history="1">
        <w:r w:rsidR="0029347A" w:rsidRPr="00551E6B">
          <w:rPr>
            <w:rFonts w:cs="Arial"/>
            <w:noProof/>
            <w:color w:val="292526"/>
            <w:vertAlign w:val="superscript"/>
          </w:rPr>
          <w:t>6</w:t>
        </w:r>
      </w:hyperlink>
      <w:r w:rsidR="00551E6B" w:rsidRPr="00551E6B">
        <w:rPr>
          <w:rFonts w:cs="Arial"/>
          <w:noProof/>
          <w:color w:val="292526"/>
          <w:vertAlign w:val="superscript"/>
        </w:rPr>
        <w:t>)</w:t>
      </w:r>
      <w:r w:rsidR="007F2A09">
        <w:rPr>
          <w:rFonts w:cs="Arial"/>
          <w:color w:val="292526"/>
        </w:rPr>
        <w:fldChar w:fldCharType="end"/>
      </w:r>
      <w:r w:rsidR="007F2A09">
        <w:rPr>
          <w:rFonts w:cs="Arial"/>
          <w:color w:val="292526"/>
        </w:rPr>
        <w:t xml:space="preserve">.  </w:t>
      </w:r>
      <w:r w:rsidRPr="000B2A53">
        <w:rPr>
          <w:rFonts w:cs="Arial"/>
          <w:color w:val="292526"/>
        </w:rPr>
        <w:t xml:space="preserve">Hospitalisations </w:t>
      </w:r>
      <w:r w:rsidR="007F2A09">
        <w:rPr>
          <w:rFonts w:cs="Arial"/>
          <w:color w:val="292526"/>
        </w:rPr>
        <w:t>were</w:t>
      </w:r>
      <w:r>
        <w:rPr>
          <w:rFonts w:cs="Arial"/>
          <w:color w:val="292526"/>
        </w:rPr>
        <w:t xml:space="preserve"> </w:t>
      </w:r>
      <w:r w:rsidRPr="000B2A53">
        <w:rPr>
          <w:rFonts w:cs="Arial"/>
          <w:color w:val="292526"/>
        </w:rPr>
        <w:t>relatively long at an average of 4.2 days whilst the average cost per hospitalised patient was about $7,700</w:t>
      </w:r>
      <w:r w:rsidR="007F2A09">
        <w:rPr>
          <w:rFonts w:cs="Arial"/>
          <w:color w:val="292526"/>
        </w:rPr>
        <w:fldChar w:fldCharType="begin"/>
      </w:r>
      <w:r w:rsidR="00551E6B">
        <w:rPr>
          <w:rFonts w:cs="Arial"/>
          <w:color w:val="292526"/>
        </w:rPr>
        <w:instrText xml:space="preserve"> ADDIN EN.CITE &lt;EndNote&gt;&lt;Cite&gt;&lt;Author&gt;National Health Committee&lt;/Author&gt;&lt;Year&gt;2013&lt;/Year&gt;&lt;RecNum&gt;782&lt;/RecNum&gt;&lt;DisplayText&gt;&lt;style face="superscript"&gt;(6)&lt;/style&gt;&lt;/DisplayText&gt;&lt;record&gt;&lt;rec-number&gt;782&lt;/rec-number&gt;&lt;foreign-keys&gt;&lt;key app="EN" db-id="paxef0v91tx5e7eaev8xxf2xd92zvrfrv592"&gt;782&lt;/key&gt;&lt;/foreign-keys&gt;&lt;ref-type name="Government Document"&gt;46&lt;/ref-type&gt;&lt;contributors&gt;&lt;authors&gt;&lt;author&gt;National Health Committee,&lt;/author&gt;&lt;/authors&gt;&lt;/contributors&gt;&lt;titles&gt;&lt;title&gt;Strategic Overview: Respiratory Disease in New Zealand&lt;/title&gt;&lt;/titles&gt;&lt;dates&gt;&lt;year&gt;2013&lt;/year&gt;&lt;/dates&gt;&lt;pub-location&gt;Wellington&lt;/pub-location&gt;&lt;urls&gt;&lt;/urls&gt;&lt;/record&gt;&lt;/Cite&gt;&lt;/EndNote&gt;</w:instrText>
      </w:r>
      <w:r w:rsidR="007F2A09">
        <w:rPr>
          <w:rFonts w:cs="Arial"/>
          <w:color w:val="292526"/>
        </w:rPr>
        <w:fldChar w:fldCharType="separate"/>
      </w:r>
      <w:r w:rsidR="00551E6B" w:rsidRPr="00551E6B">
        <w:rPr>
          <w:rFonts w:cs="Arial"/>
          <w:noProof/>
          <w:color w:val="292526"/>
          <w:vertAlign w:val="superscript"/>
        </w:rPr>
        <w:t>(</w:t>
      </w:r>
      <w:hyperlink w:anchor="_ENREF_6" w:tooltip="National Health Committee, 2013 #782" w:history="1">
        <w:r w:rsidR="0029347A" w:rsidRPr="00551E6B">
          <w:rPr>
            <w:rFonts w:cs="Arial"/>
            <w:noProof/>
            <w:color w:val="292526"/>
            <w:vertAlign w:val="superscript"/>
          </w:rPr>
          <w:t>6</w:t>
        </w:r>
      </w:hyperlink>
      <w:r w:rsidR="00551E6B" w:rsidRPr="00551E6B">
        <w:rPr>
          <w:rFonts w:cs="Arial"/>
          <w:noProof/>
          <w:color w:val="292526"/>
          <w:vertAlign w:val="superscript"/>
        </w:rPr>
        <w:t>)</w:t>
      </w:r>
      <w:r w:rsidR="007F2A09">
        <w:rPr>
          <w:rFonts w:cs="Arial"/>
          <w:color w:val="292526"/>
        </w:rPr>
        <w:fldChar w:fldCharType="end"/>
      </w:r>
      <w:r w:rsidR="00F25F63">
        <w:rPr>
          <w:rFonts w:cs="Arial"/>
          <w:color w:val="292526"/>
        </w:rPr>
        <w:t xml:space="preserve">. </w:t>
      </w:r>
    </w:p>
    <w:p w:rsidR="000B1B60" w:rsidRDefault="000B1B60" w:rsidP="00C54A8A">
      <w:pPr>
        <w:pStyle w:val="Heading1"/>
        <w:jc w:val="both"/>
      </w:pPr>
      <w:bookmarkStart w:id="39" w:name="_Toc382574732"/>
      <w:r>
        <w:t>Methods</w:t>
      </w:r>
      <w:bookmarkEnd w:id="39"/>
    </w:p>
    <w:p w:rsidR="006D219E" w:rsidRDefault="006D219E" w:rsidP="00C54A8A">
      <w:pPr>
        <w:jc w:val="both"/>
      </w:pPr>
      <w:r>
        <w:t xml:space="preserve">This section </w:t>
      </w:r>
      <w:r w:rsidR="002A39E3">
        <w:t xml:space="preserve">briefly </w:t>
      </w:r>
      <w:r>
        <w:t>outlines the methodology used to inform the contents of this report</w:t>
      </w:r>
      <w:r w:rsidR="002B1086">
        <w:t>: pathway of care, prevalence, costs and patient stratification.</w:t>
      </w:r>
      <w:r w:rsidR="002A39E3">
        <w:t xml:space="preserve">  For a more detailed methodology section, please see </w:t>
      </w:r>
      <w:r w:rsidR="00402750">
        <w:t>Appendix 3</w:t>
      </w:r>
      <w:r w:rsidR="002A39E3">
        <w:t>.</w:t>
      </w:r>
    </w:p>
    <w:p w:rsidR="002A39E3" w:rsidRDefault="002A39E3" w:rsidP="00C54A8A">
      <w:pPr>
        <w:pStyle w:val="Heading2"/>
        <w:jc w:val="both"/>
      </w:pPr>
      <w:bookmarkStart w:id="40" w:name="_Toc369253755"/>
      <w:bookmarkStart w:id="41" w:name="_Toc370401379"/>
      <w:bookmarkStart w:id="42" w:name="_Toc370477223"/>
      <w:bookmarkStart w:id="43" w:name="_Toc371949659"/>
      <w:bookmarkStart w:id="44" w:name="_Toc382225510"/>
      <w:bookmarkStart w:id="45" w:name="_Toc382475492"/>
      <w:bookmarkStart w:id="46" w:name="_Toc382554879"/>
      <w:bookmarkStart w:id="47" w:name="_Toc382574733"/>
      <w:r>
        <w:t>Pathway of care</w:t>
      </w:r>
      <w:bookmarkEnd w:id="40"/>
      <w:bookmarkEnd w:id="41"/>
      <w:bookmarkEnd w:id="42"/>
      <w:bookmarkEnd w:id="43"/>
      <w:bookmarkEnd w:id="44"/>
      <w:bookmarkEnd w:id="45"/>
      <w:bookmarkEnd w:id="46"/>
      <w:bookmarkEnd w:id="47"/>
    </w:p>
    <w:p w:rsidR="002A39E3" w:rsidRDefault="002A39E3" w:rsidP="00C54A8A">
      <w:pPr>
        <w:jc w:val="both"/>
      </w:pPr>
      <w:r>
        <w:t>To inform the pathway of care section, various guidelines were searched.  A regional Australasian guideline, COPD-X, and a UK National Institute for Health and Care Excellence (NICE) guideline were used as the primary sources for best practice comparison.</w:t>
      </w:r>
    </w:p>
    <w:p w:rsidR="002A39E3" w:rsidRDefault="002A39E3" w:rsidP="00C54A8A">
      <w:pPr>
        <w:jc w:val="both"/>
      </w:pPr>
      <w:r>
        <w:t>Horizon scanning was conducted utilising a comb</w:t>
      </w:r>
      <w:r w:rsidR="0059413C">
        <w:t>ination of ad-hoc references,</w:t>
      </w:r>
      <w:r>
        <w:t xml:space="preserve"> a subscription to GP Research Review from June 2013 until September 2013</w:t>
      </w:r>
      <w:r w:rsidR="0059413C">
        <w:t xml:space="preserve"> and HealthPACT horizon scanning reports</w:t>
      </w:r>
      <w:r>
        <w:t>.  Together with clinical input from an in-house Medical Oncologist, these interventions were presented along the pathway of care along with standard interventions.</w:t>
      </w:r>
    </w:p>
    <w:p w:rsidR="002A39E3" w:rsidRDefault="002A39E3" w:rsidP="00C54A8A">
      <w:pPr>
        <w:jc w:val="both"/>
      </w:pPr>
      <w:r>
        <w:t>Information about each prioritised intervention was limited to Cochrane Reviews.  Where no Cochrane Reviews existed, HTAs and/or systematic reviews were used.  Cost data for interventions and patient cohorts were gathered from a variety of sources including the Auckland DHB non-resident price list</w:t>
      </w:r>
      <w:r>
        <w:fldChar w:fldCharType="begin"/>
      </w:r>
      <w:r w:rsidR="00551E6B">
        <w:instrText xml:space="preserve"> ADDIN EN.CITE &lt;EndNote&gt;&lt;Cite&gt;&lt;Author&gt;Auckland DHB&lt;/Author&gt;&lt;Year&gt;2010&lt;/Year&gt;&lt;RecNum&gt;783&lt;/RecNum&gt;&lt;DisplayText&gt;&lt;style face="superscript"&gt;(12)&lt;/style&gt;&lt;/DisplayText&gt;&lt;record&gt;&lt;rec-number&gt;783&lt;/rec-number&gt;&lt;foreign-keys&gt;&lt;key app="EN" db-id="paxef0v91tx5e7eaev8xxf2xd92zvrfrv592"&gt;783&lt;/key&gt;&lt;/foreign-keys&gt;&lt;ref-type name="Government Document"&gt;46&lt;/ref-type&gt;&lt;contributors&gt;&lt;authors&gt;&lt;author&gt;Auckland DHB,&lt;/author&gt;&lt;/authors&gt;&lt;/contributors&gt;&lt;titles&gt;&lt;title&gt;AUCKLAND DISTRICT HEALTH BOARD - ADULT HEALTH SERVICES CHARGES FOR PATIENTS NOT ELIGIBLE FOR PUBLICLY FUNDED HEALTH SERVICES EFFECTIVE: 12 OCTOBER 2010&lt;/title&gt;&lt;/titles&gt;&lt;dates&gt;&lt;year&gt;2010&lt;/year&gt;&lt;/dates&gt;&lt;urls&gt;&lt;/urls&gt;&lt;/record&gt;&lt;/Cite&gt;&lt;/EndNote&gt;</w:instrText>
      </w:r>
      <w:r>
        <w:fldChar w:fldCharType="separate"/>
      </w:r>
      <w:r w:rsidR="00551E6B" w:rsidRPr="00551E6B">
        <w:rPr>
          <w:noProof/>
          <w:vertAlign w:val="superscript"/>
        </w:rPr>
        <w:t>(</w:t>
      </w:r>
      <w:hyperlink w:anchor="_ENREF_12" w:tooltip="Auckland DHB, 2010 #783" w:history="1">
        <w:r w:rsidR="0029347A" w:rsidRPr="00551E6B">
          <w:rPr>
            <w:noProof/>
            <w:vertAlign w:val="superscript"/>
          </w:rPr>
          <w:t>12</w:t>
        </w:r>
      </w:hyperlink>
      <w:r w:rsidR="00551E6B" w:rsidRPr="00551E6B">
        <w:rPr>
          <w:noProof/>
          <w:vertAlign w:val="superscript"/>
        </w:rPr>
        <w:t>)</w:t>
      </w:r>
      <w:r>
        <w:fldChar w:fldCharType="end"/>
      </w:r>
      <w:r>
        <w:t xml:space="preserve"> and the </w:t>
      </w:r>
      <w:r w:rsidR="00907C8A">
        <w:t xml:space="preserve">New Zealand </w:t>
      </w:r>
      <w:r w:rsidRPr="007F2A09">
        <w:rPr>
          <w:rFonts w:cs="Arial"/>
          <w:i/>
          <w:noProof/>
          <w:color w:val="000000"/>
        </w:rPr>
        <w:t>Burden of Disease Epidemiology, Equity and Cost-Effectiveness Programme (</w:t>
      </w:r>
      <w:r w:rsidR="00907C8A">
        <w:rPr>
          <w:rFonts w:cs="Arial"/>
          <w:i/>
          <w:noProof/>
          <w:color w:val="000000"/>
        </w:rPr>
        <w:t>BODE</w:t>
      </w:r>
      <w:r w:rsidR="00907C8A" w:rsidRPr="00907C8A">
        <w:rPr>
          <w:rFonts w:cs="Arial"/>
          <w:i/>
          <w:noProof/>
          <w:color w:val="000000"/>
          <w:vertAlign w:val="superscript"/>
        </w:rPr>
        <w:t>3</w:t>
      </w:r>
      <w:r w:rsidRPr="007F2A09">
        <w:rPr>
          <w:rFonts w:cs="Arial"/>
          <w:i/>
          <w:noProof/>
          <w:color w:val="000000"/>
        </w:rPr>
        <w:t>)</w:t>
      </w:r>
      <w:r>
        <w:t xml:space="preserve"> </w:t>
      </w:r>
      <w:r w:rsidR="00907C8A">
        <w:t xml:space="preserve">costing </w:t>
      </w:r>
      <w:r>
        <w:t>protocol</w:t>
      </w:r>
      <w:r>
        <w:fldChar w:fldCharType="begin"/>
      </w:r>
      <w:r w:rsidR="00551E6B">
        <w:instrText xml:space="preserve"> ADDIN EN.CITE &lt;EndNote&gt;&lt;Cite&gt;&lt;Author&gt;Foster&lt;/Author&gt;&lt;Year&gt;2013&lt;/Year&gt;&lt;RecNum&gt;742&lt;/RecNum&gt;&lt;DisplayText&gt;&lt;style face="superscript"&gt;(13)&lt;/style&gt;&lt;/DisplayText&gt;&lt;record&gt;&lt;rec-number&gt;742&lt;/rec-number&gt;&lt;foreign-keys&gt;&lt;key app="EN" db-id="22d09ravozpff5ea9zs509ewttsdavsvwr25"&gt;742&lt;/key&gt;&lt;/foreign-keys&gt;&lt;ref-type name="Report"&gt;27&lt;/ref-type&gt;&lt;contributors&gt;&lt;authors&gt;&lt;author&gt;Foster, R.&lt;/author&gt;&lt;author&gt;Blakely, T.&lt;/author&gt;&lt;author&gt;Wilson, N.&lt;/author&gt;&lt;author&gt;O&amp;apos;Dea, D.&lt;/author&gt;&lt;/authors&gt;&lt;/contributors&gt;&lt;titles&gt;&lt;title&gt;Protocol for Direct Costing of Health Sector Interventions for Economic Modelling (Including Event Pathways): Burden of Disease Epidemiology, Equity and Cost-Effectiveness Programme (BODE3)&lt;/title&gt;&lt;secondary-title&gt;Public Health Monograph Series&lt;/secondary-title&gt;&lt;/titles&gt;&lt;num-vols&gt;27&lt;/num-vols&gt;&lt;dates&gt;&lt;year&gt;2013&lt;/year&gt;&lt;/dates&gt;&lt;pub-location&gt;Wellington&lt;/pub-location&gt;&lt;publisher&gt;Department of Public Health, University of Otago&lt;/publisher&gt;&lt;isbn&gt;12&lt;/isbn&gt;&lt;urls&gt;&lt;/urls&gt;&lt;/record&gt;&lt;/Cite&gt;&lt;/EndNote&gt;</w:instrText>
      </w:r>
      <w:r>
        <w:fldChar w:fldCharType="separate"/>
      </w:r>
      <w:r w:rsidR="00551E6B" w:rsidRPr="00551E6B">
        <w:rPr>
          <w:noProof/>
          <w:vertAlign w:val="superscript"/>
        </w:rPr>
        <w:t>(</w:t>
      </w:r>
      <w:hyperlink w:anchor="_ENREF_13" w:tooltip="Foster, 2013 #742" w:history="1">
        <w:r w:rsidR="0029347A" w:rsidRPr="00551E6B">
          <w:rPr>
            <w:noProof/>
            <w:vertAlign w:val="superscript"/>
          </w:rPr>
          <w:t>13</w:t>
        </w:r>
      </w:hyperlink>
      <w:r w:rsidR="00551E6B" w:rsidRPr="00551E6B">
        <w:rPr>
          <w:noProof/>
          <w:vertAlign w:val="superscript"/>
        </w:rPr>
        <w:t>)</w:t>
      </w:r>
      <w:r>
        <w:fldChar w:fldCharType="end"/>
      </w:r>
      <w:r>
        <w:t>.</w:t>
      </w:r>
    </w:p>
    <w:p w:rsidR="002A39E3" w:rsidRPr="006D219E" w:rsidRDefault="002A39E3" w:rsidP="00C54A8A">
      <w:pPr>
        <w:jc w:val="both"/>
      </w:pPr>
      <w:r>
        <w:t xml:space="preserve">For general DHB service provision data, results from the </w:t>
      </w:r>
      <w:r w:rsidRPr="00375DB4">
        <w:rPr>
          <w:i/>
        </w:rPr>
        <w:t>Alleviating the Burden of Chronic Conditions</w:t>
      </w:r>
      <w:r>
        <w:rPr>
          <w:i/>
        </w:rPr>
        <w:fldChar w:fldCharType="begin"/>
      </w:r>
      <w:r w:rsidR="00CA3202">
        <w:rPr>
          <w:i/>
        </w:rPr>
        <w:instrText xml:space="preserve"> ADDIN EN.CITE &lt;EndNote&gt;&lt;Cite&gt;&lt;Author&gt;Connolly&lt;/Author&gt;&lt;Year&gt;2011&lt;/Year&gt;&lt;RecNum&gt;741&lt;/RecNum&gt;&lt;DisplayText&gt;&lt;style face="superscript"&gt;(14)&lt;/style&gt;&lt;/DisplayText&gt;&lt;record&gt;&lt;rec-number&gt;741&lt;/rec-number&gt;&lt;foreign-keys&gt;&lt;key app="EN" db-id="paxef0v91tx5e7eaev8xxf2xd92zvrfrv592"&gt;741&lt;/key&gt;&lt;/foreign-keys&gt;&lt;ref-type name="Journal Article"&gt;17&lt;/ref-type&gt;&lt;contributors&gt;&lt;authors&gt;&lt;author&gt;Connolly, Martin J&lt;/author&gt;&lt;author&gt;Kenealy, Timothy&lt;/author&gt;&lt;author&gt;Barber, P Alan&lt;/author&gt;&lt;author&gt;Carswell, Peter&lt;/author&gt;&lt;author&gt;Clinton, Janet&lt;/author&gt;&lt;author&gt;Dyall, Lorna&lt;/author&gt;&lt;author&gt;Devlin, Gerard&lt;/author&gt;&lt;author&gt;Doughty, Robert N&lt;/author&gt;&lt;author&gt;Kerse, Ngaire&lt;/author&gt;&lt;author&gt;Kolbe, John&lt;/author&gt;&lt;/authors&gt;&lt;/contributors&gt;&lt;titles&gt;&lt;title&gt;National variability in provision of health services for major long-term conditions in New Zealand (a report from the ABCC NZ study)&lt;/title&gt;&lt;secondary-title&gt;Journal of the New Zealand Medical Association&lt;/secondary-title&gt;&lt;/titles&gt;&lt;periodical&gt;&lt;full-title&gt;Journal of the New Zealand Medical Association&lt;/full-title&gt;&lt;/periodical&gt;&lt;volume&gt;124&lt;/volume&gt;&lt;number&gt;1344&lt;/number&gt;&lt;dates&gt;&lt;year&gt;2011&lt;/year&gt;&lt;/dates&gt;&lt;urls&gt;&lt;/urls&gt;&lt;/record&gt;&lt;/Cite&gt;&lt;/EndNote&gt;</w:instrText>
      </w:r>
      <w:r>
        <w:rPr>
          <w:i/>
        </w:rPr>
        <w:fldChar w:fldCharType="separate"/>
      </w:r>
      <w:r w:rsidR="00551E6B" w:rsidRPr="00551E6B">
        <w:rPr>
          <w:i/>
          <w:noProof/>
          <w:vertAlign w:val="superscript"/>
        </w:rPr>
        <w:t>(</w:t>
      </w:r>
      <w:hyperlink w:anchor="_ENREF_14" w:tooltip="Connolly, 2011 #741" w:history="1">
        <w:r w:rsidR="0029347A" w:rsidRPr="00551E6B">
          <w:rPr>
            <w:i/>
            <w:noProof/>
            <w:vertAlign w:val="superscript"/>
          </w:rPr>
          <w:t>14</w:t>
        </w:r>
      </w:hyperlink>
      <w:r w:rsidR="00551E6B" w:rsidRPr="00551E6B">
        <w:rPr>
          <w:i/>
          <w:noProof/>
          <w:vertAlign w:val="superscript"/>
        </w:rPr>
        <w:t>)</w:t>
      </w:r>
      <w:r>
        <w:rPr>
          <w:i/>
        </w:rPr>
        <w:fldChar w:fldCharType="end"/>
      </w:r>
      <w:r>
        <w:rPr>
          <w:i/>
        </w:rPr>
        <w:t xml:space="preserve"> </w:t>
      </w:r>
      <w:r>
        <w:t xml:space="preserve"> (ABCC) study were cited.  Where DHB-specific data was sought, each DHB’s website was searched using the terms ‘Chronic Obstructive Pulmonary Disease’ and ‘COPD’ between June and July 2013 for respiratory or COPD service plans.  Where no information was found on a DHB website, DHBs were contacted directly.</w:t>
      </w:r>
    </w:p>
    <w:p w:rsidR="002A39E3" w:rsidRPr="003D17D6" w:rsidRDefault="002A39E3" w:rsidP="00C54A8A">
      <w:pPr>
        <w:pStyle w:val="Heading2"/>
        <w:jc w:val="both"/>
      </w:pPr>
      <w:bookmarkStart w:id="48" w:name="_Ref367181268"/>
      <w:bookmarkStart w:id="49" w:name="_Toc369253756"/>
      <w:bookmarkStart w:id="50" w:name="_Toc370401380"/>
      <w:bookmarkStart w:id="51" w:name="_Toc370477224"/>
      <w:bookmarkStart w:id="52" w:name="_Toc371949660"/>
      <w:bookmarkStart w:id="53" w:name="_Toc382225511"/>
      <w:bookmarkStart w:id="54" w:name="_Toc382475493"/>
      <w:bookmarkStart w:id="55" w:name="_Toc382554880"/>
      <w:bookmarkStart w:id="56" w:name="_Toc382574734"/>
      <w:r w:rsidRPr="003D17D6">
        <w:t>Prevalence</w:t>
      </w:r>
      <w:bookmarkEnd w:id="48"/>
      <w:bookmarkEnd w:id="49"/>
      <w:bookmarkEnd w:id="50"/>
      <w:bookmarkEnd w:id="51"/>
      <w:bookmarkEnd w:id="52"/>
      <w:bookmarkEnd w:id="53"/>
      <w:bookmarkEnd w:id="54"/>
      <w:bookmarkEnd w:id="55"/>
      <w:bookmarkEnd w:id="56"/>
    </w:p>
    <w:p w:rsidR="002A39E3" w:rsidRDefault="002A39E3" w:rsidP="00C54A8A">
      <w:pPr>
        <w:jc w:val="both"/>
      </w:pPr>
      <w:r w:rsidRPr="00FE7190">
        <w:t>The New Zealand Health Tracker (NZHT) is a health census of resident New Zealanders created through the linkage of data in the Ministry of Health’s national collections and other data sources. It was established and is maintained by the Ministry of Health’s Health and Disability Intelligence (HDI) unit</w:t>
      </w:r>
      <w:r>
        <w:t xml:space="preserve"> and is currently up-to-date to 2010/11</w:t>
      </w:r>
      <w:r w:rsidRPr="00FE7190">
        <w:t xml:space="preserve">. </w:t>
      </w:r>
      <w:r>
        <w:t>While COPD prevalence data from the NZHT has not previously been published they were used here in preference to the previously published New Zealand Health Survey results</w:t>
      </w:r>
      <w:r>
        <w:fldChar w:fldCharType="begin"/>
      </w:r>
      <w:r w:rsidR="00551E6B">
        <w:instrText xml:space="preserve"> ADDIN EN.CITE &lt;EndNote&gt;&lt;Cite&gt;&lt;Author&gt;Ministry of Health&lt;/Author&gt;&lt;Year&gt;2008&lt;/Year&gt;&lt;RecNum&gt;744&lt;/RecNum&gt;&lt;DisplayText&gt;&lt;style face="superscript"&gt;(5)&lt;/style&gt;&lt;/DisplayText&gt;&lt;record&gt;&lt;rec-number&gt;744&lt;/rec-number&gt;&lt;foreign-keys&gt;&lt;key app="EN" db-id="22d09ravozpff5ea9zs509ewttsdavsvwr25"&gt;744&lt;/key&gt;&lt;/foreign-keys&gt;&lt;ref-type name="Book"&gt;6&lt;/ref-type&gt;&lt;contributors&gt;&lt;authors&gt;&lt;author&gt;Ministry of Health,&lt;/author&gt;&lt;/authors&gt;&lt;/contributors&gt;&lt;titles&gt;&lt;title&gt;A Portrait of Health: Key Results of the 2006/07 New Zealand Health Survey&lt;/title&gt;&lt;/titles&gt;&lt;dates&gt;&lt;year&gt;2008&lt;/year&gt;&lt;/dates&gt;&lt;pub-location&gt;Wellington&lt;/pub-location&gt;&lt;publisher&gt;Ministry of Health&lt;/publisher&gt;&lt;urls&gt;&lt;related-urls&gt;&lt;url&gt;http://www.health.govt.nz/publication/portrait-health-key-results-2006-07-new-zealand-health-survey&lt;/url&gt;&lt;/related-urls&gt;&lt;/urls&gt;&lt;/record&gt;&lt;/Cite&gt;&lt;/EndNote&gt;</w:instrText>
      </w:r>
      <w:r>
        <w:fldChar w:fldCharType="separate"/>
      </w:r>
      <w:r w:rsidR="00551E6B" w:rsidRPr="00551E6B">
        <w:rPr>
          <w:noProof/>
          <w:vertAlign w:val="superscript"/>
        </w:rPr>
        <w:t>(</w:t>
      </w:r>
      <w:hyperlink w:anchor="_ENREF_5" w:tooltip="Ministry of Health, 2008 #744" w:history="1">
        <w:r w:rsidR="0029347A" w:rsidRPr="00551E6B">
          <w:rPr>
            <w:noProof/>
            <w:vertAlign w:val="superscript"/>
          </w:rPr>
          <w:t>5</w:t>
        </w:r>
      </w:hyperlink>
      <w:r w:rsidR="00551E6B" w:rsidRPr="00551E6B">
        <w:rPr>
          <w:noProof/>
          <w:vertAlign w:val="superscript"/>
        </w:rPr>
        <w:t>)</w:t>
      </w:r>
      <w:r>
        <w:fldChar w:fldCharType="end"/>
      </w:r>
      <w:r>
        <w:t>, as they are more up-to-date and more comprehensive than the survey results which rely on self-reporting and weighting of  population samples to represent the whole. The NZHT is also very useful as it allows patients’ service use and, hence, costs to be analysed.</w:t>
      </w:r>
    </w:p>
    <w:p w:rsidR="002A39E3" w:rsidRDefault="002A39E3" w:rsidP="00C54A8A">
      <w:pPr>
        <w:jc w:val="both"/>
        <w:rPr>
          <w:rFonts w:eastAsiaTheme="minorEastAsia"/>
          <w:b/>
          <w:bCs/>
          <w:color w:val="23532C"/>
          <w:sz w:val="18"/>
          <w:szCs w:val="20"/>
          <w:lang w:val="en-GB" w:eastAsia="en-GB"/>
        </w:rPr>
      </w:pPr>
      <w:r>
        <w:t xml:space="preserve">The definition for a prevalent COPD case used here is the same as that used in the </w:t>
      </w:r>
      <w:r w:rsidRPr="00040044">
        <w:rPr>
          <w:i/>
        </w:rPr>
        <w:t>New Zealand Burden of Diseases, Injuries and Risk Factors Study, 2006–2016</w:t>
      </w:r>
      <w:r>
        <w:rPr>
          <w:i/>
        </w:rPr>
        <w:t xml:space="preserve"> </w:t>
      </w:r>
      <w:r>
        <w:t>(NZBDS)</w:t>
      </w:r>
      <w:r w:rsidRPr="001A3544">
        <w:fldChar w:fldCharType="begin"/>
      </w:r>
      <w:r w:rsidR="00551E6B">
        <w:instrText xml:space="preserve"> ADDIN EN.CITE &lt;EndNote&gt;&lt;Cite&gt;&lt;Author&gt;Ministry of Health&lt;/Author&gt;&lt;Year&gt;2013&lt;/Year&gt;&lt;RecNum&gt;743&lt;/RecNum&gt;&lt;DisplayText&gt;&lt;style face="superscript"&gt;(15)&lt;/style&gt;&lt;/DisplayText&gt;&lt;record&gt;&lt;rec-number&gt;743&lt;/rec-number&gt;&lt;foreign-keys&gt;&lt;key app="EN" db-id="22d09ravozpff5ea9zs509ewttsdavsvwr25"&gt;743&lt;/key&gt;&lt;/foreign-keys&gt;&lt;ref-type name="Report"&gt;27&lt;/ref-type&gt;&lt;contributors&gt;&lt;authors&gt;&lt;author&gt;Ministry of Health,&lt;/author&gt;&lt;/authors&gt;&lt;tertiary-authors&gt;&lt;author&gt;Ministry of Health&lt;/author&gt;&lt;/tertiary-authors&gt;&lt;/contributors&gt;&lt;titles&gt;&lt;title&gt;Health Loss in New Zealand: A report from the New Zealand Burden of Diseases, Injuries and Risk Factors Study, 2006-2016&lt;/title&gt;&lt;/titles&gt;&lt;dates&gt;&lt;year&gt;2013&lt;/year&gt;&lt;/dates&gt;&lt;pub-location&gt;Wellington&lt;/pub-location&gt;&lt;publisher&gt;Ministry of Health&lt;/publisher&gt;&lt;urls&gt;&lt;related-urls&gt;&lt;url&gt;http://www.health.govt.nz/publication/health-loss-new-zealand-report-new-zealand-burden-diseases-injuries-and-risk-factors-study-2006-2016&lt;/url&gt;&lt;/related-urls&gt;&lt;/urls&gt;&lt;access-date&gt;9 September 2013&lt;/access-date&gt;&lt;/record&gt;&lt;/Cite&gt;&lt;/EndNote&gt;</w:instrText>
      </w:r>
      <w:r w:rsidRPr="001A3544">
        <w:fldChar w:fldCharType="separate"/>
      </w:r>
      <w:r w:rsidR="00551E6B" w:rsidRPr="00551E6B">
        <w:rPr>
          <w:noProof/>
          <w:vertAlign w:val="superscript"/>
        </w:rPr>
        <w:t>(</w:t>
      </w:r>
      <w:hyperlink w:anchor="_ENREF_15" w:tooltip="Ministry of Health, 2013 #743" w:history="1">
        <w:r w:rsidR="0029347A" w:rsidRPr="00551E6B">
          <w:rPr>
            <w:noProof/>
            <w:vertAlign w:val="superscript"/>
          </w:rPr>
          <w:t>15</w:t>
        </w:r>
      </w:hyperlink>
      <w:r w:rsidR="00551E6B" w:rsidRPr="00551E6B">
        <w:rPr>
          <w:noProof/>
          <w:vertAlign w:val="superscript"/>
        </w:rPr>
        <w:t>)</w:t>
      </w:r>
      <w:r w:rsidRPr="001A3544">
        <w:fldChar w:fldCharType="end"/>
      </w:r>
      <w:r>
        <w:rPr>
          <w:i/>
        </w:rPr>
        <w:t xml:space="preserve"> </w:t>
      </w:r>
      <w:r w:rsidRPr="006D72C8">
        <w:t>aside from the age limitation which was 15 years in the NZBDS.</w:t>
      </w:r>
      <w:r>
        <w:rPr>
          <w:i/>
        </w:rPr>
        <w:t xml:space="preserve">  </w:t>
      </w:r>
      <w:r w:rsidRPr="006D72C8">
        <w:t>For this analysis</w:t>
      </w:r>
      <w:r>
        <w:rPr>
          <w:i/>
        </w:rPr>
        <w:t xml:space="preserve"> </w:t>
      </w:r>
      <w:r w:rsidRPr="00040044">
        <w:t>COPD</w:t>
      </w:r>
      <w:r>
        <w:t xml:space="preserve"> is defined as any person aged 35 years or older who has any history (from 2001 to 2011) of being prescribed any relevant pharmaceuticals </w:t>
      </w:r>
      <w:r>
        <w:rPr>
          <w:lang w:val="en-GB" w:eastAsia="en-GB"/>
        </w:rPr>
        <w:t xml:space="preserve">or any admission with any diagnosis of COPD. </w:t>
      </w:r>
      <w:bookmarkStart w:id="57" w:name="_Toc369253757"/>
      <w:bookmarkStart w:id="58" w:name="_Ref365296759"/>
    </w:p>
    <w:p w:rsidR="002A39E3" w:rsidRDefault="002A39E3" w:rsidP="00C54A8A">
      <w:pPr>
        <w:pStyle w:val="Heading2"/>
        <w:jc w:val="both"/>
      </w:pPr>
      <w:bookmarkStart w:id="59" w:name="_Toc370401381"/>
      <w:bookmarkStart w:id="60" w:name="_Toc370477225"/>
      <w:bookmarkStart w:id="61" w:name="_Toc371949661"/>
      <w:bookmarkStart w:id="62" w:name="_Toc382225512"/>
      <w:bookmarkStart w:id="63" w:name="_Toc382475494"/>
      <w:bookmarkStart w:id="64" w:name="_Toc382554881"/>
      <w:bookmarkStart w:id="65" w:name="_Toc382574735"/>
      <w:r>
        <w:t>Costs</w:t>
      </w:r>
      <w:bookmarkEnd w:id="57"/>
      <w:bookmarkEnd w:id="59"/>
      <w:bookmarkEnd w:id="60"/>
      <w:bookmarkEnd w:id="61"/>
      <w:bookmarkEnd w:id="62"/>
      <w:bookmarkEnd w:id="63"/>
      <w:bookmarkEnd w:id="64"/>
      <w:bookmarkEnd w:id="65"/>
    </w:p>
    <w:bookmarkEnd w:id="58"/>
    <w:p w:rsidR="002A39E3" w:rsidRDefault="002A39E3" w:rsidP="00C54A8A">
      <w:pPr>
        <w:jc w:val="both"/>
      </w:pPr>
      <w:r>
        <w:t xml:space="preserve">Each patient’s pharmaceutical, </w:t>
      </w:r>
      <w:r w:rsidR="005F5245">
        <w:t>general practitioner (</w:t>
      </w:r>
      <w:r>
        <w:t>GP</w:t>
      </w:r>
      <w:r w:rsidR="005F5245">
        <w:t>)</w:t>
      </w:r>
      <w:r>
        <w:t>, outpatient, emergency department</w:t>
      </w:r>
      <w:r w:rsidR="00F74054">
        <w:t xml:space="preserve"> </w:t>
      </w:r>
      <w:r w:rsidR="0065429F">
        <w:t>(ED)</w:t>
      </w:r>
      <w:r>
        <w:t xml:space="preserve"> and hospital ‘costs’ have been summed to create a cost-per-patient. </w:t>
      </w:r>
    </w:p>
    <w:p w:rsidR="002A39E3" w:rsidRDefault="002A39E3" w:rsidP="00C54A8A">
      <w:pPr>
        <w:jc w:val="both"/>
      </w:pPr>
      <w:r>
        <w:t>There are other costs to the health system that result from COPD.  For example a COPD patient admitted to hospital with pneumonia may have a longer stay than a patient without COPD for the same admission. COPD is a degenerative disease and may be the reason for a patient needing community services such as home help or needing to move into an aged care facility. COPD patients may receive occupational and physiotherapy. To provide a picture of the COPD cost data in a timely manner, only the costs mentioned above</w:t>
      </w:r>
      <w:r w:rsidR="00402750">
        <w:t xml:space="preserve"> (pharmaceutical, GP, ED and</w:t>
      </w:r>
      <w:r>
        <w:t xml:space="preserve"> outpatient costs) have been included. While these are not comprehensive, they provide enough information to assess the COPD pathway in terms of the interventions that should be assessed to improve health outcomes for New Zealanders.</w:t>
      </w:r>
    </w:p>
    <w:p w:rsidR="002A39E3" w:rsidRPr="003C5FED" w:rsidRDefault="002A39E3" w:rsidP="00C54A8A">
      <w:pPr>
        <w:pStyle w:val="Heading2"/>
        <w:jc w:val="both"/>
      </w:pPr>
      <w:bookmarkStart w:id="66" w:name="_Toc369253764"/>
      <w:bookmarkStart w:id="67" w:name="_Toc370401382"/>
      <w:bookmarkStart w:id="68" w:name="_Toc370477226"/>
      <w:bookmarkStart w:id="69" w:name="_Toc371949662"/>
      <w:bookmarkStart w:id="70" w:name="_Toc382225513"/>
      <w:bookmarkStart w:id="71" w:name="_Toc382475495"/>
      <w:bookmarkStart w:id="72" w:name="_Toc382554882"/>
      <w:bookmarkStart w:id="73" w:name="_Toc382574736"/>
      <w:r w:rsidRPr="003C5FED">
        <w:t xml:space="preserve">Patient </w:t>
      </w:r>
      <w:r>
        <w:t>Stratification</w:t>
      </w:r>
      <w:bookmarkEnd w:id="66"/>
      <w:bookmarkEnd w:id="67"/>
      <w:bookmarkEnd w:id="68"/>
      <w:bookmarkEnd w:id="69"/>
      <w:bookmarkEnd w:id="70"/>
      <w:bookmarkEnd w:id="71"/>
      <w:bookmarkEnd w:id="72"/>
      <w:bookmarkEnd w:id="73"/>
    </w:p>
    <w:p w:rsidR="002A39E3" w:rsidRDefault="002A39E3" w:rsidP="00C54A8A">
      <w:pPr>
        <w:jc w:val="both"/>
      </w:pPr>
      <w:r>
        <w:t xml:space="preserve">Patients have been put into mutually exclusive groups indicative of the severity of their COPD as outlined in </w:t>
      </w:r>
      <w:r>
        <w:fldChar w:fldCharType="begin"/>
      </w:r>
      <w:r>
        <w:instrText xml:space="preserve"> REF _Ref365534886 \h </w:instrText>
      </w:r>
      <w:r w:rsidR="00C54A8A">
        <w:instrText xml:space="preserve"> \* MERGEFORMAT </w:instrText>
      </w:r>
      <w:r>
        <w:fldChar w:fldCharType="separate"/>
      </w:r>
      <w:r w:rsidR="000B70CE">
        <w:t xml:space="preserve">Table </w:t>
      </w:r>
      <w:r w:rsidR="000B70CE">
        <w:rPr>
          <w:noProof/>
        </w:rPr>
        <w:t>3</w:t>
      </w:r>
      <w:r>
        <w:fldChar w:fldCharType="end"/>
      </w:r>
      <w:r>
        <w:t xml:space="preserve">. </w:t>
      </w:r>
      <w:r w:rsidR="0059413C">
        <w:t>Patients have been classed according to their service use and costs, not by their lung function and exacerbations.</w:t>
      </w:r>
    </w:p>
    <w:p w:rsidR="002A39E3" w:rsidRDefault="002A39E3" w:rsidP="00C54A8A">
      <w:pPr>
        <w:pStyle w:val="Caption"/>
        <w:jc w:val="both"/>
      </w:pPr>
      <w:bookmarkStart w:id="74" w:name="_Ref365534886"/>
      <w:r>
        <w:t xml:space="preserve">Table </w:t>
      </w:r>
      <w:r>
        <w:fldChar w:fldCharType="begin"/>
      </w:r>
      <w:r>
        <w:instrText xml:space="preserve"> SEQ Table \* ARABIC </w:instrText>
      </w:r>
      <w:r>
        <w:fldChar w:fldCharType="separate"/>
      </w:r>
      <w:r w:rsidR="000B70CE">
        <w:rPr>
          <w:noProof/>
        </w:rPr>
        <w:t>3</w:t>
      </w:r>
      <w:r>
        <w:rPr>
          <w:noProof/>
        </w:rPr>
        <w:fldChar w:fldCharType="end"/>
      </w:r>
      <w:bookmarkEnd w:id="74"/>
      <w:r w:rsidR="00907C8A">
        <w:t>:</w:t>
      </w:r>
      <w:r>
        <w:t xml:space="preserve"> Disease stage definitions used for the data presented in this document</w:t>
      </w:r>
    </w:p>
    <w:tbl>
      <w:tblPr>
        <w:tblStyle w:val="MediumShading1-Accent3"/>
        <w:tblW w:w="0" w:type="auto"/>
        <w:tblLook w:val="04A0" w:firstRow="1" w:lastRow="0" w:firstColumn="1" w:lastColumn="0" w:noHBand="0" w:noVBand="1"/>
      </w:tblPr>
      <w:tblGrid>
        <w:gridCol w:w="3080"/>
        <w:gridCol w:w="3081"/>
        <w:gridCol w:w="3081"/>
      </w:tblGrid>
      <w:tr w:rsidR="002A39E3" w:rsidRPr="00835256" w:rsidTr="00931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2A39E3" w:rsidRPr="00835256" w:rsidRDefault="002A39E3" w:rsidP="00C54A8A">
            <w:pPr>
              <w:spacing w:after="0"/>
              <w:jc w:val="both"/>
              <w:rPr>
                <w:sz w:val="20"/>
                <w:szCs w:val="20"/>
              </w:rPr>
            </w:pPr>
            <w:r w:rsidRPr="00835256">
              <w:rPr>
                <w:sz w:val="20"/>
                <w:szCs w:val="20"/>
              </w:rPr>
              <w:t>Disease stage</w:t>
            </w:r>
          </w:p>
        </w:tc>
        <w:tc>
          <w:tcPr>
            <w:tcW w:w="3081" w:type="dxa"/>
          </w:tcPr>
          <w:p w:rsidR="002A39E3" w:rsidRPr="00835256" w:rsidRDefault="002A39E3" w:rsidP="00C54A8A">
            <w:pPr>
              <w:spacing w:after="0"/>
              <w:jc w:val="both"/>
              <w:cnfStyle w:val="100000000000" w:firstRow="1" w:lastRow="0" w:firstColumn="0" w:lastColumn="0" w:oddVBand="0" w:evenVBand="0" w:oddHBand="0" w:evenHBand="0" w:firstRowFirstColumn="0" w:firstRowLastColumn="0" w:lastRowFirstColumn="0" w:lastRowLastColumn="0"/>
              <w:rPr>
                <w:sz w:val="20"/>
                <w:szCs w:val="20"/>
              </w:rPr>
            </w:pPr>
            <w:r w:rsidRPr="00835256">
              <w:rPr>
                <w:sz w:val="20"/>
                <w:szCs w:val="20"/>
              </w:rPr>
              <w:t>Disease State</w:t>
            </w:r>
          </w:p>
        </w:tc>
        <w:tc>
          <w:tcPr>
            <w:tcW w:w="3081" w:type="dxa"/>
          </w:tcPr>
          <w:p w:rsidR="002A39E3" w:rsidRPr="00835256" w:rsidRDefault="002A39E3" w:rsidP="00C54A8A">
            <w:pPr>
              <w:spacing w:after="0"/>
              <w:jc w:val="both"/>
              <w:cnfStyle w:val="100000000000" w:firstRow="1" w:lastRow="0" w:firstColumn="0" w:lastColumn="0" w:oddVBand="0" w:evenVBand="0" w:oddHBand="0" w:evenHBand="0" w:firstRowFirstColumn="0" w:firstRowLastColumn="0" w:lastRowFirstColumn="0" w:lastRowLastColumn="0"/>
              <w:rPr>
                <w:sz w:val="20"/>
                <w:szCs w:val="20"/>
              </w:rPr>
            </w:pPr>
            <w:r w:rsidRPr="00835256">
              <w:rPr>
                <w:sz w:val="20"/>
                <w:szCs w:val="20"/>
              </w:rPr>
              <w:t>Definition</w:t>
            </w:r>
          </w:p>
        </w:tc>
      </w:tr>
      <w:tr w:rsidR="002A39E3" w:rsidRPr="00835256"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2A39E3" w:rsidRPr="005A1FD7" w:rsidRDefault="002A39E3" w:rsidP="00C54A8A">
            <w:pPr>
              <w:spacing w:after="0"/>
              <w:jc w:val="both"/>
              <w:rPr>
                <w:sz w:val="16"/>
                <w:szCs w:val="16"/>
              </w:rPr>
            </w:pPr>
            <w:r w:rsidRPr="005A1FD7">
              <w:rPr>
                <w:sz w:val="16"/>
                <w:szCs w:val="16"/>
              </w:rPr>
              <w:t>Early</w:t>
            </w:r>
          </w:p>
        </w:tc>
        <w:tc>
          <w:tcPr>
            <w:tcW w:w="3081" w:type="dxa"/>
          </w:tcPr>
          <w:p w:rsidR="002A39E3" w:rsidRPr="005A1FD7" w:rsidRDefault="002A39E3" w:rsidP="00C54A8A">
            <w:pPr>
              <w:spacing w:after="0"/>
              <w:jc w:val="both"/>
              <w:cnfStyle w:val="000000100000" w:firstRow="0" w:lastRow="0" w:firstColumn="0" w:lastColumn="0" w:oddVBand="0" w:evenVBand="0" w:oddHBand="1" w:evenHBand="0" w:firstRowFirstColumn="0" w:firstRowLastColumn="0" w:lastRowFirstColumn="0" w:lastRowLastColumn="0"/>
              <w:rPr>
                <w:sz w:val="16"/>
                <w:szCs w:val="16"/>
              </w:rPr>
            </w:pPr>
            <w:r w:rsidRPr="005A1FD7">
              <w:rPr>
                <w:sz w:val="16"/>
                <w:szCs w:val="16"/>
              </w:rPr>
              <w:t>Stable</w:t>
            </w:r>
          </w:p>
        </w:tc>
        <w:tc>
          <w:tcPr>
            <w:tcW w:w="3081" w:type="dxa"/>
          </w:tcPr>
          <w:p w:rsidR="002A39E3" w:rsidRPr="005A1FD7" w:rsidRDefault="002A39E3" w:rsidP="00C54A8A">
            <w:pPr>
              <w:spacing w:after="0"/>
              <w:jc w:val="both"/>
              <w:cnfStyle w:val="000000100000" w:firstRow="0" w:lastRow="0" w:firstColumn="0" w:lastColumn="0" w:oddVBand="0" w:evenVBand="0" w:oddHBand="1" w:evenHBand="0" w:firstRowFirstColumn="0" w:firstRowLastColumn="0" w:lastRowFirstColumn="0" w:lastRowLastColumn="0"/>
              <w:rPr>
                <w:sz w:val="16"/>
                <w:szCs w:val="16"/>
              </w:rPr>
            </w:pPr>
            <w:r w:rsidRPr="005A1FD7">
              <w:rPr>
                <w:sz w:val="16"/>
                <w:szCs w:val="16"/>
              </w:rPr>
              <w:t>Not in late stage.</w:t>
            </w:r>
          </w:p>
          <w:p w:rsidR="002A39E3" w:rsidRPr="005A1FD7" w:rsidRDefault="002A39E3" w:rsidP="00C54A8A">
            <w:pPr>
              <w:spacing w:after="0"/>
              <w:jc w:val="both"/>
              <w:cnfStyle w:val="000000100000" w:firstRow="0" w:lastRow="0" w:firstColumn="0" w:lastColumn="0" w:oddVBand="0" w:evenVBand="0" w:oddHBand="1" w:evenHBand="0" w:firstRowFirstColumn="0" w:firstRowLastColumn="0" w:lastRowFirstColumn="0" w:lastRowLastColumn="0"/>
              <w:rPr>
                <w:sz w:val="16"/>
                <w:szCs w:val="16"/>
              </w:rPr>
            </w:pPr>
            <w:r w:rsidRPr="005A1FD7">
              <w:rPr>
                <w:sz w:val="16"/>
                <w:szCs w:val="16"/>
              </w:rPr>
              <w:t>Not had minor exacerbation.</w:t>
            </w:r>
          </w:p>
        </w:tc>
      </w:tr>
      <w:tr w:rsidR="002A39E3" w:rsidRPr="00835256" w:rsidTr="00931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2A39E3" w:rsidRPr="005A1FD7" w:rsidRDefault="002A39E3" w:rsidP="00C54A8A">
            <w:pPr>
              <w:spacing w:after="0"/>
              <w:jc w:val="both"/>
              <w:rPr>
                <w:sz w:val="16"/>
                <w:szCs w:val="16"/>
              </w:rPr>
            </w:pPr>
          </w:p>
        </w:tc>
        <w:tc>
          <w:tcPr>
            <w:tcW w:w="3081" w:type="dxa"/>
          </w:tcPr>
          <w:p w:rsidR="002A39E3" w:rsidRPr="005A1FD7" w:rsidRDefault="002A39E3" w:rsidP="00C54A8A">
            <w:pPr>
              <w:spacing w:after="0"/>
              <w:jc w:val="both"/>
              <w:cnfStyle w:val="000000010000" w:firstRow="0" w:lastRow="0" w:firstColumn="0" w:lastColumn="0" w:oddVBand="0" w:evenVBand="0" w:oddHBand="0" w:evenHBand="1" w:firstRowFirstColumn="0" w:firstRowLastColumn="0" w:lastRowFirstColumn="0" w:lastRowLastColumn="0"/>
              <w:rPr>
                <w:sz w:val="16"/>
                <w:szCs w:val="16"/>
              </w:rPr>
            </w:pPr>
            <w:r w:rsidRPr="005A1FD7">
              <w:rPr>
                <w:sz w:val="16"/>
                <w:szCs w:val="16"/>
              </w:rPr>
              <w:t>Minor exacerbation</w:t>
            </w:r>
          </w:p>
        </w:tc>
        <w:tc>
          <w:tcPr>
            <w:tcW w:w="3081" w:type="dxa"/>
          </w:tcPr>
          <w:p w:rsidR="002A39E3" w:rsidRPr="005A1FD7" w:rsidRDefault="002A39E3" w:rsidP="00C54A8A">
            <w:pPr>
              <w:spacing w:after="0"/>
              <w:jc w:val="both"/>
              <w:cnfStyle w:val="000000010000" w:firstRow="0" w:lastRow="0" w:firstColumn="0" w:lastColumn="0" w:oddVBand="0" w:evenVBand="0" w:oddHBand="0" w:evenHBand="1" w:firstRowFirstColumn="0" w:firstRowLastColumn="0" w:lastRowFirstColumn="0" w:lastRowLastColumn="0"/>
              <w:rPr>
                <w:sz w:val="16"/>
                <w:szCs w:val="16"/>
              </w:rPr>
            </w:pPr>
            <w:r w:rsidRPr="005A1FD7">
              <w:rPr>
                <w:sz w:val="16"/>
                <w:szCs w:val="16"/>
              </w:rPr>
              <w:t>Not in late stage.</w:t>
            </w:r>
          </w:p>
          <w:p w:rsidR="002A39E3" w:rsidRPr="005A1FD7" w:rsidRDefault="002A39E3" w:rsidP="00C54A8A">
            <w:pPr>
              <w:spacing w:after="0"/>
              <w:jc w:val="both"/>
              <w:cnfStyle w:val="000000010000" w:firstRow="0" w:lastRow="0" w:firstColumn="0" w:lastColumn="0" w:oddVBand="0" w:evenVBand="0" w:oddHBand="0" w:evenHBand="1" w:firstRowFirstColumn="0" w:firstRowLastColumn="0" w:lastRowFirstColumn="0" w:lastRowLastColumn="0"/>
              <w:rPr>
                <w:sz w:val="16"/>
                <w:szCs w:val="16"/>
              </w:rPr>
            </w:pPr>
            <w:r w:rsidRPr="005A1FD7">
              <w:rPr>
                <w:sz w:val="16"/>
                <w:szCs w:val="16"/>
              </w:rPr>
              <w:t>Been prescribed ipratropium bromide (with or without salbutamol) in 2010/11.</w:t>
            </w:r>
          </w:p>
        </w:tc>
      </w:tr>
      <w:tr w:rsidR="002A39E3" w:rsidRPr="00835256"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2A39E3" w:rsidRPr="005A1FD7" w:rsidRDefault="002A39E3" w:rsidP="00C54A8A">
            <w:pPr>
              <w:spacing w:after="0"/>
              <w:jc w:val="both"/>
              <w:rPr>
                <w:sz w:val="16"/>
                <w:szCs w:val="16"/>
              </w:rPr>
            </w:pPr>
            <w:r w:rsidRPr="005A1FD7">
              <w:rPr>
                <w:sz w:val="16"/>
                <w:szCs w:val="16"/>
              </w:rPr>
              <w:t>Late</w:t>
            </w:r>
          </w:p>
        </w:tc>
        <w:tc>
          <w:tcPr>
            <w:tcW w:w="3081" w:type="dxa"/>
          </w:tcPr>
          <w:p w:rsidR="002A39E3" w:rsidRPr="005A1FD7" w:rsidRDefault="002A39E3" w:rsidP="00C54A8A">
            <w:pPr>
              <w:spacing w:after="0"/>
              <w:jc w:val="both"/>
              <w:cnfStyle w:val="000000100000" w:firstRow="0" w:lastRow="0" w:firstColumn="0" w:lastColumn="0" w:oddVBand="0" w:evenVBand="0" w:oddHBand="1" w:evenHBand="0" w:firstRowFirstColumn="0" w:firstRowLastColumn="0" w:lastRowFirstColumn="0" w:lastRowLastColumn="0"/>
              <w:rPr>
                <w:sz w:val="16"/>
                <w:szCs w:val="16"/>
              </w:rPr>
            </w:pPr>
            <w:r w:rsidRPr="005A1FD7">
              <w:rPr>
                <w:sz w:val="16"/>
                <w:szCs w:val="16"/>
              </w:rPr>
              <w:t>Stable</w:t>
            </w:r>
          </w:p>
        </w:tc>
        <w:tc>
          <w:tcPr>
            <w:tcW w:w="3081" w:type="dxa"/>
          </w:tcPr>
          <w:p w:rsidR="002A39E3" w:rsidRPr="005A1FD7" w:rsidRDefault="002A39E3" w:rsidP="00C54A8A">
            <w:pPr>
              <w:spacing w:after="0"/>
              <w:jc w:val="both"/>
              <w:cnfStyle w:val="000000100000" w:firstRow="0" w:lastRow="0" w:firstColumn="0" w:lastColumn="0" w:oddVBand="0" w:evenVBand="0" w:oddHBand="1" w:evenHBand="0" w:firstRowFirstColumn="0" w:firstRowLastColumn="0" w:lastRowFirstColumn="0" w:lastRowLastColumn="0"/>
              <w:rPr>
                <w:sz w:val="16"/>
                <w:szCs w:val="16"/>
              </w:rPr>
            </w:pPr>
            <w:r w:rsidRPr="005A1FD7">
              <w:rPr>
                <w:sz w:val="16"/>
                <w:szCs w:val="16"/>
              </w:rPr>
              <w:t>Not had moderate-severe exacerbation, or in end-stage.</w:t>
            </w:r>
          </w:p>
          <w:p w:rsidR="002A39E3" w:rsidRPr="005A1FD7" w:rsidRDefault="002A39E3" w:rsidP="00C54A8A">
            <w:pPr>
              <w:spacing w:after="0"/>
              <w:jc w:val="both"/>
              <w:cnfStyle w:val="000000100000" w:firstRow="0" w:lastRow="0" w:firstColumn="0" w:lastColumn="0" w:oddVBand="0" w:evenVBand="0" w:oddHBand="1" w:evenHBand="0" w:firstRowFirstColumn="0" w:firstRowLastColumn="0" w:lastRowFirstColumn="0" w:lastRowLastColumn="0"/>
              <w:rPr>
                <w:sz w:val="16"/>
                <w:szCs w:val="16"/>
              </w:rPr>
            </w:pPr>
            <w:r w:rsidRPr="005A1FD7">
              <w:rPr>
                <w:sz w:val="16"/>
                <w:szCs w:val="16"/>
              </w:rPr>
              <w:t>Has been prescribed Tiotropium bromide and had a hospital discharge for COPD prior to July 2010.</w:t>
            </w:r>
          </w:p>
        </w:tc>
      </w:tr>
      <w:tr w:rsidR="002A39E3" w:rsidRPr="00835256" w:rsidTr="00931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2A39E3" w:rsidRPr="005A1FD7" w:rsidRDefault="002A39E3" w:rsidP="00C54A8A">
            <w:pPr>
              <w:spacing w:after="0"/>
              <w:jc w:val="both"/>
              <w:rPr>
                <w:sz w:val="16"/>
                <w:szCs w:val="16"/>
              </w:rPr>
            </w:pPr>
          </w:p>
        </w:tc>
        <w:tc>
          <w:tcPr>
            <w:tcW w:w="3081" w:type="dxa"/>
          </w:tcPr>
          <w:p w:rsidR="002A39E3" w:rsidRPr="005A1FD7" w:rsidRDefault="002A39E3" w:rsidP="00C54A8A">
            <w:pPr>
              <w:spacing w:after="0"/>
              <w:jc w:val="both"/>
              <w:cnfStyle w:val="000000010000" w:firstRow="0" w:lastRow="0" w:firstColumn="0" w:lastColumn="0" w:oddVBand="0" w:evenVBand="0" w:oddHBand="0" w:evenHBand="1" w:firstRowFirstColumn="0" w:firstRowLastColumn="0" w:lastRowFirstColumn="0" w:lastRowLastColumn="0"/>
              <w:rPr>
                <w:sz w:val="16"/>
                <w:szCs w:val="16"/>
              </w:rPr>
            </w:pPr>
            <w:r w:rsidRPr="005A1FD7">
              <w:rPr>
                <w:sz w:val="16"/>
                <w:szCs w:val="16"/>
              </w:rPr>
              <w:t>Moderate-severe exacerbation</w:t>
            </w:r>
          </w:p>
        </w:tc>
        <w:tc>
          <w:tcPr>
            <w:tcW w:w="3081" w:type="dxa"/>
          </w:tcPr>
          <w:p w:rsidR="002A39E3" w:rsidRPr="005A1FD7" w:rsidRDefault="002A39E3" w:rsidP="00C54A8A">
            <w:pPr>
              <w:spacing w:after="0"/>
              <w:jc w:val="both"/>
              <w:cnfStyle w:val="000000010000" w:firstRow="0" w:lastRow="0" w:firstColumn="0" w:lastColumn="0" w:oddVBand="0" w:evenVBand="0" w:oddHBand="0" w:evenHBand="1" w:firstRowFirstColumn="0" w:firstRowLastColumn="0" w:lastRowFirstColumn="0" w:lastRowLastColumn="0"/>
              <w:rPr>
                <w:sz w:val="16"/>
                <w:szCs w:val="16"/>
              </w:rPr>
            </w:pPr>
            <w:r w:rsidRPr="005A1FD7">
              <w:rPr>
                <w:sz w:val="16"/>
                <w:szCs w:val="16"/>
              </w:rPr>
              <w:t>Not in end-stage</w:t>
            </w:r>
          </w:p>
          <w:p w:rsidR="002A39E3" w:rsidRPr="005A1FD7" w:rsidRDefault="002A39E3" w:rsidP="00C54A8A">
            <w:pPr>
              <w:spacing w:after="0"/>
              <w:jc w:val="both"/>
              <w:cnfStyle w:val="000000010000" w:firstRow="0" w:lastRow="0" w:firstColumn="0" w:lastColumn="0" w:oddVBand="0" w:evenVBand="0" w:oddHBand="0" w:evenHBand="1" w:firstRowFirstColumn="0" w:firstRowLastColumn="0" w:lastRowFirstColumn="0" w:lastRowLastColumn="0"/>
              <w:rPr>
                <w:sz w:val="16"/>
                <w:szCs w:val="16"/>
              </w:rPr>
            </w:pPr>
            <w:r w:rsidRPr="005A1FD7">
              <w:rPr>
                <w:sz w:val="16"/>
                <w:szCs w:val="16"/>
              </w:rPr>
              <w:t>Has had a hospital discharge of COPD in 2010/11</w:t>
            </w:r>
          </w:p>
        </w:tc>
      </w:tr>
      <w:tr w:rsidR="002A39E3" w:rsidRPr="00835256"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2A39E3" w:rsidRPr="005A1FD7" w:rsidRDefault="002A39E3" w:rsidP="00C54A8A">
            <w:pPr>
              <w:spacing w:after="0"/>
              <w:jc w:val="both"/>
              <w:rPr>
                <w:sz w:val="16"/>
                <w:szCs w:val="16"/>
              </w:rPr>
            </w:pPr>
          </w:p>
        </w:tc>
        <w:tc>
          <w:tcPr>
            <w:tcW w:w="3081" w:type="dxa"/>
          </w:tcPr>
          <w:p w:rsidR="002A39E3" w:rsidRPr="005A1FD7" w:rsidRDefault="002A39E3" w:rsidP="00C54A8A">
            <w:pPr>
              <w:spacing w:after="0"/>
              <w:jc w:val="both"/>
              <w:cnfStyle w:val="000000100000" w:firstRow="0" w:lastRow="0" w:firstColumn="0" w:lastColumn="0" w:oddVBand="0" w:evenVBand="0" w:oddHBand="1" w:evenHBand="0" w:firstRowFirstColumn="0" w:firstRowLastColumn="0" w:lastRowFirstColumn="0" w:lastRowLastColumn="0"/>
              <w:rPr>
                <w:sz w:val="16"/>
                <w:szCs w:val="16"/>
              </w:rPr>
            </w:pPr>
            <w:r w:rsidRPr="005A1FD7">
              <w:rPr>
                <w:sz w:val="16"/>
                <w:szCs w:val="16"/>
              </w:rPr>
              <w:t>End-stage disease</w:t>
            </w:r>
          </w:p>
        </w:tc>
        <w:tc>
          <w:tcPr>
            <w:tcW w:w="3081" w:type="dxa"/>
          </w:tcPr>
          <w:p w:rsidR="002A39E3" w:rsidRPr="005A1FD7" w:rsidRDefault="002A39E3" w:rsidP="00C54A8A">
            <w:pPr>
              <w:spacing w:after="0"/>
              <w:jc w:val="both"/>
              <w:cnfStyle w:val="000000100000" w:firstRow="0" w:lastRow="0" w:firstColumn="0" w:lastColumn="0" w:oddVBand="0" w:evenVBand="0" w:oddHBand="1" w:evenHBand="0" w:firstRowFirstColumn="0" w:firstRowLastColumn="0" w:lastRowFirstColumn="0" w:lastRowLastColumn="0"/>
              <w:rPr>
                <w:sz w:val="16"/>
                <w:szCs w:val="16"/>
              </w:rPr>
            </w:pPr>
            <w:r w:rsidRPr="005A1FD7">
              <w:rPr>
                <w:sz w:val="16"/>
                <w:szCs w:val="16"/>
              </w:rPr>
              <w:t>2010 Mortality Collection record of COPD, or NMDS record of died in care, or NNPAC record of receiving oxygen at home.</w:t>
            </w:r>
          </w:p>
        </w:tc>
      </w:tr>
    </w:tbl>
    <w:p w:rsidR="002A39E3" w:rsidRPr="006D219E" w:rsidRDefault="002A39E3" w:rsidP="00C54A8A">
      <w:pPr>
        <w:pStyle w:val="SourceCaption"/>
        <w:jc w:val="both"/>
      </w:pPr>
      <w:r>
        <w:t>Source: 2013 NHC</w:t>
      </w:r>
    </w:p>
    <w:p w:rsidR="00402750" w:rsidRPr="00402750" w:rsidRDefault="00402750" w:rsidP="00C54A8A">
      <w:pPr>
        <w:jc w:val="both"/>
        <w:rPr>
          <w:lang w:val="en-GB" w:eastAsia="en-GB"/>
        </w:rPr>
      </w:pPr>
    </w:p>
    <w:p w:rsidR="000B1B60" w:rsidRDefault="000B1B60" w:rsidP="00C54A8A">
      <w:pPr>
        <w:pStyle w:val="Heading1"/>
        <w:jc w:val="both"/>
      </w:pPr>
      <w:bookmarkStart w:id="75" w:name="_Toc382574737"/>
      <w:r>
        <w:t>Pathway of Care</w:t>
      </w:r>
      <w:bookmarkEnd w:id="75"/>
    </w:p>
    <w:p w:rsidR="002C2B78" w:rsidRDefault="008952DA" w:rsidP="00C54A8A">
      <w:pPr>
        <w:jc w:val="both"/>
        <w:rPr>
          <w:rFonts w:cs="Arial"/>
          <w:color w:val="000000"/>
          <w:szCs w:val="22"/>
        </w:rPr>
      </w:pPr>
      <w:r>
        <w:t xml:space="preserve">Whilst there are many variations of the </w:t>
      </w:r>
      <w:r w:rsidR="00BC3295">
        <w:t xml:space="preserve">specific </w:t>
      </w:r>
      <w:r>
        <w:t>details of a COPD pathway, all COPD pathways follow the same basic principles of diagnosis</w:t>
      </w:r>
      <w:r w:rsidR="00B05883">
        <w:t xml:space="preserve"> and </w:t>
      </w:r>
      <w:r w:rsidR="00402750">
        <w:t xml:space="preserve">treatment.  </w:t>
      </w:r>
      <w:r w:rsidR="00DD7A52">
        <w:fldChar w:fldCharType="begin"/>
      </w:r>
      <w:r w:rsidR="00DD7A52">
        <w:instrText xml:space="preserve"> REF _Ref370474573 \h </w:instrText>
      </w:r>
      <w:r w:rsidR="00C54A8A">
        <w:instrText xml:space="preserve"> \* MERGEFORMAT </w:instrText>
      </w:r>
      <w:r w:rsidR="00DD7A52">
        <w:fldChar w:fldCharType="separate"/>
      </w:r>
      <w:r w:rsidR="000B70CE">
        <w:t xml:space="preserve">Figure </w:t>
      </w:r>
      <w:r w:rsidR="000B70CE">
        <w:rPr>
          <w:noProof/>
        </w:rPr>
        <w:t>3</w:t>
      </w:r>
      <w:r w:rsidR="00DD7A52">
        <w:fldChar w:fldCharType="end"/>
      </w:r>
      <w:r w:rsidR="00402750">
        <w:t xml:space="preserve"> </w:t>
      </w:r>
      <w:r w:rsidR="003C1E39" w:rsidRPr="00DD7A52">
        <w:t>outlines the pathway of care for COPD and the interventions that comprise that pathway.</w:t>
      </w:r>
      <w:r w:rsidR="003C1E39">
        <w:t xml:space="preserve">  </w:t>
      </w:r>
      <w:r w:rsidR="00F25F63">
        <w:t>This pathway provides</w:t>
      </w:r>
      <w:r w:rsidR="00512CDB">
        <w:t xml:space="preserve"> a general picture of COPD care, </w:t>
      </w:r>
      <w:r w:rsidR="00F25F63">
        <w:t xml:space="preserve">but </w:t>
      </w:r>
      <w:r w:rsidR="00512CDB">
        <w:t>not every patient will travel through the pathway in the same way nor will they receive the same interventions along the pathway of care.</w:t>
      </w:r>
      <w:r w:rsidR="002C2B78">
        <w:t xml:space="preserve">  </w:t>
      </w:r>
      <w:r w:rsidR="002C2B78">
        <w:rPr>
          <w:rFonts w:cs="Arial"/>
          <w:color w:val="000000"/>
          <w:szCs w:val="22"/>
        </w:rPr>
        <w:t xml:space="preserve">Lastly, the pathway of care presented does not communicate the important effect on health outcomes or cost of comorbidities. To estimate this effect would be a major statistical exercise. </w:t>
      </w:r>
    </w:p>
    <w:p w:rsidR="008952DA" w:rsidRDefault="002C2B78" w:rsidP="00C54A8A">
      <w:pPr>
        <w:jc w:val="both"/>
        <w:rPr>
          <w:rFonts w:cs="Arial"/>
          <w:color w:val="000000"/>
          <w:szCs w:val="22"/>
        </w:rPr>
      </w:pPr>
      <w:r>
        <w:rPr>
          <w:rFonts w:cs="Arial"/>
          <w:color w:val="000000"/>
          <w:szCs w:val="22"/>
        </w:rPr>
        <w:t xml:space="preserve">Nevertheless, excluding COPD, we </w:t>
      </w:r>
      <w:r w:rsidR="001E007B">
        <w:rPr>
          <w:rFonts w:cs="Arial"/>
          <w:color w:val="000000"/>
          <w:szCs w:val="22"/>
        </w:rPr>
        <w:t>found that over half (55%</w:t>
      </w:r>
      <w:r>
        <w:rPr>
          <w:rFonts w:cs="Arial"/>
          <w:color w:val="000000"/>
          <w:szCs w:val="22"/>
        </w:rPr>
        <w:t>) of COPD patients have one of twelve co</w:t>
      </w:r>
      <w:r w:rsidR="008C1691">
        <w:rPr>
          <w:rFonts w:cs="Arial"/>
          <w:color w:val="000000"/>
          <w:szCs w:val="22"/>
        </w:rPr>
        <w:t>-</w:t>
      </w:r>
      <w:r>
        <w:rPr>
          <w:rFonts w:cs="Arial"/>
          <w:color w:val="000000"/>
          <w:szCs w:val="22"/>
        </w:rPr>
        <w:t>morbidities</w:t>
      </w:r>
      <w:r w:rsidR="001E007B">
        <w:rPr>
          <w:rStyle w:val="FootnoteReference"/>
          <w:rFonts w:cs="Arial"/>
          <w:color w:val="000000"/>
          <w:szCs w:val="22"/>
        </w:rPr>
        <w:footnoteReference w:id="3"/>
      </w:r>
      <w:r>
        <w:rPr>
          <w:rFonts w:cs="Arial"/>
          <w:color w:val="000000"/>
          <w:szCs w:val="22"/>
        </w:rPr>
        <w:t xml:space="preserve"> we have looked at (lung cancer, colorectal cancer, (female) breast cancer, prostate cancer, other cancer/s, ever-hospitalised stroke, anxiety and/or depression (past 12 months)</w:t>
      </w:r>
      <w:r w:rsidR="001E007B">
        <w:rPr>
          <w:rFonts w:cs="Arial"/>
          <w:color w:val="000000"/>
          <w:szCs w:val="22"/>
        </w:rPr>
        <w:t>, gout, diabetes, heart failure, dementia, ischaemic heart disease</w:t>
      </w:r>
      <w:r>
        <w:rPr>
          <w:rFonts w:cs="Arial"/>
          <w:color w:val="000000"/>
          <w:szCs w:val="22"/>
        </w:rPr>
        <w:t>)</w:t>
      </w:r>
      <w:r w:rsidR="001E007B">
        <w:rPr>
          <w:rFonts w:cs="Arial"/>
          <w:color w:val="000000"/>
          <w:szCs w:val="22"/>
        </w:rPr>
        <w:t>.</w:t>
      </w:r>
      <w:r>
        <w:rPr>
          <w:rFonts w:cs="Arial"/>
          <w:color w:val="000000"/>
          <w:szCs w:val="22"/>
        </w:rPr>
        <w:t xml:space="preserve"> </w:t>
      </w:r>
      <w:r w:rsidR="001E007B">
        <w:rPr>
          <w:rFonts w:cs="Arial"/>
          <w:color w:val="000000"/>
          <w:szCs w:val="22"/>
        </w:rPr>
        <w:t>About 30%</w:t>
      </w:r>
      <w:r>
        <w:rPr>
          <w:rFonts w:cs="Arial"/>
          <w:color w:val="000000"/>
          <w:szCs w:val="22"/>
        </w:rPr>
        <w:t xml:space="preserve"> of these patients had one co</w:t>
      </w:r>
      <w:r w:rsidR="008C1691">
        <w:rPr>
          <w:rFonts w:cs="Arial"/>
          <w:color w:val="000000"/>
          <w:szCs w:val="22"/>
        </w:rPr>
        <w:t>-</w:t>
      </w:r>
      <w:r>
        <w:rPr>
          <w:rFonts w:cs="Arial"/>
          <w:color w:val="000000"/>
          <w:szCs w:val="22"/>
        </w:rPr>
        <w:t>morbidity, 15</w:t>
      </w:r>
      <w:r w:rsidR="001E007B">
        <w:rPr>
          <w:rFonts w:cs="Arial"/>
          <w:color w:val="000000"/>
          <w:szCs w:val="22"/>
        </w:rPr>
        <w:t>%</w:t>
      </w:r>
      <w:r>
        <w:rPr>
          <w:rFonts w:cs="Arial"/>
          <w:color w:val="000000"/>
          <w:szCs w:val="22"/>
        </w:rPr>
        <w:t xml:space="preserve"> had two, 7</w:t>
      </w:r>
      <w:r w:rsidR="001E007B">
        <w:rPr>
          <w:rFonts w:cs="Arial"/>
          <w:color w:val="000000"/>
          <w:szCs w:val="22"/>
        </w:rPr>
        <w:t xml:space="preserve">% had three, 2% </w:t>
      </w:r>
      <w:r>
        <w:rPr>
          <w:rFonts w:cs="Arial"/>
          <w:color w:val="000000"/>
          <w:szCs w:val="22"/>
        </w:rPr>
        <w:t>had four and less than 1% had five or more comorbidities.</w:t>
      </w:r>
    </w:p>
    <w:p w:rsidR="002C2B78" w:rsidRDefault="002C2B78" w:rsidP="00C54A8A">
      <w:pPr>
        <w:jc w:val="both"/>
        <w:rPr>
          <w:rFonts w:cs="Arial"/>
          <w:color w:val="000000"/>
          <w:szCs w:val="22"/>
        </w:rPr>
      </w:pPr>
      <w:r w:rsidRPr="001E007B">
        <w:rPr>
          <w:rFonts w:cs="Arial"/>
          <w:color w:val="000000"/>
          <w:szCs w:val="22"/>
        </w:rPr>
        <w:t>In terms of specific co-morbid</w:t>
      </w:r>
      <w:r w:rsidR="001E007B" w:rsidRPr="001E007B">
        <w:rPr>
          <w:rFonts w:cs="Arial"/>
          <w:color w:val="000000"/>
          <w:szCs w:val="22"/>
        </w:rPr>
        <w:t>ities, 14% of COPD patients had gout, 10% had</w:t>
      </w:r>
      <w:r w:rsidRPr="001E007B">
        <w:rPr>
          <w:rFonts w:cs="Arial"/>
          <w:color w:val="000000"/>
          <w:szCs w:val="22"/>
        </w:rPr>
        <w:t xml:space="preserve"> ever been hospitalised with a stroke, </w:t>
      </w:r>
      <w:r w:rsidR="001E007B" w:rsidRPr="001E007B">
        <w:rPr>
          <w:rFonts w:cs="Arial"/>
          <w:color w:val="000000"/>
          <w:szCs w:val="22"/>
        </w:rPr>
        <w:t>24% had</w:t>
      </w:r>
      <w:r w:rsidRPr="001E007B">
        <w:rPr>
          <w:rFonts w:cs="Arial"/>
          <w:color w:val="000000"/>
          <w:szCs w:val="22"/>
        </w:rPr>
        <w:t xml:space="preserve"> ischaemic heart disease</w:t>
      </w:r>
      <w:r w:rsidR="001E007B" w:rsidRPr="001E007B">
        <w:rPr>
          <w:rFonts w:cs="Arial"/>
          <w:color w:val="000000"/>
          <w:szCs w:val="22"/>
        </w:rPr>
        <w:t>, 18% had</w:t>
      </w:r>
      <w:r w:rsidRPr="001E007B">
        <w:rPr>
          <w:rFonts w:cs="Arial"/>
          <w:color w:val="000000"/>
          <w:szCs w:val="22"/>
        </w:rPr>
        <w:t xml:space="preserve"> diabetes, 3</w:t>
      </w:r>
      <w:r w:rsidR="001E007B" w:rsidRPr="001E007B">
        <w:rPr>
          <w:rFonts w:cs="Arial"/>
          <w:color w:val="000000"/>
          <w:szCs w:val="22"/>
        </w:rPr>
        <w:t>% had</w:t>
      </w:r>
      <w:r w:rsidRPr="001E007B">
        <w:rPr>
          <w:rFonts w:cs="Arial"/>
          <w:color w:val="000000"/>
          <w:szCs w:val="22"/>
        </w:rPr>
        <w:t xml:space="preserve"> dementia</w:t>
      </w:r>
      <w:r w:rsidR="001E007B" w:rsidRPr="001E007B">
        <w:rPr>
          <w:rFonts w:cs="Arial"/>
          <w:color w:val="000000"/>
          <w:szCs w:val="22"/>
        </w:rPr>
        <w:t>, 4% had heart failure, 12% had</w:t>
      </w:r>
      <w:r w:rsidRPr="001E007B">
        <w:rPr>
          <w:rFonts w:cs="Arial"/>
          <w:color w:val="000000"/>
          <w:szCs w:val="22"/>
        </w:rPr>
        <w:t xml:space="preserve"> a mood or anxiety disor</w:t>
      </w:r>
      <w:r w:rsidR="001E007B" w:rsidRPr="001E007B">
        <w:rPr>
          <w:rFonts w:cs="Arial"/>
          <w:color w:val="000000"/>
          <w:szCs w:val="22"/>
        </w:rPr>
        <w:t>der, 1% had colorectal cancer, 1% had lung cancer, 3% of men had prostate cancer, 2% of women had breast cancer, and 3% had</w:t>
      </w:r>
      <w:r w:rsidRPr="001E007B">
        <w:rPr>
          <w:rFonts w:cs="Arial"/>
          <w:color w:val="000000"/>
          <w:szCs w:val="22"/>
        </w:rPr>
        <w:t xml:space="preserve"> other cancer/s.</w:t>
      </w:r>
    </w:p>
    <w:p w:rsidR="002C2B78" w:rsidRDefault="002C2B78" w:rsidP="00C54A8A">
      <w:pPr>
        <w:jc w:val="both"/>
        <w:rPr>
          <w:rFonts w:cs="Arial"/>
          <w:color w:val="000000"/>
          <w:szCs w:val="22"/>
        </w:rPr>
      </w:pPr>
    </w:p>
    <w:p w:rsidR="00915B9A" w:rsidRDefault="00915B9A">
      <w:pPr>
        <w:spacing w:after="0" w:line="240" w:lineRule="auto"/>
      </w:pPr>
      <w:r>
        <w:br w:type="page"/>
      </w:r>
    </w:p>
    <w:p w:rsidR="00822F35" w:rsidRDefault="00402750" w:rsidP="00C54A8A">
      <w:pPr>
        <w:pStyle w:val="Caption"/>
        <w:jc w:val="both"/>
      </w:pPr>
      <w:bookmarkStart w:id="76" w:name="_Ref370474573"/>
      <w:r>
        <w:t xml:space="preserve">Figure </w:t>
      </w:r>
      <w:r>
        <w:fldChar w:fldCharType="begin"/>
      </w:r>
      <w:r>
        <w:instrText xml:space="preserve"> SEQ Figure \* ARABIC </w:instrText>
      </w:r>
      <w:r>
        <w:fldChar w:fldCharType="separate"/>
      </w:r>
      <w:r w:rsidR="000B70CE">
        <w:rPr>
          <w:noProof/>
        </w:rPr>
        <w:t>3</w:t>
      </w:r>
      <w:r>
        <w:fldChar w:fldCharType="end"/>
      </w:r>
      <w:bookmarkEnd w:id="76"/>
      <w:r>
        <w:t>: Pathway of care for COPD</w:t>
      </w:r>
    </w:p>
    <w:p w:rsidR="00822F35" w:rsidRDefault="001E007B" w:rsidP="00C54A8A">
      <w:pPr>
        <w:jc w:val="both"/>
      </w:pPr>
      <w:r>
        <w:rPr>
          <w:noProof/>
          <w:lang w:eastAsia="en-NZ"/>
        </w:rPr>
        <w:drawing>
          <wp:inline distT="0" distB="0" distL="0" distR="0" wp14:anchorId="33EC19DC" wp14:editId="03A8ED35">
            <wp:extent cx="5939790" cy="674497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Pathway Figure 2.PNG"/>
                    <pic:cNvPicPr/>
                  </pic:nvPicPr>
                  <pic:blipFill>
                    <a:blip r:embed="rId16">
                      <a:extLst>
                        <a:ext uri="{28A0092B-C50C-407E-A947-70E740481C1C}">
                          <a14:useLocalDpi xmlns:a14="http://schemas.microsoft.com/office/drawing/2010/main" val="0"/>
                        </a:ext>
                      </a:extLst>
                    </a:blip>
                    <a:stretch>
                      <a:fillRect/>
                    </a:stretch>
                  </pic:blipFill>
                  <pic:spPr>
                    <a:xfrm>
                      <a:off x="0" y="0"/>
                      <a:ext cx="5939790" cy="6744970"/>
                    </a:xfrm>
                    <a:prstGeom prst="rect">
                      <a:avLst/>
                    </a:prstGeom>
                  </pic:spPr>
                </pic:pic>
              </a:graphicData>
            </a:graphic>
          </wp:inline>
        </w:drawing>
      </w:r>
    </w:p>
    <w:p w:rsidR="0029045E" w:rsidRDefault="0029045E" w:rsidP="00C54A8A">
      <w:pPr>
        <w:pStyle w:val="SourceCaption"/>
        <w:jc w:val="both"/>
      </w:pPr>
      <w:r>
        <w:t>Notes: Lung volume reduction surgery (LVRS) and lung transplant have been removed from the pathway of care because they are rarely performed.</w:t>
      </w:r>
      <w:r w:rsidR="00B41572">
        <w:t xml:space="preserve">  There is also limited evidence for</w:t>
      </w:r>
      <w:r w:rsidR="00907C8A" w:rsidRPr="00907C8A">
        <w:t xml:space="preserve"> pneumococcus</w:t>
      </w:r>
      <w:r w:rsidR="00907C8A">
        <w:t xml:space="preserve"> vaccination</w:t>
      </w:r>
      <w:r w:rsidR="00B41572">
        <w:t xml:space="preserve"> </w:t>
      </w:r>
      <w:r w:rsidR="00907C8A">
        <w:t>(</w:t>
      </w:r>
      <w:r w:rsidR="00B41572">
        <w:t>Pneumovax</w:t>
      </w:r>
      <w:r w:rsidR="00907C8A" w:rsidRPr="00907C8A">
        <w:rPr>
          <w:vertAlign w:val="superscript"/>
        </w:rPr>
        <w:t>®</w:t>
      </w:r>
      <w:r w:rsidR="00907C8A">
        <w:t>)</w:t>
      </w:r>
      <w:r w:rsidR="00B41572">
        <w:t xml:space="preserve"> and it is not currently funded for all COPD patients, so it too has been excluded from this pathway.</w:t>
      </w:r>
    </w:p>
    <w:p w:rsidR="00822F35" w:rsidRDefault="00822F35" w:rsidP="00C54A8A">
      <w:pPr>
        <w:pStyle w:val="SourceCaption"/>
        <w:jc w:val="both"/>
      </w:pPr>
      <w:r>
        <w:t xml:space="preserve">Source: </w:t>
      </w:r>
      <w:r w:rsidR="00402750">
        <w:t>Refer to Methods</w:t>
      </w:r>
    </w:p>
    <w:p w:rsidR="00F25F63" w:rsidRDefault="00F25F63" w:rsidP="00C54A8A">
      <w:pPr>
        <w:jc w:val="both"/>
      </w:pPr>
    </w:p>
    <w:p w:rsidR="00B41572" w:rsidRDefault="00B41572" w:rsidP="00C54A8A">
      <w:pPr>
        <w:jc w:val="both"/>
      </w:pPr>
    </w:p>
    <w:p w:rsidR="00A42D09" w:rsidRDefault="00A42D09" w:rsidP="00C54A8A">
      <w:pPr>
        <w:pStyle w:val="Heading1"/>
        <w:jc w:val="both"/>
      </w:pPr>
      <w:bookmarkStart w:id="77" w:name="_Toc382574738"/>
      <w:r>
        <w:t>Costs</w:t>
      </w:r>
      <w:bookmarkEnd w:id="77"/>
    </w:p>
    <w:p w:rsidR="00402750" w:rsidRPr="00402750" w:rsidRDefault="00402750" w:rsidP="00C54A8A">
      <w:pPr>
        <w:jc w:val="both"/>
        <w:rPr>
          <w:lang w:val="en-GB" w:eastAsia="en-GB"/>
        </w:rPr>
      </w:pPr>
      <w:r>
        <w:rPr>
          <w:lang w:val="en-GB" w:eastAsia="en-GB"/>
        </w:rPr>
        <w:t>This section summarises the costs associated with various COPD populations.  It is divided by total New Zealand, deprivation and ethnicity populations.  For a more detailed breakdown of costs, see Appendix 1.</w:t>
      </w:r>
    </w:p>
    <w:p w:rsidR="00402750" w:rsidRPr="00402750" w:rsidRDefault="00402750" w:rsidP="00C54A8A">
      <w:pPr>
        <w:pStyle w:val="Heading2"/>
        <w:jc w:val="both"/>
      </w:pPr>
      <w:bookmarkStart w:id="78" w:name="_Toc370401385"/>
      <w:bookmarkStart w:id="79" w:name="_Toc370477229"/>
      <w:bookmarkStart w:id="80" w:name="_Toc371949665"/>
      <w:bookmarkStart w:id="81" w:name="_Toc382225516"/>
      <w:bookmarkStart w:id="82" w:name="_Toc382475498"/>
      <w:bookmarkStart w:id="83" w:name="_Toc382554885"/>
      <w:bookmarkStart w:id="84" w:name="_Toc382574739"/>
      <w:r>
        <w:t>Total N</w:t>
      </w:r>
      <w:r w:rsidR="00907C8A">
        <w:t xml:space="preserve">ew </w:t>
      </w:r>
      <w:r>
        <w:t>Z</w:t>
      </w:r>
      <w:bookmarkEnd w:id="78"/>
      <w:bookmarkEnd w:id="79"/>
      <w:bookmarkEnd w:id="80"/>
      <w:bookmarkEnd w:id="81"/>
      <w:bookmarkEnd w:id="82"/>
      <w:r w:rsidR="00907C8A">
        <w:t>ealand</w:t>
      </w:r>
      <w:bookmarkEnd w:id="83"/>
      <w:bookmarkEnd w:id="84"/>
    </w:p>
    <w:p w:rsidR="002D5F70" w:rsidRDefault="0095238C" w:rsidP="00C54A8A">
      <w:pPr>
        <w:jc w:val="both"/>
      </w:pPr>
      <w:r>
        <w:t>Most patients with COPD</w:t>
      </w:r>
      <w:r w:rsidR="002D5F70">
        <w:t xml:space="preserve"> fell into the early stable disease state</w:t>
      </w:r>
      <w:r w:rsidR="009D13DE">
        <w:t xml:space="preserve"> while the costs associated with COPD patients’ care (GP visits, hospital stays, ED visits, pharmaceuticals and outpatient visits) have been summed to provide figures for the total NZ COPD population</w:t>
      </w:r>
      <w:r w:rsidR="002D5F70">
        <w:t xml:space="preserve">.  </w:t>
      </w:r>
      <w:r w:rsidR="002D5F70">
        <w:fldChar w:fldCharType="begin"/>
      </w:r>
      <w:r w:rsidR="002D5F70">
        <w:instrText xml:space="preserve"> REF _Ref370203165 \h </w:instrText>
      </w:r>
      <w:r w:rsidR="00C54A8A">
        <w:instrText xml:space="preserve"> \* MERGEFORMAT </w:instrText>
      </w:r>
      <w:r w:rsidR="002D5F70">
        <w:fldChar w:fldCharType="separate"/>
      </w:r>
      <w:r w:rsidR="000B70CE">
        <w:t xml:space="preserve">Figure </w:t>
      </w:r>
      <w:r w:rsidR="000B70CE">
        <w:rPr>
          <w:noProof/>
        </w:rPr>
        <w:t>4</w:t>
      </w:r>
      <w:r w:rsidR="002D5F70">
        <w:fldChar w:fldCharType="end"/>
      </w:r>
      <w:r w:rsidR="002D5F70">
        <w:t xml:space="preserve"> shows the breakdown of COPD patients</w:t>
      </w:r>
      <w:r w:rsidR="009D13DE">
        <w:t xml:space="preserve"> and costs</w:t>
      </w:r>
      <w:r w:rsidR="002D5F70">
        <w:t xml:space="preserve"> by disease state.</w:t>
      </w:r>
    </w:p>
    <w:p w:rsidR="002D5F70" w:rsidRDefault="002D5F70" w:rsidP="00C54A8A">
      <w:pPr>
        <w:pStyle w:val="Caption"/>
        <w:jc w:val="both"/>
      </w:pPr>
      <w:bookmarkStart w:id="85" w:name="_Ref370203165"/>
      <w:r>
        <w:t xml:space="preserve">Figure </w:t>
      </w:r>
      <w:r>
        <w:fldChar w:fldCharType="begin"/>
      </w:r>
      <w:r>
        <w:instrText xml:space="preserve"> SEQ Figure \* ARABIC </w:instrText>
      </w:r>
      <w:r>
        <w:fldChar w:fldCharType="separate"/>
      </w:r>
      <w:r w:rsidR="000B70CE">
        <w:rPr>
          <w:noProof/>
        </w:rPr>
        <w:t>4</w:t>
      </w:r>
      <w:r>
        <w:fldChar w:fldCharType="end"/>
      </w:r>
      <w:bookmarkEnd w:id="85"/>
      <w:r>
        <w:t>: Total COPD population</w:t>
      </w:r>
      <w:r w:rsidR="009D13DE">
        <w:t xml:space="preserve"> and cost</w:t>
      </w:r>
      <w:r>
        <w:t xml:space="preserve"> by disease state</w:t>
      </w:r>
    </w:p>
    <w:p w:rsidR="002D5F70" w:rsidRDefault="002D5F70" w:rsidP="00C54A8A">
      <w:pPr>
        <w:pStyle w:val="Caption"/>
        <w:jc w:val="both"/>
      </w:pPr>
      <w:r>
        <w:rPr>
          <w:noProof/>
          <w:lang w:val="en-NZ" w:eastAsia="en-NZ"/>
        </w:rPr>
        <w:drawing>
          <wp:inline distT="0" distB="0" distL="0" distR="0" wp14:anchorId="02A0CD65" wp14:editId="6DF44593">
            <wp:extent cx="2957886" cy="3514476"/>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402750" w:rsidRPr="00402750">
        <w:rPr>
          <w:noProof/>
          <w:lang w:eastAsia="en-NZ"/>
        </w:rPr>
        <w:t xml:space="preserve"> </w:t>
      </w:r>
      <w:r w:rsidR="00402750">
        <w:rPr>
          <w:noProof/>
          <w:lang w:val="en-NZ" w:eastAsia="en-NZ"/>
        </w:rPr>
        <w:drawing>
          <wp:inline distT="0" distB="0" distL="0" distR="0" wp14:anchorId="4F1E06D9" wp14:editId="4DF9998F">
            <wp:extent cx="2798860" cy="3506525"/>
            <wp:effectExtent l="0" t="0" r="190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D5F70" w:rsidRPr="00402750" w:rsidRDefault="00402750" w:rsidP="00C54A8A">
      <w:pPr>
        <w:pStyle w:val="SourceCaption"/>
        <w:jc w:val="both"/>
      </w:pPr>
      <w:r>
        <w:t>Source: 2013 NHC analysis of 2010/11 New Zealand Health Tracker data</w:t>
      </w:r>
    </w:p>
    <w:p w:rsidR="005F5245" w:rsidRDefault="005F5245" w:rsidP="00C54A8A">
      <w:pPr>
        <w:jc w:val="both"/>
      </w:pPr>
    </w:p>
    <w:p w:rsidR="00A42D09" w:rsidRDefault="00A42D09" w:rsidP="00C54A8A">
      <w:pPr>
        <w:jc w:val="both"/>
      </w:pPr>
      <w:r>
        <w:t>Out of the total New Zealand COPD population, moderate-severe exacerbations of late stage patients accounted for the largest proportio</w:t>
      </w:r>
      <w:r w:rsidR="00242418">
        <w:t>n of total COPD costs (34</w:t>
      </w:r>
      <w:r>
        <w:t xml:space="preserve">%).  Per patient, end stage COPD patients as well as </w:t>
      </w:r>
      <w:r w:rsidR="00D44DDA">
        <w:t>moderate-severe</w:t>
      </w:r>
      <w:r>
        <w:t xml:space="preserve"> exacerbations were th</w:t>
      </w:r>
      <w:r w:rsidR="00402750">
        <w:t>e most expensive</w:t>
      </w:r>
      <w:r w:rsidR="00CD62E0">
        <w:t xml:space="preserve"> to treat</w:t>
      </w:r>
      <w:r w:rsidR="00A91E41">
        <w:t xml:space="preserve"> at about $6,1</w:t>
      </w:r>
      <w:r w:rsidR="00402750">
        <w:t>00 and $7,600, respectively</w:t>
      </w:r>
      <w:r>
        <w:t>. Combined, these two grou</w:t>
      </w:r>
      <w:r w:rsidR="00242418">
        <w:t>ps of patients comprised over 49</w:t>
      </w:r>
      <w:r>
        <w:t>% of total COPD costs despite accounting for only</w:t>
      </w:r>
      <w:r w:rsidR="00242418">
        <w:t xml:space="preserve"> 6</w:t>
      </w:r>
      <w:r>
        <w:t xml:space="preserve">% of total COPD patients.  Generally, as patients progress through disease states (i.e. early to late) and into exacerbations and/or end stage care, </w:t>
      </w:r>
      <w:r w:rsidR="00402750">
        <w:t xml:space="preserve">average </w:t>
      </w:r>
      <w:r>
        <w:t xml:space="preserve">costs increase.  </w:t>
      </w:r>
      <w:r w:rsidRPr="00402750">
        <w:t>Within all patient groups, stable patients cost less to manage than patients experiencing exacerbations.</w:t>
      </w:r>
    </w:p>
    <w:p w:rsidR="00402750" w:rsidRDefault="00402750" w:rsidP="00C54A8A">
      <w:pPr>
        <w:pStyle w:val="Heading2"/>
        <w:jc w:val="both"/>
      </w:pPr>
      <w:bookmarkStart w:id="86" w:name="_Toc370401386"/>
      <w:bookmarkStart w:id="87" w:name="_Toc370477230"/>
      <w:bookmarkStart w:id="88" w:name="_Toc371949666"/>
      <w:bookmarkStart w:id="89" w:name="_Toc382225517"/>
      <w:bookmarkStart w:id="90" w:name="_Toc382475499"/>
      <w:bookmarkStart w:id="91" w:name="_Toc382554886"/>
      <w:bookmarkStart w:id="92" w:name="_Toc382574740"/>
      <w:r>
        <w:t>Deprivation</w:t>
      </w:r>
      <w:bookmarkEnd w:id="86"/>
      <w:bookmarkEnd w:id="87"/>
      <w:bookmarkEnd w:id="88"/>
      <w:bookmarkEnd w:id="89"/>
      <w:bookmarkEnd w:id="90"/>
      <w:bookmarkEnd w:id="91"/>
      <w:bookmarkEnd w:id="92"/>
    </w:p>
    <w:p w:rsidR="002D5F70" w:rsidRDefault="002D5F70" w:rsidP="00C54A8A">
      <w:pPr>
        <w:jc w:val="both"/>
      </w:pPr>
      <w:r>
        <w:t>On average, the cost of t</w:t>
      </w:r>
      <w:r w:rsidR="00402750">
        <w:t>reating a COPD patient increases</w:t>
      </w:r>
      <w:r>
        <w:t xml:space="preserve"> with higher deprivation (New Zealand Index of deprivation, NZdep2006: high is deciles 9 and 10 those living in the most deprived neighbourhoods, moderate is deciles 3 to 8, low is deciles 1 and 2 those living in the least deprived neighbourhoods)</w:t>
      </w:r>
      <w:r w:rsidR="00D44DDA">
        <w:t>.</w:t>
      </w:r>
      <w:r>
        <w:t xml:space="preserve"> This difference is driven in large part by end</w:t>
      </w:r>
      <w:r w:rsidR="00D44DDA">
        <w:t>-</w:t>
      </w:r>
      <w:r>
        <w:t xml:space="preserve">stage care where </w:t>
      </w:r>
      <w:r w:rsidR="00402750">
        <w:t>high-deprivation</w:t>
      </w:r>
      <w:r w:rsidR="00242418">
        <w:t xml:space="preserve"> patients cost about 22% and 8</w:t>
      </w:r>
      <w:r>
        <w:t>% m</w:t>
      </w:r>
      <w:r w:rsidR="00DD7A52">
        <w:t xml:space="preserve">ore </w:t>
      </w:r>
      <w:r w:rsidR="005F5245">
        <w:t xml:space="preserve">per patient </w:t>
      </w:r>
      <w:r w:rsidR="00DD7A52">
        <w:t>to treat than low and moderate</w:t>
      </w:r>
      <w:r>
        <w:t xml:space="preserve"> deprivation </w:t>
      </w:r>
      <w:r w:rsidR="00D44DDA">
        <w:t>end-</w:t>
      </w:r>
      <w:r>
        <w:t>stage patients, on average (</w:t>
      </w:r>
      <w:r>
        <w:fldChar w:fldCharType="begin"/>
      </w:r>
      <w:r>
        <w:instrText xml:space="preserve"> REF _Ref370205034 \h </w:instrText>
      </w:r>
      <w:r w:rsidR="00C54A8A">
        <w:instrText xml:space="preserve"> \* MERGEFORMAT </w:instrText>
      </w:r>
      <w:r>
        <w:fldChar w:fldCharType="separate"/>
      </w:r>
      <w:r w:rsidR="000B70CE">
        <w:t xml:space="preserve">Figure </w:t>
      </w:r>
      <w:r w:rsidR="000B70CE">
        <w:rPr>
          <w:noProof/>
        </w:rPr>
        <w:t>5</w:t>
      </w:r>
      <w:r>
        <w:fldChar w:fldCharType="end"/>
      </w:r>
      <w:r>
        <w:t xml:space="preserve">).  </w:t>
      </w:r>
    </w:p>
    <w:p w:rsidR="002D5F70" w:rsidRDefault="002D5F70" w:rsidP="00C54A8A">
      <w:pPr>
        <w:pStyle w:val="Caption"/>
        <w:jc w:val="both"/>
      </w:pPr>
      <w:bookmarkStart w:id="93" w:name="_Ref370205034"/>
      <w:r>
        <w:t xml:space="preserve">Figure </w:t>
      </w:r>
      <w:r>
        <w:fldChar w:fldCharType="begin"/>
      </w:r>
      <w:r>
        <w:instrText xml:space="preserve"> SEQ Figure \* ARABIC </w:instrText>
      </w:r>
      <w:r>
        <w:fldChar w:fldCharType="separate"/>
      </w:r>
      <w:r w:rsidR="000B70CE">
        <w:rPr>
          <w:noProof/>
        </w:rPr>
        <w:t>5</w:t>
      </w:r>
      <w:r>
        <w:fldChar w:fldCharType="end"/>
      </w:r>
      <w:bookmarkEnd w:id="93"/>
      <w:r>
        <w:t xml:space="preserve">: </w:t>
      </w:r>
      <w:r w:rsidR="00F74054">
        <w:t>Per</w:t>
      </w:r>
      <w:r w:rsidR="005F5245">
        <w:t>–patient a</w:t>
      </w:r>
      <w:r>
        <w:t>verage cost by deprivation and disease state</w:t>
      </w:r>
    </w:p>
    <w:p w:rsidR="002D5F70" w:rsidRDefault="00402750" w:rsidP="00C54A8A">
      <w:pPr>
        <w:pStyle w:val="Caption"/>
        <w:jc w:val="both"/>
      </w:pPr>
      <w:r>
        <w:rPr>
          <w:noProof/>
          <w:lang w:val="en-NZ" w:eastAsia="en-NZ"/>
        </w:rPr>
        <w:drawing>
          <wp:inline distT="0" distB="0" distL="0" distR="0" wp14:anchorId="7B84DDE9" wp14:editId="3342211E">
            <wp:extent cx="5891917" cy="2886323"/>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D5F70" w:rsidRPr="00402750" w:rsidRDefault="00402750" w:rsidP="00C54A8A">
      <w:pPr>
        <w:pStyle w:val="SourceCaption"/>
        <w:jc w:val="both"/>
      </w:pPr>
      <w:r>
        <w:t>Source: 2013 NHC analysis of 2010/11 New Zealand Health Tracker data</w:t>
      </w:r>
    </w:p>
    <w:p w:rsidR="005F5245" w:rsidRDefault="005F5245" w:rsidP="00C54A8A">
      <w:pPr>
        <w:jc w:val="both"/>
      </w:pPr>
    </w:p>
    <w:p w:rsidR="00402750" w:rsidRDefault="00402750" w:rsidP="00C54A8A">
      <w:pPr>
        <w:jc w:val="both"/>
      </w:pPr>
      <w:r>
        <w:t>Hi</w:t>
      </w:r>
      <w:r w:rsidR="00CD62E0">
        <w:t>gh-deprivation patients are over</w:t>
      </w:r>
      <w:r>
        <w:t xml:space="preserve"> </w:t>
      </w:r>
      <w:r w:rsidR="00242418">
        <w:t>three times</w:t>
      </w:r>
      <w:r>
        <w:t xml:space="preserve"> as likely </w:t>
      </w:r>
      <w:r w:rsidR="00D44DDA">
        <w:t xml:space="preserve">as </w:t>
      </w:r>
      <w:r>
        <w:t>low deprivation patients to have had a moderate-</w:t>
      </w:r>
      <w:r w:rsidR="00242418">
        <w:t>severe exacerbation and about 54</w:t>
      </w:r>
      <w:r>
        <w:t>% more likely than patients from neighbourhoods of moderate deprivation to have had a moderate-severe exacerbation.  For</w:t>
      </w:r>
      <w:r w:rsidR="0095238C">
        <w:t xml:space="preserve"> the</w:t>
      </w:r>
      <w:r>
        <w:t xml:space="preserve"> end</w:t>
      </w:r>
      <w:r w:rsidR="00D44DDA">
        <w:t>-</w:t>
      </w:r>
      <w:r w:rsidR="0095238C">
        <w:t>stage state</w:t>
      </w:r>
      <w:r>
        <w:t xml:space="preserve">, high-deprivation patients are over </w:t>
      </w:r>
      <w:r w:rsidR="00242418">
        <w:t>three  times more likely and 46</w:t>
      </w:r>
      <w:r>
        <w:t xml:space="preserve">% more likely than low and moderate deprivation patients, respectively, to fall within this disease state.  Whilst high-deprivation </w:t>
      </w:r>
      <w:r w:rsidR="00242418">
        <w:t>and</w:t>
      </w:r>
      <w:r w:rsidR="00DD7A52">
        <w:t xml:space="preserve"> moderate</w:t>
      </w:r>
      <w:r>
        <w:t xml:space="preserve"> </w:t>
      </w:r>
      <w:r w:rsidR="00242418">
        <w:t xml:space="preserve">deprivation patients are less likely than </w:t>
      </w:r>
      <w:r>
        <w:t xml:space="preserve">low </w:t>
      </w:r>
      <w:r w:rsidR="00D44DDA">
        <w:t xml:space="preserve">deprivation </w:t>
      </w:r>
      <w:r>
        <w:t>patients to be managed as stable in the early disease sta</w:t>
      </w:r>
      <w:r w:rsidR="00D44DDA">
        <w:t>g</w:t>
      </w:r>
      <w:r>
        <w:t xml:space="preserve">e, they are more likely than </w:t>
      </w:r>
      <w:r w:rsidR="00242418">
        <w:t>low</w:t>
      </w:r>
      <w:r>
        <w:t xml:space="preserve"> deprivation patients to be managed as stable patients in the later stage of COPD.</w:t>
      </w:r>
    </w:p>
    <w:p w:rsidR="00402750" w:rsidRDefault="00402750" w:rsidP="00C54A8A">
      <w:pPr>
        <w:pStyle w:val="Heading2"/>
        <w:jc w:val="both"/>
      </w:pPr>
      <w:bookmarkStart w:id="94" w:name="_Toc370401387"/>
      <w:bookmarkStart w:id="95" w:name="_Toc370477231"/>
      <w:bookmarkStart w:id="96" w:name="_Toc371949667"/>
      <w:bookmarkStart w:id="97" w:name="_Toc382225518"/>
      <w:bookmarkStart w:id="98" w:name="_Toc382475500"/>
      <w:bookmarkStart w:id="99" w:name="_Toc382554887"/>
      <w:bookmarkStart w:id="100" w:name="_Toc382574741"/>
      <w:r>
        <w:t>Ethnicity</w:t>
      </w:r>
      <w:bookmarkEnd w:id="94"/>
      <w:bookmarkEnd w:id="95"/>
      <w:bookmarkEnd w:id="96"/>
      <w:bookmarkEnd w:id="97"/>
      <w:bookmarkEnd w:id="98"/>
      <w:bookmarkEnd w:id="99"/>
      <w:bookmarkEnd w:id="100"/>
    </w:p>
    <w:p w:rsidR="002D5F70" w:rsidRDefault="00DD7A52" w:rsidP="00C54A8A">
      <w:pPr>
        <w:jc w:val="both"/>
      </w:pPr>
      <w:r>
        <w:t xml:space="preserve">Per patient </w:t>
      </w:r>
      <w:r w:rsidR="00A42D09">
        <w:t>COPD health care costs for Māori are</w:t>
      </w:r>
      <w:r w:rsidR="002D5F70">
        <w:t xml:space="preserve"> </w:t>
      </w:r>
      <w:r w:rsidR="00D44DDA">
        <w:t>o</w:t>
      </w:r>
      <w:r w:rsidR="002D5F70">
        <w:t>n average</w:t>
      </w:r>
      <w:r w:rsidR="00A42D09">
        <w:t xml:space="preserve"> </w:t>
      </w:r>
      <w:r w:rsidR="00242418">
        <w:t>19</w:t>
      </w:r>
      <w:r w:rsidR="00A42D09">
        <w:t>% greater than non-Māori</w:t>
      </w:r>
      <w:r>
        <w:t>.  Māori have greater health care costs at all deprivation levels compared to non-Māori</w:t>
      </w:r>
      <w:r w:rsidR="002D5F70">
        <w:t xml:space="preserve"> (</w:t>
      </w:r>
      <w:r w:rsidR="002D5F70">
        <w:fldChar w:fldCharType="begin"/>
      </w:r>
      <w:r w:rsidR="002D5F70">
        <w:instrText xml:space="preserve"> REF _Ref367784832 \h </w:instrText>
      </w:r>
      <w:r w:rsidR="00C54A8A">
        <w:instrText xml:space="preserve"> \* MERGEFORMAT </w:instrText>
      </w:r>
      <w:r w:rsidR="002D5F70">
        <w:fldChar w:fldCharType="separate"/>
      </w:r>
      <w:r w:rsidR="000B70CE">
        <w:t xml:space="preserve">Figure </w:t>
      </w:r>
      <w:r w:rsidR="000B70CE">
        <w:rPr>
          <w:noProof/>
        </w:rPr>
        <w:t>6</w:t>
      </w:r>
      <w:r w:rsidR="002D5F70">
        <w:fldChar w:fldCharType="end"/>
      </w:r>
      <w:r w:rsidR="002D5F70">
        <w:t xml:space="preserve">).  </w:t>
      </w:r>
      <w:r w:rsidR="00D44DDA">
        <w:t>T</w:t>
      </w:r>
      <w:r w:rsidR="00A42D09">
        <w:t xml:space="preserve">his disparity </w:t>
      </w:r>
      <w:r w:rsidR="002D5F70">
        <w:t>is</w:t>
      </w:r>
      <w:r w:rsidR="00D44DDA">
        <w:t xml:space="preserve"> largely</w:t>
      </w:r>
      <w:r w:rsidR="002D5F70">
        <w:t xml:space="preserve"> </w:t>
      </w:r>
      <w:r w:rsidR="00A42D09">
        <w:t>attributable to end</w:t>
      </w:r>
      <w:r w:rsidR="00D44DDA">
        <w:t>-</w:t>
      </w:r>
      <w:r w:rsidR="00A42D09">
        <w:t>stag</w:t>
      </w:r>
      <w:r w:rsidR="00A91E41">
        <w:t>e care</w:t>
      </w:r>
      <w:r w:rsidR="00242418">
        <w:t xml:space="preserve"> where Māori are nearly 16</w:t>
      </w:r>
      <w:r w:rsidR="00A42D09">
        <w:t>% more expensive to manage than non-Māori end</w:t>
      </w:r>
      <w:r w:rsidR="00D44DDA">
        <w:t>-</w:t>
      </w:r>
      <w:r w:rsidR="00A42D09">
        <w:t>stage patients</w:t>
      </w:r>
      <w:r w:rsidR="002A39E3">
        <w:t xml:space="preserve"> (</w:t>
      </w:r>
      <w:r>
        <w:fldChar w:fldCharType="begin"/>
      </w:r>
      <w:r>
        <w:instrText xml:space="preserve"> REF _Ref370473466 \h </w:instrText>
      </w:r>
      <w:r w:rsidR="00C54A8A">
        <w:instrText xml:space="preserve"> \* MERGEFORMAT </w:instrText>
      </w:r>
      <w:r>
        <w:fldChar w:fldCharType="separate"/>
      </w:r>
      <w:r w:rsidR="000B70CE">
        <w:rPr>
          <w:noProof/>
        </w:rPr>
        <w:t>Figure</w:t>
      </w:r>
      <w:r w:rsidR="000B70CE">
        <w:t xml:space="preserve"> </w:t>
      </w:r>
      <w:r w:rsidR="000B70CE">
        <w:rPr>
          <w:noProof/>
        </w:rPr>
        <w:t>7</w:t>
      </w:r>
      <w:r>
        <w:fldChar w:fldCharType="end"/>
      </w:r>
      <w:r>
        <w:t>)</w:t>
      </w:r>
      <w:r w:rsidR="00A42D09">
        <w:t xml:space="preserve">.  </w:t>
      </w:r>
      <w:r w:rsidR="00D44DDA">
        <w:t>T</w:t>
      </w:r>
      <w:r w:rsidR="002D5F70">
        <w:t xml:space="preserve">here is a noticeable difference in the average cost to treat non-Māori as deprivation decreases whereas the cost to treat Māori </w:t>
      </w:r>
      <w:r w:rsidR="00D44DDA">
        <w:t xml:space="preserve">of </w:t>
      </w:r>
      <w:r w:rsidR="002D5F70">
        <w:t>h</w:t>
      </w:r>
      <w:r w:rsidR="00242418">
        <w:t xml:space="preserve">igh, </w:t>
      </w:r>
      <w:r>
        <w:t>moderate</w:t>
      </w:r>
      <w:r w:rsidR="00242418">
        <w:t xml:space="preserve"> and low</w:t>
      </w:r>
      <w:r>
        <w:t xml:space="preserve"> deprivation </w:t>
      </w:r>
      <w:r w:rsidR="00D44DDA">
        <w:t>is very close</w:t>
      </w:r>
      <w:r w:rsidR="002D5F70">
        <w:t>.</w:t>
      </w:r>
      <w:r w:rsidR="00A42D09">
        <w:t xml:space="preserve">  </w:t>
      </w:r>
    </w:p>
    <w:p w:rsidR="00402750" w:rsidRDefault="00402750" w:rsidP="00C54A8A">
      <w:pPr>
        <w:pStyle w:val="Caption"/>
        <w:jc w:val="both"/>
      </w:pPr>
      <w:bookmarkStart w:id="101" w:name="_Ref367784832"/>
      <w:r>
        <w:t xml:space="preserve">Figure </w:t>
      </w:r>
      <w:r>
        <w:fldChar w:fldCharType="begin"/>
      </w:r>
      <w:r>
        <w:instrText xml:space="preserve"> SEQ Figure \* ARABIC </w:instrText>
      </w:r>
      <w:r>
        <w:fldChar w:fldCharType="separate"/>
      </w:r>
      <w:r w:rsidR="000B70CE">
        <w:rPr>
          <w:noProof/>
        </w:rPr>
        <w:t>6</w:t>
      </w:r>
      <w:r>
        <w:rPr>
          <w:noProof/>
        </w:rPr>
        <w:fldChar w:fldCharType="end"/>
      </w:r>
      <w:bookmarkEnd w:id="101"/>
      <w:r>
        <w:t xml:space="preserve">: </w:t>
      </w:r>
      <w:r w:rsidR="005F5245">
        <w:t>Per patient a</w:t>
      </w:r>
      <w:r>
        <w:t>verage cost for Māori versus non-Māori by deprivation level</w:t>
      </w:r>
    </w:p>
    <w:p w:rsidR="00402750" w:rsidRDefault="00402750" w:rsidP="00C54A8A">
      <w:pPr>
        <w:pStyle w:val="SourceCaption"/>
        <w:jc w:val="both"/>
      </w:pPr>
      <w:r>
        <w:rPr>
          <w:noProof/>
          <w:lang w:eastAsia="en-NZ"/>
        </w:rPr>
        <w:drawing>
          <wp:inline distT="0" distB="0" distL="0" distR="0" wp14:anchorId="0AFD3DEA" wp14:editId="303CEE75">
            <wp:extent cx="5943600" cy="2676525"/>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02750" w:rsidRDefault="00402750" w:rsidP="00C54A8A">
      <w:pPr>
        <w:pStyle w:val="SourceCaption"/>
        <w:jc w:val="both"/>
      </w:pPr>
      <w:r>
        <w:t>Source: 2013 NHC analysis of 2010/11 New Zealand Health Tracker data</w:t>
      </w:r>
    </w:p>
    <w:p w:rsidR="005F5245" w:rsidRDefault="005F5245" w:rsidP="00C54A8A">
      <w:pPr>
        <w:jc w:val="both"/>
      </w:pPr>
      <w:bookmarkStart w:id="102" w:name="_Ref370473466"/>
      <w:bookmarkStart w:id="103" w:name="_Ref370375077"/>
    </w:p>
    <w:p w:rsidR="001E007B" w:rsidRDefault="001E007B" w:rsidP="00C54A8A">
      <w:pPr>
        <w:jc w:val="both"/>
      </w:pPr>
    </w:p>
    <w:p w:rsidR="00CA3202" w:rsidRDefault="00CA3202" w:rsidP="00C54A8A">
      <w:pPr>
        <w:jc w:val="both"/>
      </w:pPr>
    </w:p>
    <w:p w:rsidR="00CA3202" w:rsidRDefault="00CA3202" w:rsidP="00C54A8A">
      <w:pPr>
        <w:jc w:val="both"/>
      </w:pPr>
    </w:p>
    <w:p w:rsidR="00CA3202" w:rsidRDefault="00CA3202" w:rsidP="00C54A8A">
      <w:pPr>
        <w:jc w:val="both"/>
      </w:pPr>
    </w:p>
    <w:p w:rsidR="00CA3202" w:rsidRDefault="00CA3202" w:rsidP="00C54A8A">
      <w:pPr>
        <w:jc w:val="both"/>
      </w:pPr>
    </w:p>
    <w:p w:rsidR="00CA3202" w:rsidRDefault="00CA3202" w:rsidP="00C54A8A">
      <w:pPr>
        <w:jc w:val="both"/>
      </w:pPr>
    </w:p>
    <w:p w:rsidR="00CA3202" w:rsidRDefault="00CA3202" w:rsidP="00C54A8A">
      <w:pPr>
        <w:jc w:val="both"/>
      </w:pPr>
    </w:p>
    <w:p w:rsidR="00CA3202" w:rsidRDefault="00CA3202" w:rsidP="00C54A8A">
      <w:pPr>
        <w:jc w:val="both"/>
      </w:pPr>
    </w:p>
    <w:p w:rsidR="00CA3202" w:rsidRDefault="00CA3202" w:rsidP="00C54A8A">
      <w:pPr>
        <w:jc w:val="both"/>
      </w:pPr>
    </w:p>
    <w:p w:rsidR="002A39E3" w:rsidRDefault="002A39E3" w:rsidP="00C54A8A">
      <w:pPr>
        <w:pStyle w:val="Caption"/>
        <w:jc w:val="both"/>
      </w:pPr>
      <w:r>
        <w:t xml:space="preserve">Figure </w:t>
      </w:r>
      <w:r>
        <w:fldChar w:fldCharType="begin"/>
      </w:r>
      <w:r>
        <w:instrText xml:space="preserve"> SEQ Figure \* ARABIC </w:instrText>
      </w:r>
      <w:r>
        <w:fldChar w:fldCharType="separate"/>
      </w:r>
      <w:r w:rsidR="000B70CE">
        <w:rPr>
          <w:noProof/>
        </w:rPr>
        <w:t>7</w:t>
      </w:r>
      <w:r>
        <w:fldChar w:fldCharType="end"/>
      </w:r>
      <w:bookmarkEnd w:id="102"/>
      <w:r>
        <w:t xml:space="preserve">: </w:t>
      </w:r>
      <w:r w:rsidR="00402750">
        <w:t>Māori</w:t>
      </w:r>
      <w:r>
        <w:t xml:space="preserve"> versus non-</w:t>
      </w:r>
      <w:r w:rsidR="00402750">
        <w:t>Māori</w:t>
      </w:r>
      <w:r>
        <w:t xml:space="preserve"> by disease state</w:t>
      </w:r>
      <w:bookmarkEnd w:id="103"/>
    </w:p>
    <w:p w:rsidR="002A39E3" w:rsidRDefault="00402750" w:rsidP="00C54A8A">
      <w:pPr>
        <w:jc w:val="both"/>
        <w:rPr>
          <w:lang w:val="en-GB" w:eastAsia="en-GB"/>
        </w:rPr>
      </w:pPr>
      <w:r>
        <w:rPr>
          <w:noProof/>
          <w:lang w:eastAsia="en-NZ"/>
        </w:rPr>
        <w:drawing>
          <wp:inline distT="0" distB="0" distL="0" distR="0" wp14:anchorId="2C94DE0A" wp14:editId="6616EFCF">
            <wp:extent cx="5934075" cy="26003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A39E3" w:rsidRPr="00402750" w:rsidRDefault="00402750" w:rsidP="00C54A8A">
      <w:pPr>
        <w:pStyle w:val="SourceCaption"/>
        <w:jc w:val="both"/>
      </w:pPr>
      <w:r>
        <w:t>Source: 2013 NHC analysis of 2010/11 New Zealand Health Tracker data</w:t>
      </w:r>
    </w:p>
    <w:p w:rsidR="00A42D09" w:rsidRDefault="00A42D09" w:rsidP="00C54A8A">
      <w:pPr>
        <w:spacing w:after="0" w:line="240" w:lineRule="auto"/>
        <w:jc w:val="both"/>
        <w:rPr>
          <w:lang w:eastAsia="en-GB"/>
        </w:rPr>
      </w:pPr>
    </w:p>
    <w:p w:rsidR="002A39E3" w:rsidRDefault="00402750" w:rsidP="00C54A8A">
      <w:pPr>
        <w:pStyle w:val="Heading2"/>
        <w:jc w:val="both"/>
      </w:pPr>
      <w:bookmarkStart w:id="104" w:name="_Toc370401388"/>
      <w:bookmarkStart w:id="105" w:name="_Toc370477232"/>
      <w:bookmarkStart w:id="106" w:name="_Toc371949668"/>
      <w:bookmarkStart w:id="107" w:name="_Toc382225519"/>
      <w:bookmarkStart w:id="108" w:name="_Toc382475501"/>
      <w:bookmarkStart w:id="109" w:name="_Toc382554888"/>
      <w:bookmarkStart w:id="110" w:name="_Toc382574742"/>
      <w:r>
        <w:t>Regional v</w:t>
      </w:r>
      <w:r w:rsidR="002A39E3">
        <w:t>ariation among M</w:t>
      </w:r>
      <w:r>
        <w:t>āori, high-deprivation COPD p</w:t>
      </w:r>
      <w:r w:rsidR="002A39E3">
        <w:t>atients</w:t>
      </w:r>
      <w:bookmarkEnd w:id="104"/>
      <w:bookmarkEnd w:id="105"/>
      <w:bookmarkEnd w:id="106"/>
      <w:bookmarkEnd w:id="107"/>
      <w:bookmarkEnd w:id="108"/>
      <w:bookmarkEnd w:id="109"/>
      <w:bookmarkEnd w:id="110"/>
    </w:p>
    <w:p w:rsidR="0095238C" w:rsidRDefault="0095238C" w:rsidP="00C54A8A">
      <w:pPr>
        <w:jc w:val="both"/>
        <w:rPr>
          <w:lang w:val="en-GB" w:eastAsia="en-GB"/>
        </w:rPr>
      </w:pPr>
      <w:r>
        <w:rPr>
          <w:lang w:val="en-GB" w:eastAsia="en-GB"/>
        </w:rPr>
        <w:t>As highlighted in the above sections, deprivation and ethnicity are associated with patient costs.  Of all of the population subsets, Māori from high-deprivation areas have the highest average costs.  To investigate this further, we looked at regional variation.</w:t>
      </w:r>
    </w:p>
    <w:p w:rsidR="002A39E3" w:rsidRDefault="002A39E3" w:rsidP="00C54A8A">
      <w:pPr>
        <w:jc w:val="both"/>
        <w:rPr>
          <w:lang w:val="en-GB" w:eastAsia="en-GB"/>
        </w:rPr>
      </w:pPr>
      <w:r>
        <w:rPr>
          <w:lang w:val="en-GB" w:eastAsia="en-GB"/>
        </w:rPr>
        <w:t xml:space="preserve">Among DHBs there is variation with regards to certain health outcomes for Māori, </w:t>
      </w:r>
      <w:r w:rsidR="00402750">
        <w:rPr>
          <w:lang w:val="en-GB" w:eastAsia="en-GB"/>
        </w:rPr>
        <w:t>high-deprivation</w:t>
      </w:r>
      <w:r>
        <w:rPr>
          <w:lang w:val="en-GB" w:eastAsia="en-GB"/>
        </w:rPr>
        <w:t xml:space="preserve"> COPD patients.  Although this analysis is not detailed enough to explain why variation is occurring, it is a good indication that there exists significant differences among DHBs with regards to health outcomes for the most vulnerable population.  As demonstrated in the previous section, Māori, </w:t>
      </w:r>
      <w:r w:rsidR="00402750">
        <w:rPr>
          <w:lang w:val="en-GB" w:eastAsia="en-GB"/>
        </w:rPr>
        <w:t>high-deprivation</w:t>
      </w:r>
      <w:r>
        <w:rPr>
          <w:lang w:val="en-GB" w:eastAsia="en-GB"/>
        </w:rPr>
        <w:t xml:space="preserve"> patients account for a significant proportion of the cost differences among patient groups.  </w:t>
      </w:r>
      <w:r w:rsidR="00D44DDA" w:rsidRPr="005F5245">
        <w:t>G</w:t>
      </w:r>
      <w:r>
        <w:rPr>
          <w:lang w:val="en-GB" w:eastAsia="en-GB"/>
        </w:rPr>
        <w:t xml:space="preserve">ains in this patient population may be significant for reducing overall cost and </w:t>
      </w:r>
      <w:r w:rsidR="005F5245">
        <w:rPr>
          <w:lang w:val="en-GB" w:eastAsia="en-GB"/>
        </w:rPr>
        <w:t>improving</w:t>
      </w:r>
      <w:r>
        <w:rPr>
          <w:lang w:val="en-GB" w:eastAsia="en-GB"/>
        </w:rPr>
        <w:t xml:space="preserve"> health outcomes.</w:t>
      </w:r>
    </w:p>
    <w:p w:rsidR="000B70CE" w:rsidRDefault="005F5245" w:rsidP="00C54A8A">
      <w:pPr>
        <w:jc w:val="both"/>
      </w:pPr>
      <w:r>
        <w:rPr>
          <w:lang w:val="en-GB" w:eastAsia="en-GB"/>
        </w:rPr>
        <w:t xml:space="preserve">Regional variation with regards to hospital discharges, non-admitted ED rates and readmission rates are shown in </w:t>
      </w:r>
      <w:r w:rsidR="002A39E3">
        <w:rPr>
          <w:lang w:val="en-GB" w:eastAsia="en-GB"/>
        </w:rPr>
        <w:fldChar w:fldCharType="begin"/>
      </w:r>
      <w:r w:rsidR="002A39E3">
        <w:rPr>
          <w:lang w:val="en-GB" w:eastAsia="en-GB"/>
        </w:rPr>
        <w:instrText xml:space="preserve"> REF _Ref370381401 \h </w:instrText>
      </w:r>
      <w:r w:rsidR="00C54A8A">
        <w:rPr>
          <w:lang w:val="en-GB" w:eastAsia="en-GB"/>
        </w:rPr>
        <w:instrText xml:space="preserve"> \* MERGEFORMAT </w:instrText>
      </w:r>
      <w:r w:rsidR="002A39E3">
        <w:rPr>
          <w:lang w:val="en-GB" w:eastAsia="en-GB"/>
        </w:rPr>
      </w:r>
      <w:r w:rsidR="002A39E3">
        <w:rPr>
          <w:lang w:val="en-GB" w:eastAsia="en-GB"/>
        </w:rPr>
        <w:fldChar w:fldCharType="separate"/>
      </w:r>
      <w:r w:rsidR="000B70CE">
        <w:t xml:space="preserve">Figure </w:t>
      </w:r>
      <w:r w:rsidR="000B70CE">
        <w:rPr>
          <w:noProof/>
        </w:rPr>
        <w:t>8</w:t>
      </w:r>
      <w:r w:rsidR="002A39E3">
        <w:rPr>
          <w:lang w:val="en-GB" w:eastAsia="en-GB"/>
        </w:rPr>
        <w:fldChar w:fldCharType="end"/>
      </w:r>
      <w:r w:rsidR="00DD7A52">
        <w:rPr>
          <w:lang w:val="en-GB" w:eastAsia="en-GB"/>
        </w:rPr>
        <w:t xml:space="preserve">, </w:t>
      </w:r>
      <w:r w:rsidR="002A39E3">
        <w:rPr>
          <w:lang w:val="en-GB" w:eastAsia="en-GB"/>
        </w:rPr>
        <w:fldChar w:fldCharType="begin"/>
      </w:r>
      <w:r w:rsidR="002A39E3">
        <w:rPr>
          <w:lang w:val="en-GB" w:eastAsia="en-GB"/>
        </w:rPr>
        <w:instrText xml:space="preserve"> REF _Ref370381403 \h </w:instrText>
      </w:r>
      <w:r w:rsidR="00C54A8A">
        <w:rPr>
          <w:lang w:val="en-GB" w:eastAsia="en-GB"/>
        </w:rPr>
        <w:instrText xml:space="preserve"> \* MERGEFORMAT </w:instrText>
      </w:r>
      <w:r w:rsidR="002A39E3">
        <w:rPr>
          <w:lang w:val="en-GB" w:eastAsia="en-GB"/>
        </w:rPr>
      </w:r>
      <w:r w:rsidR="002A39E3">
        <w:rPr>
          <w:lang w:val="en-GB" w:eastAsia="en-GB"/>
        </w:rPr>
        <w:fldChar w:fldCharType="separate"/>
      </w:r>
    </w:p>
    <w:p w:rsidR="000B70CE" w:rsidRPr="000B70CE" w:rsidRDefault="000B70CE" w:rsidP="00C54A8A">
      <w:pPr>
        <w:jc w:val="both"/>
      </w:pPr>
      <w:r>
        <w:t>Figure</w:t>
      </w:r>
      <w:r>
        <w:rPr>
          <w:noProof/>
        </w:rPr>
        <w:t xml:space="preserve"> 9</w:t>
      </w:r>
      <w:r w:rsidR="002A39E3">
        <w:rPr>
          <w:lang w:val="en-GB" w:eastAsia="en-GB"/>
        </w:rPr>
        <w:fldChar w:fldCharType="end"/>
      </w:r>
      <w:r w:rsidR="00DD7A52">
        <w:rPr>
          <w:lang w:val="en-GB" w:eastAsia="en-GB"/>
        </w:rPr>
        <w:t xml:space="preserve">, </w:t>
      </w:r>
      <w:r w:rsidR="005F5245">
        <w:rPr>
          <w:lang w:val="en-GB" w:eastAsia="en-GB"/>
        </w:rPr>
        <w:t xml:space="preserve">and </w:t>
      </w:r>
      <w:r w:rsidR="002A39E3">
        <w:rPr>
          <w:lang w:val="en-GB" w:eastAsia="en-GB"/>
        </w:rPr>
        <w:fldChar w:fldCharType="begin"/>
      </w:r>
      <w:r w:rsidR="002A39E3">
        <w:rPr>
          <w:lang w:val="en-GB" w:eastAsia="en-GB"/>
        </w:rPr>
        <w:instrText xml:space="preserve"> REF _Ref370381404 \h </w:instrText>
      </w:r>
      <w:r w:rsidR="00C54A8A">
        <w:rPr>
          <w:lang w:val="en-GB" w:eastAsia="en-GB"/>
        </w:rPr>
        <w:instrText xml:space="preserve"> \* MERGEFORMAT </w:instrText>
      </w:r>
      <w:r w:rsidR="002A39E3">
        <w:rPr>
          <w:lang w:val="en-GB" w:eastAsia="en-GB"/>
        </w:rPr>
      </w:r>
      <w:r w:rsidR="002A39E3">
        <w:rPr>
          <w:lang w:val="en-GB" w:eastAsia="en-GB"/>
        </w:rPr>
        <w:fldChar w:fldCharType="separate"/>
      </w:r>
    </w:p>
    <w:p w:rsidR="00242418" w:rsidRDefault="000B70CE" w:rsidP="00C54A8A">
      <w:pPr>
        <w:jc w:val="both"/>
      </w:pPr>
      <w:r>
        <w:t>Figure</w:t>
      </w:r>
      <w:r>
        <w:rPr>
          <w:noProof/>
        </w:rPr>
        <w:t xml:space="preserve"> 10</w:t>
      </w:r>
      <w:r w:rsidR="002A39E3">
        <w:rPr>
          <w:lang w:val="en-GB" w:eastAsia="en-GB"/>
        </w:rPr>
        <w:fldChar w:fldCharType="end"/>
      </w:r>
      <w:r w:rsidR="005F5245">
        <w:rPr>
          <w:lang w:val="en-GB" w:eastAsia="en-GB"/>
        </w:rPr>
        <w:t>, respectively.</w:t>
      </w:r>
      <w:r w:rsidR="002A39E3">
        <w:rPr>
          <w:lang w:val="en-GB" w:eastAsia="en-GB"/>
        </w:rPr>
        <w:t xml:space="preserve">  </w:t>
      </w:r>
      <w:r w:rsidR="00F25F63">
        <w:rPr>
          <w:lang w:val="en-GB" w:eastAsia="en-GB"/>
        </w:rPr>
        <w:t xml:space="preserve">All rates are age-standardised to the Health Tracker population.  </w:t>
      </w:r>
      <w:r w:rsidR="00402750">
        <w:rPr>
          <w:lang w:val="en-GB" w:eastAsia="en-GB"/>
        </w:rPr>
        <w:t xml:space="preserve">Not every figure has all 20 DHBs represented because the numbers were too small to report.  </w:t>
      </w:r>
      <w:r w:rsidR="00F25F63">
        <w:rPr>
          <w:lang w:val="en-GB" w:eastAsia="en-GB"/>
        </w:rPr>
        <w:t xml:space="preserve">Small numbers were also the reason why not all rates were deprivation and ethnic standardised.  </w:t>
      </w:r>
      <w:r w:rsidR="00402750">
        <w:rPr>
          <w:lang w:val="en-GB" w:eastAsia="en-GB"/>
        </w:rPr>
        <w:t>T</w:t>
      </w:r>
      <w:r w:rsidR="002A39E3">
        <w:rPr>
          <w:lang w:val="en-GB" w:eastAsia="en-GB"/>
        </w:rPr>
        <w:t xml:space="preserve">he figures demonstrate that there is the potential for improvement among </w:t>
      </w:r>
      <w:r w:rsidR="00402750">
        <w:rPr>
          <w:lang w:val="en-GB" w:eastAsia="en-GB"/>
        </w:rPr>
        <w:t>hospital discharge</w:t>
      </w:r>
      <w:r w:rsidR="0065429F">
        <w:rPr>
          <w:lang w:val="en-GB" w:eastAsia="en-GB"/>
        </w:rPr>
        <w:t xml:space="preserve"> rate</w:t>
      </w:r>
      <w:r w:rsidR="00402750">
        <w:rPr>
          <w:lang w:val="en-GB" w:eastAsia="en-GB"/>
        </w:rPr>
        <w:t>s, non-admitted ED rates and readmission rates</w:t>
      </w:r>
      <w:r w:rsidR="0065429F">
        <w:rPr>
          <w:lang w:val="en-GB" w:eastAsia="en-GB"/>
        </w:rPr>
        <w:t xml:space="preserve"> in a number of regions</w:t>
      </w:r>
      <w:r w:rsidR="002A39E3">
        <w:rPr>
          <w:lang w:val="en-GB" w:eastAsia="en-GB"/>
        </w:rPr>
        <w:t>.  More work would be needed to ascertain t</w:t>
      </w:r>
      <w:r w:rsidR="00DD7A52">
        <w:rPr>
          <w:lang w:val="en-GB" w:eastAsia="en-GB"/>
        </w:rPr>
        <w:t xml:space="preserve">he reasons behind the variation; however, </w:t>
      </w:r>
      <w:r w:rsidR="00DD7A52">
        <w:t xml:space="preserve">there exists significant disparity between DHBs as to what services they offer for COPD and the rate of service use among different patient groups.  Some of these differences are highlighted in the </w:t>
      </w:r>
      <w:r w:rsidR="0065429F">
        <w:t>I</w:t>
      </w:r>
      <w:r w:rsidR="00DD7A52">
        <w:t xml:space="preserve">ntervention </w:t>
      </w:r>
      <w:r w:rsidR="0065429F">
        <w:t>S</w:t>
      </w:r>
      <w:r w:rsidR="00DD7A52">
        <w:t>ection and Appendix 3.</w:t>
      </w:r>
    </w:p>
    <w:p w:rsidR="00B41572" w:rsidRPr="00477E06" w:rsidRDefault="00B41572" w:rsidP="00C54A8A">
      <w:pPr>
        <w:jc w:val="both"/>
      </w:pPr>
    </w:p>
    <w:p w:rsidR="002A39E3" w:rsidRDefault="002A39E3" w:rsidP="00C54A8A">
      <w:pPr>
        <w:pStyle w:val="Caption"/>
        <w:jc w:val="both"/>
      </w:pPr>
      <w:bookmarkStart w:id="111" w:name="_Ref370381401"/>
      <w:r>
        <w:t xml:space="preserve">Figure </w:t>
      </w:r>
      <w:r>
        <w:fldChar w:fldCharType="begin"/>
      </w:r>
      <w:r>
        <w:instrText xml:space="preserve"> SEQ Figure \* ARABIC </w:instrText>
      </w:r>
      <w:r>
        <w:fldChar w:fldCharType="separate"/>
      </w:r>
      <w:r w:rsidR="000B70CE">
        <w:rPr>
          <w:noProof/>
        </w:rPr>
        <w:t>8</w:t>
      </w:r>
      <w:r>
        <w:fldChar w:fldCharType="end"/>
      </w:r>
      <w:bookmarkEnd w:id="111"/>
      <w:r>
        <w:t xml:space="preserve">: Hospital discharge variation by DHB for Māori, </w:t>
      </w:r>
      <w:r w:rsidR="00402750">
        <w:t>high-deprivation</w:t>
      </w:r>
      <w:r>
        <w:t xml:space="preserve"> </w:t>
      </w:r>
      <w:r w:rsidR="00F25F63">
        <w:t xml:space="preserve">COPD </w:t>
      </w:r>
      <w:r>
        <w:t>patients</w:t>
      </w:r>
    </w:p>
    <w:p w:rsidR="002A39E3" w:rsidRDefault="00242418" w:rsidP="00C54A8A">
      <w:pPr>
        <w:jc w:val="both"/>
        <w:rPr>
          <w:lang w:val="en-GB" w:eastAsia="en-GB"/>
        </w:rPr>
      </w:pPr>
      <w:r>
        <w:rPr>
          <w:noProof/>
          <w:lang w:eastAsia="en-NZ"/>
        </w:rPr>
        <w:drawing>
          <wp:inline distT="0" distB="0" distL="0" distR="0" wp14:anchorId="18FAD1A9" wp14:editId="694A04BA">
            <wp:extent cx="6324600" cy="204787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25F63" w:rsidRDefault="00F25F63" w:rsidP="00C54A8A">
      <w:pPr>
        <w:pStyle w:val="SourceCaption"/>
        <w:jc w:val="both"/>
      </w:pPr>
      <w:r>
        <w:t xml:space="preserve">Note: Rate is number of discharges per 100 Māori, high-deprivation COPD patients by DHB </w:t>
      </w:r>
    </w:p>
    <w:p w:rsidR="002A39E3" w:rsidRPr="00242418" w:rsidRDefault="00402750" w:rsidP="00C54A8A">
      <w:pPr>
        <w:pStyle w:val="SourceCaption"/>
        <w:jc w:val="both"/>
      </w:pPr>
      <w:r>
        <w:t>Source: 2013 NHC analysis of 2010/11 New Zealand Health Tracker data</w:t>
      </w:r>
    </w:p>
    <w:p w:rsidR="001E007B" w:rsidRDefault="001E007B" w:rsidP="00C54A8A">
      <w:pPr>
        <w:jc w:val="both"/>
      </w:pPr>
      <w:bookmarkStart w:id="112" w:name="_Ref370381403"/>
    </w:p>
    <w:p w:rsidR="00477E06" w:rsidRDefault="00477E06" w:rsidP="00C54A8A">
      <w:pPr>
        <w:pStyle w:val="Caption"/>
        <w:jc w:val="both"/>
      </w:pPr>
      <w:r>
        <w:t xml:space="preserve">Figure </w:t>
      </w:r>
      <w:r>
        <w:fldChar w:fldCharType="begin"/>
      </w:r>
      <w:r>
        <w:instrText xml:space="preserve"> SEQ Figure \* ARABIC </w:instrText>
      </w:r>
      <w:r>
        <w:fldChar w:fldCharType="separate"/>
      </w:r>
      <w:r w:rsidR="000B70CE">
        <w:rPr>
          <w:noProof/>
        </w:rPr>
        <w:t>9</w:t>
      </w:r>
      <w:r>
        <w:fldChar w:fldCharType="end"/>
      </w:r>
      <w:bookmarkEnd w:id="112"/>
      <w:r>
        <w:t xml:space="preserve">: Non-admitted </w:t>
      </w:r>
      <w:r w:rsidR="0065429F">
        <w:t>emergency department (</w:t>
      </w:r>
      <w:r>
        <w:t>ED</w:t>
      </w:r>
      <w:r w:rsidR="0065429F">
        <w:t>)</w:t>
      </w:r>
      <w:r>
        <w:t xml:space="preserve"> rate variation by DHB for Māori, high-deprivation </w:t>
      </w:r>
      <w:r w:rsidR="00F25F63">
        <w:t xml:space="preserve">COPD </w:t>
      </w:r>
      <w:r>
        <w:t>patients</w:t>
      </w:r>
    </w:p>
    <w:p w:rsidR="00477E06" w:rsidRDefault="00242418" w:rsidP="00C54A8A">
      <w:pPr>
        <w:jc w:val="both"/>
        <w:rPr>
          <w:lang w:val="en-GB" w:eastAsia="en-GB"/>
        </w:rPr>
      </w:pPr>
      <w:r>
        <w:rPr>
          <w:noProof/>
          <w:lang w:eastAsia="en-NZ"/>
        </w:rPr>
        <w:drawing>
          <wp:inline distT="0" distB="0" distL="0" distR="0" wp14:anchorId="57A44696" wp14:editId="5434BB5D">
            <wp:extent cx="6086475" cy="23050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25F63" w:rsidRDefault="00F25F63" w:rsidP="00C54A8A">
      <w:pPr>
        <w:pStyle w:val="SourceCaption"/>
        <w:jc w:val="both"/>
      </w:pPr>
      <w:r>
        <w:t xml:space="preserve">Note: Rate is number of non-admitted ED visits per 100 Māori, high-deprivation COPD patients by DHB </w:t>
      </w:r>
    </w:p>
    <w:p w:rsidR="00DD7A52" w:rsidRPr="00477E06" w:rsidRDefault="00477E06" w:rsidP="00C54A8A">
      <w:pPr>
        <w:pStyle w:val="SourceCaption"/>
        <w:jc w:val="both"/>
      </w:pPr>
      <w:r>
        <w:t>Source: 2013 NHC analysis of 2010/11 New Zealand Health Tracker data</w:t>
      </w:r>
    </w:p>
    <w:p w:rsidR="00B41572" w:rsidRPr="00B41572" w:rsidRDefault="00B41572" w:rsidP="00C54A8A">
      <w:pPr>
        <w:jc w:val="both"/>
        <w:rPr>
          <w:lang w:val="en-GB" w:eastAsia="en-GB"/>
        </w:rPr>
      </w:pPr>
      <w:bookmarkStart w:id="113" w:name="_Ref370381404"/>
    </w:p>
    <w:p w:rsidR="002A39E3" w:rsidRDefault="002A39E3" w:rsidP="00C54A8A">
      <w:pPr>
        <w:pStyle w:val="Caption"/>
        <w:jc w:val="both"/>
      </w:pPr>
      <w:r>
        <w:t xml:space="preserve">Figure </w:t>
      </w:r>
      <w:r>
        <w:fldChar w:fldCharType="begin"/>
      </w:r>
      <w:r>
        <w:instrText xml:space="preserve"> SEQ Figure \* ARABIC </w:instrText>
      </w:r>
      <w:r>
        <w:fldChar w:fldCharType="separate"/>
      </w:r>
      <w:r w:rsidR="000B70CE">
        <w:rPr>
          <w:noProof/>
        </w:rPr>
        <w:t>10</w:t>
      </w:r>
      <w:r>
        <w:fldChar w:fldCharType="end"/>
      </w:r>
      <w:bookmarkEnd w:id="113"/>
      <w:r>
        <w:t>:</w:t>
      </w:r>
      <w:r w:rsidR="00F25F63">
        <w:t xml:space="preserve"> 30-Day r</w:t>
      </w:r>
      <w:r>
        <w:t xml:space="preserve">eadmission variation by DHB for Māori, </w:t>
      </w:r>
      <w:r w:rsidR="00402750">
        <w:t>high-deprivation</w:t>
      </w:r>
      <w:r>
        <w:t xml:space="preserve"> </w:t>
      </w:r>
      <w:r w:rsidR="00F25F63">
        <w:t xml:space="preserve">COPD </w:t>
      </w:r>
      <w:r>
        <w:t>patients</w:t>
      </w:r>
    </w:p>
    <w:p w:rsidR="002A39E3" w:rsidRDefault="00242418" w:rsidP="00C54A8A">
      <w:pPr>
        <w:jc w:val="both"/>
        <w:rPr>
          <w:lang w:val="en-GB" w:eastAsia="en-GB"/>
        </w:rPr>
      </w:pPr>
      <w:r>
        <w:rPr>
          <w:noProof/>
          <w:lang w:eastAsia="en-NZ"/>
        </w:rPr>
        <w:drawing>
          <wp:inline distT="0" distB="0" distL="0" distR="0" wp14:anchorId="0604B495" wp14:editId="7D906AC7">
            <wp:extent cx="5800725" cy="29051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25F63" w:rsidRDefault="00F25F63" w:rsidP="00C54A8A">
      <w:pPr>
        <w:pStyle w:val="SourceCaption"/>
        <w:jc w:val="both"/>
      </w:pPr>
      <w:r>
        <w:t xml:space="preserve">Note: Rate is number of 30-day readmissions per 100 Māori, high-deprivation COPD patients by DHB </w:t>
      </w:r>
    </w:p>
    <w:p w:rsidR="002C2B78" w:rsidRDefault="00402750" w:rsidP="00C54A8A">
      <w:pPr>
        <w:pStyle w:val="SourceCaption"/>
        <w:jc w:val="both"/>
      </w:pPr>
      <w:r>
        <w:t>Source: 2013 NHC analysis of 2010/11 New Zealand Health Tracker data</w:t>
      </w:r>
    </w:p>
    <w:p w:rsidR="001E007B" w:rsidRDefault="001E007B" w:rsidP="00C54A8A">
      <w:pPr>
        <w:jc w:val="both"/>
      </w:pPr>
    </w:p>
    <w:p w:rsidR="00B638D3" w:rsidRDefault="00B638D3" w:rsidP="00C54A8A">
      <w:pPr>
        <w:pStyle w:val="Heading1"/>
        <w:jc w:val="both"/>
      </w:pPr>
      <w:bookmarkStart w:id="114" w:name="_Ref382488412"/>
      <w:bookmarkStart w:id="115" w:name="_Toc382574743"/>
      <w:r>
        <w:t>Interventions</w:t>
      </w:r>
      <w:bookmarkEnd w:id="114"/>
      <w:bookmarkEnd w:id="115"/>
    </w:p>
    <w:p w:rsidR="00CC121D" w:rsidRDefault="002A39E3" w:rsidP="00C54A8A">
      <w:pPr>
        <w:jc w:val="both"/>
      </w:pPr>
      <w:r>
        <w:t>Th</w:t>
      </w:r>
      <w:r w:rsidR="00243CAF">
        <w:t>e</w:t>
      </w:r>
      <w:r>
        <w:t xml:space="preserve"> </w:t>
      </w:r>
      <w:r w:rsidR="00402750">
        <w:t>following table</w:t>
      </w:r>
      <w:r w:rsidR="00E86EB4">
        <w:t xml:space="preserve"> </w:t>
      </w:r>
      <w:r>
        <w:t xml:space="preserve">summarises the various interventions along the </w:t>
      </w:r>
      <w:r w:rsidR="00243CAF">
        <w:t xml:space="preserve">COPD </w:t>
      </w:r>
      <w:r>
        <w:t>pathway of care</w:t>
      </w:r>
      <w:r w:rsidR="00E86EB4">
        <w:t xml:space="preserve"> (</w:t>
      </w:r>
      <w:r w:rsidR="00E86EB4">
        <w:fldChar w:fldCharType="begin"/>
      </w:r>
      <w:r w:rsidR="00E86EB4">
        <w:instrText xml:space="preserve"> REF _Ref382495577 \h </w:instrText>
      </w:r>
      <w:r w:rsidR="00C54A8A">
        <w:instrText xml:space="preserve"> \* MERGEFORMAT </w:instrText>
      </w:r>
      <w:r w:rsidR="00E86EB4">
        <w:fldChar w:fldCharType="separate"/>
      </w:r>
      <w:r w:rsidR="000B70CE">
        <w:t xml:space="preserve">Table </w:t>
      </w:r>
      <w:r w:rsidR="000B70CE">
        <w:rPr>
          <w:noProof/>
        </w:rPr>
        <w:t>4</w:t>
      </w:r>
      <w:r w:rsidR="00E86EB4">
        <w:fldChar w:fldCharType="end"/>
      </w:r>
      <w:r w:rsidR="00E86EB4">
        <w:t>)</w:t>
      </w:r>
      <w:r>
        <w:t>.</w:t>
      </w:r>
      <w:r w:rsidR="00402750">
        <w:t xml:space="preserve">  </w:t>
      </w:r>
      <w:r w:rsidR="0029045E">
        <w:t xml:space="preserve">It includes what is currently on the pathway of care and proposed interventions that are not currently on the care pathway but have been mentioned by the RWG as potentially value adding.  </w:t>
      </w:r>
      <w:r w:rsidR="00402750">
        <w:t>Efficacy has been determined using the sources mentioned in the methods section</w:t>
      </w:r>
      <w:r w:rsidR="00F25F63">
        <w:t xml:space="preserve"> and cited in text</w:t>
      </w:r>
      <w:r w:rsidR="007C4ACD">
        <w:t>.</w:t>
      </w:r>
      <w:r w:rsidR="00402750">
        <w:t xml:space="preserve">  </w:t>
      </w:r>
      <w:r w:rsidR="004F2D7B">
        <w:t>Aspects for consideration</w:t>
      </w:r>
      <w:r w:rsidR="00402750">
        <w:t xml:space="preserve"> are possible </w:t>
      </w:r>
      <w:r w:rsidR="004F2D7B">
        <w:t>areas</w:t>
      </w:r>
      <w:r w:rsidR="00402750">
        <w:t xml:space="preserve"> that the NHC may b</w:t>
      </w:r>
      <w:r w:rsidR="0029045E">
        <w:t>e able to address through an assessment</w:t>
      </w:r>
      <w:r w:rsidR="00402750">
        <w:t xml:space="preserve">.  Growth is in reference to the </w:t>
      </w:r>
      <w:r w:rsidR="0095238C">
        <w:t xml:space="preserve">estimated </w:t>
      </w:r>
      <w:r w:rsidR="00402750">
        <w:t>cost</w:t>
      </w:r>
      <w:r w:rsidR="0095238C">
        <w:t xml:space="preserve"> growth</w:t>
      </w:r>
      <w:r w:rsidR="00402750">
        <w:t xml:space="preserve"> of the intervention</w:t>
      </w:r>
      <w:r w:rsidR="00F25F63">
        <w:t xml:space="preserve"> based on clinical guidance</w:t>
      </w:r>
      <w:r w:rsidR="00402750">
        <w:t xml:space="preserve">.  </w:t>
      </w:r>
      <w:r w:rsidR="004F2D7B">
        <w:t xml:space="preserve">Both its current level of growth and a judgment as to whether or not that growth pattern is sustainable or unsustainable has been included.  </w:t>
      </w:r>
      <w:r w:rsidR="00402750">
        <w:t xml:space="preserve">Since the COPD patient population is likely to grow in the near future, </w:t>
      </w:r>
      <w:r w:rsidR="00E7059A">
        <w:t xml:space="preserve">total cost </w:t>
      </w:r>
      <w:r w:rsidR="00402750">
        <w:t xml:space="preserve">growth can either be driven by an increase in costs or an increase in </w:t>
      </w:r>
      <w:r w:rsidR="0065429F">
        <w:t xml:space="preserve">resource </w:t>
      </w:r>
      <w:r w:rsidR="00402750">
        <w:t xml:space="preserve">utilisation.  Status in New Zealand is based on the </w:t>
      </w:r>
      <w:r w:rsidR="0095238C" w:rsidRPr="0095238C">
        <w:rPr>
          <w:i/>
        </w:rPr>
        <w:t>Alleviating the Burden of Chronic Conditions (</w:t>
      </w:r>
      <w:r w:rsidR="00402750" w:rsidRPr="0095238C">
        <w:rPr>
          <w:i/>
        </w:rPr>
        <w:t>ABCC</w:t>
      </w:r>
      <w:r w:rsidR="0095238C" w:rsidRPr="0095238C">
        <w:rPr>
          <w:i/>
        </w:rPr>
        <w:t>)</w:t>
      </w:r>
      <w:r w:rsidR="00402750">
        <w:t xml:space="preserve"> study as well as anecdotal DHB information.  </w:t>
      </w:r>
      <w:r w:rsidR="0029045E">
        <w:t xml:space="preserve">Value </w:t>
      </w:r>
      <w:r w:rsidR="004F2D7B">
        <w:t>is the potential benefit the NHC could add by conducting an</w:t>
      </w:r>
      <w:r w:rsidR="0029045E">
        <w:t xml:space="preserve"> assessment</w:t>
      </w:r>
      <w:r w:rsidR="004F2D7B">
        <w:t xml:space="preserve"> in that space.  </w:t>
      </w:r>
      <w:r w:rsidR="007C4ACD">
        <w:t xml:space="preserve">Population is the </w:t>
      </w:r>
      <w:r w:rsidR="007C4ACD" w:rsidRPr="007C4ACD">
        <w:t>potential</w:t>
      </w:r>
      <w:r w:rsidR="007C4ACD" w:rsidRPr="007C4ACD">
        <w:rPr>
          <w:i/>
        </w:rPr>
        <w:t xml:space="preserve"> </w:t>
      </w:r>
      <w:r w:rsidR="007C4ACD">
        <w:t xml:space="preserve">population in which an intervention may be used; there may be others.  </w:t>
      </w:r>
    </w:p>
    <w:p w:rsidR="009D13DE" w:rsidRDefault="009D13DE" w:rsidP="00C54A8A">
      <w:pPr>
        <w:jc w:val="both"/>
      </w:pPr>
    </w:p>
    <w:p w:rsidR="009D13DE" w:rsidRDefault="009D13DE" w:rsidP="00C54A8A">
      <w:pPr>
        <w:jc w:val="both"/>
      </w:pPr>
    </w:p>
    <w:p w:rsidR="009D13DE" w:rsidRDefault="009D13DE" w:rsidP="00C54A8A">
      <w:pPr>
        <w:jc w:val="both"/>
        <w:sectPr w:rsidR="009D13DE" w:rsidSect="00983D01">
          <w:headerReference w:type="even" r:id="rId25"/>
          <w:headerReference w:type="first" r:id="rId26"/>
          <w:pgSz w:w="11906" w:h="16838" w:code="9"/>
          <w:pgMar w:top="1418" w:right="1134" w:bottom="1134" w:left="1418" w:header="425" w:footer="425" w:gutter="0"/>
          <w:cols w:space="708"/>
          <w:titlePg/>
          <w:docGrid w:linePitch="360"/>
        </w:sectPr>
      </w:pPr>
    </w:p>
    <w:p w:rsidR="00E86EB4" w:rsidRDefault="00E86EB4" w:rsidP="000B70CE">
      <w:pPr>
        <w:pStyle w:val="Caption"/>
        <w:keepNext/>
        <w:pBdr>
          <w:top w:val="single" w:sz="18" w:space="0" w:color="23532C"/>
        </w:pBdr>
        <w:jc w:val="both"/>
      </w:pPr>
      <w:bookmarkStart w:id="116" w:name="_Ref382495577"/>
      <w:r>
        <w:t xml:space="preserve">Table </w:t>
      </w:r>
      <w:r>
        <w:fldChar w:fldCharType="begin"/>
      </w:r>
      <w:r>
        <w:instrText xml:space="preserve"> SEQ Table \* ARABIC </w:instrText>
      </w:r>
      <w:r>
        <w:fldChar w:fldCharType="separate"/>
      </w:r>
      <w:r w:rsidR="000B70CE">
        <w:rPr>
          <w:noProof/>
        </w:rPr>
        <w:t>4</w:t>
      </w:r>
      <w:r>
        <w:fldChar w:fldCharType="end"/>
      </w:r>
      <w:bookmarkEnd w:id="116"/>
      <w:r>
        <w:t xml:space="preserve">. </w:t>
      </w:r>
      <w:r w:rsidR="001E007B">
        <w:t>Summary of interventions in COPD</w:t>
      </w:r>
    </w:p>
    <w:tbl>
      <w:tblPr>
        <w:tblW w:w="0" w:type="auto"/>
        <w:tblInd w:w="93" w:type="dxa"/>
        <w:tblCellMar>
          <w:top w:w="28" w:type="dxa"/>
          <w:bottom w:w="28" w:type="dxa"/>
        </w:tblCellMar>
        <w:tblLook w:val="04A0" w:firstRow="1" w:lastRow="0" w:firstColumn="1" w:lastColumn="0" w:noHBand="0" w:noVBand="1"/>
      </w:tblPr>
      <w:tblGrid>
        <w:gridCol w:w="2079"/>
        <w:gridCol w:w="5042"/>
        <w:gridCol w:w="6844"/>
        <w:gridCol w:w="2255"/>
        <w:gridCol w:w="1503"/>
        <w:gridCol w:w="1301"/>
        <w:gridCol w:w="2760"/>
        <w:gridCol w:w="713"/>
      </w:tblGrid>
      <w:tr w:rsidR="00937FCB" w:rsidRPr="00FE4BF1" w:rsidTr="00FE4BF1">
        <w:trPr>
          <w:trHeight w:val="288"/>
          <w:tblHeader/>
        </w:trPr>
        <w:tc>
          <w:tcPr>
            <w:tcW w:w="0" w:type="auto"/>
            <w:tcBorders>
              <w:top w:val="single" w:sz="8" w:space="0" w:color="auto"/>
              <w:left w:val="single" w:sz="8" w:space="0" w:color="auto"/>
              <w:bottom w:val="single" w:sz="8" w:space="0" w:color="auto"/>
              <w:right w:val="single" w:sz="8" w:space="0" w:color="auto"/>
            </w:tcBorders>
            <w:shd w:val="clear" w:color="auto" w:fill="C2D69B" w:themeFill="accent3" w:themeFillTint="99"/>
            <w:hideMark/>
          </w:tcPr>
          <w:p w:rsidR="00915B9A" w:rsidRPr="00FE4BF1" w:rsidRDefault="00915B9A" w:rsidP="008C2DFF">
            <w:pPr>
              <w:spacing w:after="0" w:line="240" w:lineRule="auto"/>
              <w:rPr>
                <w:rFonts w:ascii="Arial Narrow" w:hAnsi="Arial Narrow" w:cs="Arial"/>
                <w:b/>
                <w:bCs/>
                <w:color w:val="000000" w:themeColor="text1"/>
                <w:sz w:val="20"/>
                <w:szCs w:val="20"/>
                <w:lang w:eastAsia="en-NZ"/>
              </w:rPr>
            </w:pPr>
            <w:r w:rsidRPr="00FE4BF1">
              <w:rPr>
                <w:rFonts w:ascii="Arial Narrow" w:hAnsi="Arial Narrow" w:cs="Arial"/>
                <w:b/>
                <w:bCs/>
                <w:color w:val="000000" w:themeColor="text1"/>
                <w:sz w:val="20"/>
                <w:szCs w:val="20"/>
                <w:lang w:eastAsia="en-NZ"/>
              </w:rPr>
              <w:t>Intervention</w:t>
            </w:r>
          </w:p>
        </w:tc>
        <w:tc>
          <w:tcPr>
            <w:tcW w:w="0" w:type="auto"/>
            <w:tcBorders>
              <w:top w:val="single" w:sz="8" w:space="0" w:color="auto"/>
              <w:left w:val="nil"/>
              <w:bottom w:val="single" w:sz="8" w:space="0" w:color="auto"/>
              <w:right w:val="single" w:sz="8" w:space="0" w:color="auto"/>
            </w:tcBorders>
            <w:shd w:val="clear" w:color="auto" w:fill="C2D69B" w:themeFill="accent3" w:themeFillTint="99"/>
            <w:hideMark/>
          </w:tcPr>
          <w:p w:rsidR="00915B9A" w:rsidRPr="00FE4BF1" w:rsidRDefault="00915B9A" w:rsidP="008C2DFF">
            <w:pPr>
              <w:spacing w:after="0" w:line="240" w:lineRule="auto"/>
              <w:rPr>
                <w:rFonts w:ascii="Arial Narrow" w:hAnsi="Arial Narrow" w:cs="Arial"/>
                <w:b/>
                <w:bCs/>
                <w:color w:val="000000" w:themeColor="text1"/>
                <w:sz w:val="20"/>
                <w:szCs w:val="20"/>
                <w:lang w:eastAsia="en-NZ"/>
              </w:rPr>
            </w:pPr>
            <w:r w:rsidRPr="00FE4BF1">
              <w:rPr>
                <w:rFonts w:ascii="Arial Narrow" w:hAnsi="Arial Narrow" w:cs="Arial"/>
                <w:b/>
                <w:bCs/>
                <w:color w:val="000000" w:themeColor="text1"/>
                <w:sz w:val="20"/>
                <w:szCs w:val="20"/>
                <w:lang w:eastAsia="en-NZ"/>
              </w:rPr>
              <w:t>Description</w:t>
            </w:r>
          </w:p>
        </w:tc>
        <w:tc>
          <w:tcPr>
            <w:tcW w:w="0" w:type="auto"/>
            <w:tcBorders>
              <w:top w:val="single" w:sz="8" w:space="0" w:color="auto"/>
              <w:left w:val="nil"/>
              <w:bottom w:val="single" w:sz="8" w:space="0" w:color="auto"/>
              <w:right w:val="single" w:sz="8" w:space="0" w:color="auto"/>
            </w:tcBorders>
            <w:shd w:val="clear" w:color="auto" w:fill="C2D69B" w:themeFill="accent3" w:themeFillTint="99"/>
            <w:hideMark/>
          </w:tcPr>
          <w:p w:rsidR="00915B9A" w:rsidRPr="00FE4BF1" w:rsidRDefault="00915B9A" w:rsidP="008C2DFF">
            <w:pPr>
              <w:spacing w:after="0" w:line="240" w:lineRule="auto"/>
              <w:rPr>
                <w:rFonts w:ascii="Arial Narrow" w:hAnsi="Arial Narrow" w:cs="Arial"/>
                <w:b/>
                <w:bCs/>
                <w:color w:val="000000" w:themeColor="text1"/>
                <w:sz w:val="20"/>
                <w:szCs w:val="20"/>
                <w:lang w:eastAsia="en-NZ"/>
              </w:rPr>
            </w:pPr>
            <w:r w:rsidRPr="00FE4BF1">
              <w:rPr>
                <w:rFonts w:ascii="Arial Narrow" w:hAnsi="Arial Narrow" w:cs="Arial"/>
                <w:b/>
                <w:bCs/>
                <w:color w:val="000000" w:themeColor="text1"/>
                <w:sz w:val="20"/>
                <w:szCs w:val="20"/>
                <w:lang w:eastAsia="en-NZ"/>
              </w:rPr>
              <w:t>Status in NZ</w:t>
            </w:r>
          </w:p>
        </w:tc>
        <w:tc>
          <w:tcPr>
            <w:tcW w:w="0" w:type="auto"/>
            <w:tcBorders>
              <w:top w:val="single" w:sz="8" w:space="0" w:color="auto"/>
              <w:left w:val="nil"/>
              <w:bottom w:val="single" w:sz="8" w:space="0" w:color="auto"/>
              <w:right w:val="single" w:sz="8" w:space="0" w:color="auto"/>
            </w:tcBorders>
            <w:shd w:val="clear" w:color="auto" w:fill="C2D69B" w:themeFill="accent3" w:themeFillTint="99"/>
            <w:hideMark/>
          </w:tcPr>
          <w:p w:rsidR="00915B9A" w:rsidRPr="00FE4BF1" w:rsidRDefault="00915B9A" w:rsidP="008C2DFF">
            <w:pPr>
              <w:spacing w:after="0" w:line="240" w:lineRule="auto"/>
              <w:rPr>
                <w:rFonts w:ascii="Arial Narrow" w:hAnsi="Arial Narrow" w:cs="Arial"/>
                <w:b/>
                <w:bCs/>
                <w:color w:val="000000" w:themeColor="text1"/>
                <w:sz w:val="20"/>
                <w:szCs w:val="20"/>
                <w:lang w:eastAsia="en-NZ"/>
              </w:rPr>
            </w:pPr>
            <w:r w:rsidRPr="00FE4BF1">
              <w:rPr>
                <w:rFonts w:ascii="Arial Narrow" w:hAnsi="Arial Narrow" w:cs="Arial"/>
                <w:b/>
                <w:bCs/>
                <w:color w:val="000000" w:themeColor="text1"/>
                <w:sz w:val="20"/>
                <w:szCs w:val="20"/>
                <w:lang w:eastAsia="en-NZ"/>
              </w:rPr>
              <w:t>Population</w:t>
            </w:r>
          </w:p>
        </w:tc>
        <w:tc>
          <w:tcPr>
            <w:tcW w:w="0" w:type="auto"/>
            <w:tcBorders>
              <w:top w:val="single" w:sz="8" w:space="0" w:color="auto"/>
              <w:left w:val="nil"/>
              <w:bottom w:val="single" w:sz="8" w:space="0" w:color="auto"/>
              <w:right w:val="single" w:sz="8" w:space="0" w:color="auto"/>
            </w:tcBorders>
            <w:shd w:val="clear" w:color="auto" w:fill="C2D69B" w:themeFill="accent3" w:themeFillTint="99"/>
            <w:hideMark/>
          </w:tcPr>
          <w:p w:rsidR="00915B9A" w:rsidRPr="00FE4BF1" w:rsidRDefault="00915B9A" w:rsidP="008C2DFF">
            <w:pPr>
              <w:spacing w:after="0" w:line="240" w:lineRule="auto"/>
              <w:rPr>
                <w:rFonts w:ascii="Arial Narrow" w:hAnsi="Arial Narrow" w:cs="Arial"/>
                <w:b/>
                <w:bCs/>
                <w:color w:val="000000" w:themeColor="text1"/>
                <w:sz w:val="20"/>
                <w:szCs w:val="20"/>
                <w:lang w:eastAsia="en-NZ"/>
              </w:rPr>
            </w:pPr>
            <w:r w:rsidRPr="00FE4BF1">
              <w:rPr>
                <w:rFonts w:ascii="Arial Narrow" w:hAnsi="Arial Narrow" w:cs="Arial"/>
                <w:b/>
                <w:bCs/>
                <w:color w:val="000000" w:themeColor="text1"/>
                <w:sz w:val="20"/>
                <w:szCs w:val="20"/>
                <w:lang w:eastAsia="en-NZ"/>
              </w:rPr>
              <w:t>Efficacy</w:t>
            </w:r>
            <w:r w:rsidRPr="00FE4BF1">
              <w:rPr>
                <w:rFonts w:ascii="Arial Narrow" w:hAnsi="Arial Narrow" w:cs="Arial"/>
                <w:b/>
                <w:bCs/>
                <w:color w:val="000000" w:themeColor="text1"/>
                <w:sz w:val="20"/>
                <w:szCs w:val="20"/>
                <w:vertAlign w:val="superscript"/>
                <w:lang w:eastAsia="en-NZ"/>
              </w:rPr>
              <w:t>a</w:t>
            </w:r>
          </w:p>
        </w:tc>
        <w:tc>
          <w:tcPr>
            <w:tcW w:w="0" w:type="auto"/>
            <w:tcBorders>
              <w:top w:val="single" w:sz="8" w:space="0" w:color="auto"/>
              <w:left w:val="nil"/>
              <w:bottom w:val="single" w:sz="8" w:space="0" w:color="auto"/>
              <w:right w:val="single" w:sz="8" w:space="0" w:color="auto"/>
            </w:tcBorders>
            <w:shd w:val="clear" w:color="auto" w:fill="C2D69B" w:themeFill="accent3" w:themeFillTint="99"/>
            <w:hideMark/>
          </w:tcPr>
          <w:p w:rsidR="00915B9A" w:rsidRPr="00FE4BF1" w:rsidRDefault="00915B9A" w:rsidP="008C2DFF">
            <w:pPr>
              <w:spacing w:after="0" w:line="240" w:lineRule="auto"/>
              <w:rPr>
                <w:rFonts w:ascii="Arial Narrow" w:hAnsi="Arial Narrow" w:cs="Arial"/>
                <w:b/>
                <w:bCs/>
                <w:color w:val="000000" w:themeColor="text1"/>
                <w:sz w:val="20"/>
                <w:szCs w:val="20"/>
                <w:lang w:eastAsia="en-NZ"/>
              </w:rPr>
            </w:pPr>
            <w:r w:rsidRPr="00FE4BF1">
              <w:rPr>
                <w:rFonts w:ascii="Arial Narrow" w:hAnsi="Arial Narrow" w:cs="Arial"/>
                <w:b/>
                <w:bCs/>
                <w:color w:val="000000" w:themeColor="text1"/>
                <w:sz w:val="20"/>
                <w:szCs w:val="20"/>
                <w:lang w:eastAsia="en-NZ"/>
              </w:rPr>
              <w:t>Growth</w:t>
            </w:r>
            <w:r w:rsidRPr="00FE4BF1">
              <w:rPr>
                <w:rFonts w:ascii="Arial Narrow" w:hAnsi="Arial Narrow" w:cs="Arial"/>
                <w:b/>
                <w:bCs/>
                <w:color w:val="000000" w:themeColor="text1"/>
                <w:sz w:val="20"/>
                <w:szCs w:val="20"/>
                <w:vertAlign w:val="superscript"/>
                <w:lang w:eastAsia="en-NZ"/>
              </w:rPr>
              <w:t>b</w:t>
            </w:r>
          </w:p>
        </w:tc>
        <w:tc>
          <w:tcPr>
            <w:tcW w:w="0" w:type="auto"/>
            <w:tcBorders>
              <w:top w:val="single" w:sz="8" w:space="0" w:color="auto"/>
              <w:left w:val="nil"/>
              <w:bottom w:val="single" w:sz="8" w:space="0" w:color="auto"/>
              <w:right w:val="single" w:sz="8" w:space="0" w:color="auto"/>
            </w:tcBorders>
            <w:shd w:val="clear" w:color="auto" w:fill="C2D69B" w:themeFill="accent3" w:themeFillTint="99"/>
            <w:hideMark/>
          </w:tcPr>
          <w:p w:rsidR="00915B9A" w:rsidRPr="00FE4BF1" w:rsidRDefault="00915B9A" w:rsidP="008C2DFF">
            <w:pPr>
              <w:spacing w:after="0" w:line="240" w:lineRule="auto"/>
              <w:rPr>
                <w:rFonts w:ascii="Arial Narrow" w:hAnsi="Arial Narrow" w:cs="Arial"/>
                <w:b/>
                <w:bCs/>
                <w:color w:val="000000" w:themeColor="text1"/>
                <w:sz w:val="20"/>
                <w:szCs w:val="20"/>
                <w:lang w:eastAsia="en-NZ"/>
              </w:rPr>
            </w:pPr>
            <w:r w:rsidRPr="00FE4BF1">
              <w:rPr>
                <w:rFonts w:ascii="Arial Narrow" w:hAnsi="Arial Narrow" w:cs="Arial"/>
                <w:b/>
                <w:bCs/>
                <w:color w:val="000000" w:themeColor="text1"/>
                <w:sz w:val="20"/>
                <w:szCs w:val="20"/>
                <w:lang w:eastAsia="en-NZ"/>
              </w:rPr>
              <w:t>Aspects for Consideration</w:t>
            </w:r>
          </w:p>
        </w:tc>
        <w:tc>
          <w:tcPr>
            <w:tcW w:w="0" w:type="auto"/>
            <w:tcBorders>
              <w:top w:val="single" w:sz="8" w:space="0" w:color="auto"/>
              <w:left w:val="nil"/>
              <w:bottom w:val="single" w:sz="8" w:space="0" w:color="auto"/>
              <w:right w:val="single" w:sz="8" w:space="0" w:color="auto"/>
            </w:tcBorders>
            <w:shd w:val="clear" w:color="auto" w:fill="C2D69B" w:themeFill="accent3" w:themeFillTint="99"/>
            <w:hideMark/>
          </w:tcPr>
          <w:p w:rsidR="00915B9A" w:rsidRPr="00FE4BF1" w:rsidRDefault="00915B9A" w:rsidP="008C2DFF">
            <w:pPr>
              <w:spacing w:after="0" w:line="240" w:lineRule="auto"/>
              <w:rPr>
                <w:rFonts w:ascii="Arial Narrow" w:hAnsi="Arial Narrow" w:cs="Arial"/>
                <w:b/>
                <w:bCs/>
                <w:color w:val="000000" w:themeColor="text1"/>
                <w:sz w:val="20"/>
                <w:szCs w:val="20"/>
                <w:lang w:eastAsia="en-NZ"/>
              </w:rPr>
            </w:pPr>
            <w:r w:rsidRPr="00FE4BF1">
              <w:rPr>
                <w:rFonts w:ascii="Arial Narrow" w:hAnsi="Arial Narrow" w:cs="Arial"/>
                <w:b/>
                <w:bCs/>
                <w:color w:val="000000" w:themeColor="text1"/>
                <w:sz w:val="20"/>
                <w:szCs w:val="20"/>
                <w:lang w:eastAsia="en-NZ"/>
              </w:rPr>
              <w:t>Value</w:t>
            </w:r>
            <w:r w:rsidRPr="00FE4BF1">
              <w:rPr>
                <w:rFonts w:ascii="Arial Narrow" w:hAnsi="Arial Narrow" w:cs="Arial"/>
                <w:b/>
                <w:bCs/>
                <w:color w:val="000000" w:themeColor="text1"/>
                <w:sz w:val="20"/>
                <w:szCs w:val="20"/>
                <w:vertAlign w:val="superscript"/>
                <w:lang w:eastAsia="en-NZ"/>
              </w:rPr>
              <w:t>c</w:t>
            </w:r>
          </w:p>
        </w:tc>
      </w:tr>
      <w:tr w:rsidR="00937FCB" w:rsidRPr="004F7453" w:rsidTr="004F7453">
        <w:trPr>
          <w:trHeight w:val="994"/>
        </w:trPr>
        <w:tc>
          <w:tcPr>
            <w:tcW w:w="0" w:type="auto"/>
            <w:tcBorders>
              <w:top w:val="nil"/>
              <w:left w:val="single" w:sz="8" w:space="0" w:color="auto"/>
              <w:bottom w:val="single" w:sz="8" w:space="0" w:color="auto"/>
              <w:right w:val="single" w:sz="8" w:space="0" w:color="auto"/>
            </w:tcBorders>
            <w:shd w:val="clear" w:color="auto" w:fill="auto"/>
            <w:hideMark/>
          </w:tcPr>
          <w:p w:rsidR="00915B9A" w:rsidRPr="00995466" w:rsidRDefault="00915B9A" w:rsidP="0029347A">
            <w:pPr>
              <w:spacing w:after="0" w:line="240" w:lineRule="auto"/>
              <w:rPr>
                <w:rFonts w:ascii="Arial Narrow" w:hAnsi="Arial Narrow" w:cs="Arial"/>
                <w:color w:val="000000" w:themeColor="text1"/>
                <w:sz w:val="20"/>
                <w:szCs w:val="20"/>
                <w:lang w:eastAsia="en-NZ"/>
              </w:rPr>
            </w:pPr>
            <w:r w:rsidRPr="00995466">
              <w:rPr>
                <w:rFonts w:ascii="Arial Narrow" w:hAnsi="Arial Narrow" w:cs="Arial"/>
                <w:color w:val="000000" w:themeColor="text1"/>
                <w:sz w:val="20"/>
                <w:szCs w:val="20"/>
                <w:lang w:eastAsia="en-NZ"/>
              </w:rPr>
              <w:t>GP Spiromet</w:t>
            </w:r>
            <w:r w:rsidR="00995466" w:rsidRPr="00995466">
              <w:rPr>
                <w:rFonts w:ascii="Arial Narrow" w:hAnsi="Arial Narrow" w:cs="Arial"/>
                <w:color w:val="000000" w:themeColor="text1"/>
                <w:sz w:val="20"/>
                <w:szCs w:val="20"/>
                <w:lang w:eastAsia="en-NZ"/>
              </w:rPr>
              <w:t>ry and Improved Case-Finding</w:t>
            </w:r>
            <w:r w:rsidR="00F45B30" w:rsidRPr="00995466">
              <w:rPr>
                <w:rFonts w:ascii="Arial Narrow" w:hAnsi="Arial Narrow" w:cs="Arial"/>
                <w:color w:val="000000" w:themeColor="text1"/>
                <w:sz w:val="20"/>
                <w:szCs w:val="20"/>
                <w:lang w:eastAsia="en-NZ"/>
              </w:rPr>
              <w:fldChar w:fldCharType="begin"/>
            </w:r>
            <w:r w:rsidR="00CA3202">
              <w:rPr>
                <w:rFonts w:ascii="Arial Narrow" w:hAnsi="Arial Narrow" w:cs="Arial"/>
                <w:color w:val="000000" w:themeColor="text1"/>
                <w:sz w:val="20"/>
                <w:szCs w:val="20"/>
                <w:lang w:eastAsia="en-NZ"/>
              </w:rPr>
              <w:instrText xml:space="preserve"> ADDIN EN.CITE &lt;EndNote&gt;&lt;Cite&gt;&lt;Author&gt;McKenzie&lt;/Author&gt;&lt;Year&gt;2012&lt;/Year&gt;&lt;RecNum&gt;653&lt;/RecNum&gt;&lt;DisplayText&gt;&lt;style face="superscript"&gt;(16)&lt;/style&gt;&lt;/DisplayText&gt;&lt;record&gt;&lt;rec-number&gt;653&lt;/rec-number&gt;&lt;foreign-keys&gt;&lt;key app="EN" db-id="paxef0v91tx5e7eaev8xxf2xd92zvrfrv592"&gt;653&lt;/key&gt;&lt;/foreign-keys&gt;&lt;ref-type name="Report"&gt;27&lt;/ref-type&gt;&lt;contributors&gt;&lt;authors&gt;&lt;author&gt;McKenzie, DK&lt;/author&gt;&lt;author&gt;Abramson, Michael&lt;/author&gt;&lt;author&gt;Crockett, Alan&lt;/author&gt;&lt;author&gt;Dabscheck, Eli&lt;/author&gt;&lt;author&gt;Glasgow, Nicholas&lt;/author&gt;&lt;author&gt;Jenkins, Sue&lt;/author&gt;&lt;author&gt;McDonald, Christine&lt;/author&gt;&lt;author&gt;Wood-Baker, R.&lt;/author&gt;&lt;author&gt;Yang, Ian&lt;/author&gt;&lt;author&gt;Frith, PA&lt;/author&gt;&lt;/authors&gt;&lt;/contributors&gt;&lt;titles&gt;&lt;title&gt;Australian Lung Foundation, Thoracic Society of Australia and New Zealand. The COPDX Plan: Australian and New Zealand Guidelines for the Management of Chronic Obstructive Pulmonary Disease 2012&lt;/title&gt;&lt;/titles&gt;&lt;dates&gt;&lt;year&gt;2012&lt;/year&gt;&lt;/dates&gt;&lt;urls&gt;&lt;/urls&gt;&lt;/record&gt;&lt;/Cite&gt;&lt;/EndNote&gt;</w:instrText>
            </w:r>
            <w:r w:rsidR="00F45B30" w:rsidRPr="00995466">
              <w:rPr>
                <w:rFonts w:ascii="Arial Narrow" w:hAnsi="Arial Narrow" w:cs="Arial"/>
                <w:color w:val="000000" w:themeColor="text1"/>
                <w:sz w:val="20"/>
                <w:szCs w:val="20"/>
                <w:lang w:eastAsia="en-NZ"/>
              </w:rPr>
              <w:fldChar w:fldCharType="separate"/>
            </w:r>
            <w:r w:rsidR="00551E6B" w:rsidRPr="00551E6B">
              <w:rPr>
                <w:rFonts w:ascii="Arial Narrow" w:hAnsi="Arial Narrow" w:cs="Arial"/>
                <w:noProof/>
                <w:color w:val="000000" w:themeColor="text1"/>
                <w:sz w:val="20"/>
                <w:szCs w:val="20"/>
                <w:vertAlign w:val="superscript"/>
                <w:lang w:eastAsia="en-NZ"/>
              </w:rPr>
              <w:t>(</w:t>
            </w:r>
            <w:hyperlink w:anchor="_ENREF_16" w:tooltip="McKenzie, 2012 #653" w:history="1">
              <w:r w:rsidR="0029347A" w:rsidRPr="00551E6B">
                <w:rPr>
                  <w:rFonts w:ascii="Arial Narrow" w:hAnsi="Arial Narrow" w:cs="Arial"/>
                  <w:noProof/>
                  <w:color w:val="000000" w:themeColor="text1"/>
                  <w:sz w:val="20"/>
                  <w:szCs w:val="20"/>
                  <w:vertAlign w:val="superscript"/>
                  <w:lang w:eastAsia="en-NZ"/>
                </w:rPr>
                <w:t>16</w:t>
              </w:r>
            </w:hyperlink>
            <w:r w:rsidR="00551E6B" w:rsidRPr="00551E6B">
              <w:rPr>
                <w:rFonts w:ascii="Arial Narrow" w:hAnsi="Arial Narrow" w:cs="Arial"/>
                <w:noProof/>
                <w:color w:val="000000" w:themeColor="text1"/>
                <w:sz w:val="20"/>
                <w:szCs w:val="20"/>
                <w:vertAlign w:val="superscript"/>
                <w:lang w:eastAsia="en-NZ"/>
              </w:rPr>
              <w:t>)</w:t>
            </w:r>
            <w:r w:rsidR="00F45B30" w:rsidRPr="00995466">
              <w:rPr>
                <w:rFonts w:ascii="Arial Narrow" w:hAnsi="Arial Narrow" w:cs="Arial"/>
                <w:color w:val="000000" w:themeColor="text1"/>
                <w:sz w:val="20"/>
                <w:szCs w:val="20"/>
                <w:lang w:eastAsia="en-NZ"/>
              </w:rPr>
              <w:fldChar w:fldCharType="end"/>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Spirometry is the test used to measure pulmonary function for suspected COPD patients.  Case-finding is a targeted approach to identifying suspected COPD patients for further assessment with the aim to increase the diagnosed COPD population.</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According to the ABCC study most, if not all, DHBs have spirometry.  Not every GP’s office has spirometry and some DHBs have dedicated spirometric testing facilities.  Case-finding is not in regular use throughout the country.</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Suspected COPD patients; could increase diagnosed population by 20,000-63,000 patients.</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Efficacious*</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Unsustainable (/)</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National spirometry co-ordination, increased use/diagnosis</w:t>
            </w:r>
          </w:p>
        </w:tc>
        <w:tc>
          <w:tcPr>
            <w:tcW w:w="0" w:type="auto"/>
            <w:tcBorders>
              <w:top w:val="nil"/>
              <w:left w:val="nil"/>
              <w:bottom w:val="single" w:sz="8" w:space="0" w:color="auto"/>
              <w:right w:val="single" w:sz="8" w:space="0" w:color="auto"/>
            </w:tcBorders>
            <w:shd w:val="clear" w:color="000000" w:fill="00B050"/>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G</w:t>
            </w:r>
          </w:p>
        </w:tc>
      </w:tr>
      <w:tr w:rsidR="00937FCB" w:rsidRPr="004F7453" w:rsidTr="004F7453">
        <w:trPr>
          <w:trHeight w:val="1263"/>
        </w:trPr>
        <w:tc>
          <w:tcPr>
            <w:tcW w:w="0" w:type="auto"/>
            <w:tcBorders>
              <w:top w:val="nil"/>
              <w:left w:val="single" w:sz="8" w:space="0" w:color="auto"/>
              <w:bottom w:val="single" w:sz="8" w:space="0" w:color="auto"/>
              <w:right w:val="single" w:sz="8" w:space="0" w:color="auto"/>
            </w:tcBorders>
            <w:shd w:val="clear" w:color="auto" w:fill="auto"/>
            <w:hideMark/>
          </w:tcPr>
          <w:p w:rsidR="00915B9A" w:rsidRPr="00995466" w:rsidRDefault="00995466" w:rsidP="0029347A">
            <w:pPr>
              <w:spacing w:after="0" w:line="240" w:lineRule="auto"/>
              <w:rPr>
                <w:rFonts w:ascii="Arial Narrow" w:hAnsi="Arial Narrow" w:cs="Arial"/>
                <w:color w:val="000000" w:themeColor="text1"/>
                <w:sz w:val="20"/>
                <w:szCs w:val="20"/>
                <w:lang w:eastAsia="en-NZ"/>
              </w:rPr>
            </w:pPr>
            <w:r>
              <w:rPr>
                <w:rFonts w:ascii="Arial Narrow" w:hAnsi="Arial Narrow" w:cs="Arial"/>
                <w:color w:val="000000" w:themeColor="text1"/>
                <w:sz w:val="20"/>
                <w:szCs w:val="20"/>
                <w:lang w:eastAsia="en-NZ"/>
              </w:rPr>
              <w:t>CT Screening</w:t>
            </w:r>
            <w:r w:rsidR="00F45B30" w:rsidRPr="00995466">
              <w:rPr>
                <w:rFonts w:ascii="Arial Narrow" w:hAnsi="Arial Narrow" w:cs="Arial"/>
                <w:color w:val="000000" w:themeColor="text1"/>
                <w:sz w:val="20"/>
                <w:szCs w:val="20"/>
                <w:lang w:eastAsia="en-NZ"/>
              </w:rPr>
              <w:fldChar w:fldCharType="begin"/>
            </w:r>
            <w:r w:rsidR="00CA3202">
              <w:rPr>
                <w:rFonts w:ascii="Arial Narrow" w:hAnsi="Arial Narrow" w:cs="Arial"/>
                <w:color w:val="000000" w:themeColor="text1"/>
                <w:sz w:val="20"/>
                <w:szCs w:val="20"/>
                <w:lang w:eastAsia="en-NZ"/>
              </w:rPr>
              <w:instrText xml:space="preserve"> ADDIN EN.CITE &lt;EndNote&gt;&lt;Cite&gt;&lt;Author&gt;McKenzie&lt;/Author&gt;&lt;Year&gt;2012&lt;/Year&gt;&lt;RecNum&gt;653&lt;/RecNum&gt;&lt;DisplayText&gt;&lt;style face="superscript"&gt;(16)&lt;/style&gt;&lt;/DisplayText&gt;&lt;record&gt;&lt;rec-number&gt;653&lt;/rec-number&gt;&lt;foreign-keys&gt;&lt;key app="EN" db-id="paxef0v91tx5e7eaev8xxf2xd92zvrfrv592"&gt;653&lt;/key&gt;&lt;/foreign-keys&gt;&lt;ref-type name="Report"&gt;27&lt;/ref-type&gt;&lt;contributors&gt;&lt;authors&gt;&lt;author&gt;McKenzie, DK&lt;/author&gt;&lt;author&gt;Abramson, Michael&lt;/author&gt;&lt;author&gt;Crockett, Alan&lt;/author&gt;&lt;author&gt;Dabscheck, Eli&lt;/author&gt;&lt;author&gt;Glasgow, Nicholas&lt;/author&gt;&lt;author&gt;Jenkins, Sue&lt;/author&gt;&lt;author&gt;McDonald, Christine&lt;/author&gt;&lt;author&gt;Wood-Baker, R.&lt;/author&gt;&lt;author&gt;Yang, Ian&lt;/author&gt;&lt;author&gt;Frith, PA&lt;/author&gt;&lt;/authors&gt;&lt;/contributors&gt;&lt;titles&gt;&lt;title&gt;Australian Lung Foundation, Thoracic Society of Australia and New Zealand. The COPDX Plan: Australian and New Zealand Guidelines for the Management of Chronic Obstructive Pulmonary Disease 2012&lt;/title&gt;&lt;/titles&gt;&lt;dates&gt;&lt;year&gt;2012&lt;/year&gt;&lt;/dates&gt;&lt;urls&gt;&lt;/urls&gt;&lt;/record&gt;&lt;/Cite&gt;&lt;/EndNote&gt;</w:instrText>
            </w:r>
            <w:r w:rsidR="00F45B30" w:rsidRPr="00995466">
              <w:rPr>
                <w:rFonts w:ascii="Arial Narrow" w:hAnsi="Arial Narrow" w:cs="Arial"/>
                <w:color w:val="000000" w:themeColor="text1"/>
                <w:sz w:val="20"/>
                <w:szCs w:val="20"/>
                <w:lang w:eastAsia="en-NZ"/>
              </w:rPr>
              <w:fldChar w:fldCharType="separate"/>
            </w:r>
            <w:r w:rsidR="00551E6B" w:rsidRPr="00551E6B">
              <w:rPr>
                <w:rFonts w:ascii="Arial Narrow" w:hAnsi="Arial Narrow" w:cs="Arial"/>
                <w:noProof/>
                <w:color w:val="000000" w:themeColor="text1"/>
                <w:sz w:val="20"/>
                <w:szCs w:val="20"/>
                <w:vertAlign w:val="superscript"/>
                <w:lang w:eastAsia="en-NZ"/>
              </w:rPr>
              <w:t>(</w:t>
            </w:r>
            <w:hyperlink w:anchor="_ENREF_16" w:tooltip="McKenzie, 2012 #653" w:history="1">
              <w:r w:rsidR="0029347A" w:rsidRPr="00551E6B">
                <w:rPr>
                  <w:rFonts w:ascii="Arial Narrow" w:hAnsi="Arial Narrow" w:cs="Arial"/>
                  <w:noProof/>
                  <w:color w:val="000000" w:themeColor="text1"/>
                  <w:sz w:val="20"/>
                  <w:szCs w:val="20"/>
                  <w:vertAlign w:val="superscript"/>
                  <w:lang w:eastAsia="en-NZ"/>
                </w:rPr>
                <w:t>16</w:t>
              </w:r>
            </w:hyperlink>
            <w:r w:rsidR="00551E6B" w:rsidRPr="00551E6B">
              <w:rPr>
                <w:rFonts w:ascii="Arial Narrow" w:hAnsi="Arial Narrow" w:cs="Arial"/>
                <w:noProof/>
                <w:color w:val="000000" w:themeColor="text1"/>
                <w:sz w:val="20"/>
                <w:szCs w:val="20"/>
                <w:vertAlign w:val="superscript"/>
                <w:lang w:eastAsia="en-NZ"/>
              </w:rPr>
              <w:t>)</w:t>
            </w:r>
            <w:r w:rsidR="00F45B30" w:rsidRPr="00995466">
              <w:rPr>
                <w:rFonts w:ascii="Arial Narrow" w:hAnsi="Arial Narrow" w:cs="Arial"/>
                <w:color w:val="000000" w:themeColor="text1"/>
                <w:sz w:val="20"/>
                <w:szCs w:val="20"/>
                <w:lang w:eastAsia="en-NZ"/>
              </w:rPr>
              <w:fldChar w:fldCharType="end"/>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Computed Tomography (CT) screening is an imaging technology used to provide a detailed view of internal structures.  Whilst it is effective at producing high-quality images, it is not recommended for all COPD patients- only patients with other co-morbidities such as lung cancer.</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 xml:space="preserve">Generally speaking, all DHBs have advanced imaging equipment such as CT scanners.  </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COPD patients with certain co-morbidities</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Good for some, unnecessary for others*</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Prevent inappropriate use</w:t>
            </w:r>
          </w:p>
        </w:tc>
        <w:tc>
          <w:tcPr>
            <w:tcW w:w="0" w:type="auto"/>
            <w:tcBorders>
              <w:top w:val="nil"/>
              <w:left w:val="nil"/>
              <w:bottom w:val="single" w:sz="8" w:space="0" w:color="auto"/>
              <w:right w:val="single" w:sz="8" w:space="0" w:color="auto"/>
            </w:tcBorders>
            <w:shd w:val="clear" w:color="000000" w:fill="FF0000"/>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R</w:t>
            </w:r>
          </w:p>
        </w:tc>
      </w:tr>
      <w:tr w:rsidR="00937FCB" w:rsidRPr="004F7453" w:rsidTr="004F7453">
        <w:trPr>
          <w:trHeight w:val="923"/>
        </w:trPr>
        <w:tc>
          <w:tcPr>
            <w:tcW w:w="0" w:type="auto"/>
            <w:vMerge w:val="restart"/>
            <w:tcBorders>
              <w:top w:val="nil"/>
              <w:left w:val="single" w:sz="8" w:space="0" w:color="auto"/>
              <w:bottom w:val="single" w:sz="8" w:space="0" w:color="000000"/>
              <w:right w:val="single" w:sz="8" w:space="0" w:color="auto"/>
            </w:tcBorders>
            <w:shd w:val="clear" w:color="auto" w:fill="auto"/>
            <w:hideMark/>
          </w:tcPr>
          <w:p w:rsidR="00915B9A" w:rsidRPr="00995466" w:rsidRDefault="00915B9A" w:rsidP="0029347A">
            <w:pPr>
              <w:spacing w:after="0" w:line="240" w:lineRule="auto"/>
              <w:rPr>
                <w:rFonts w:ascii="Arial Narrow" w:hAnsi="Arial Narrow" w:cs="Arial"/>
                <w:color w:val="000000" w:themeColor="text1"/>
                <w:sz w:val="20"/>
                <w:szCs w:val="20"/>
                <w:lang w:eastAsia="en-NZ"/>
              </w:rPr>
            </w:pPr>
            <w:r w:rsidRPr="00CA3202">
              <w:rPr>
                <w:rFonts w:ascii="Arial Narrow" w:hAnsi="Arial Narrow" w:cs="Arial"/>
                <w:color w:val="000000" w:themeColor="text1"/>
                <w:sz w:val="20"/>
                <w:szCs w:val="20"/>
                <w:lang w:eastAsia="en-NZ"/>
              </w:rPr>
              <w:t>Pulmonary Rehabilitation</w:t>
            </w:r>
            <w:r w:rsidR="00CA3202">
              <w:rPr>
                <w:rFonts w:ascii="Arial Narrow" w:hAnsi="Arial Narrow" w:cs="Arial"/>
                <w:color w:val="000000" w:themeColor="text1"/>
                <w:sz w:val="20"/>
                <w:szCs w:val="20"/>
                <w:lang w:eastAsia="en-NZ"/>
              </w:rPr>
              <w:fldChar w:fldCharType="begin"/>
            </w:r>
            <w:r w:rsidR="00CA3202">
              <w:rPr>
                <w:rFonts w:ascii="Arial Narrow" w:hAnsi="Arial Narrow" w:cs="Arial"/>
                <w:color w:val="000000" w:themeColor="text1"/>
                <w:sz w:val="20"/>
                <w:szCs w:val="20"/>
                <w:lang w:eastAsia="en-NZ"/>
              </w:rPr>
              <w:instrText xml:space="preserve"> ADDIN EN.CITE &lt;EndNote&gt;&lt;Cite&gt;&lt;Author&gt;Lacasse&lt;/Author&gt;&lt;Year&gt;2006&lt;/Year&gt;&lt;RecNum&gt;770&lt;/RecNum&gt;&lt;DisplayText&gt;&lt;style face="superscript"&gt;(17)&lt;/style&gt;&lt;/DisplayText&gt;&lt;record&gt;&lt;rec-number&gt;770&lt;/rec-number&gt;&lt;foreign-keys&gt;&lt;key app="EN" db-id="paxef0v91tx5e7eaev8xxf2xd92zvrfrv592"&gt;770&lt;/key&gt;&lt;/foreign-keys&gt;&lt;ref-type name="Journal Article"&gt;17&lt;/ref-type&gt;&lt;contributors&gt;&lt;authors&gt;&lt;author&gt;Lacasse, Y&lt;/author&gt;&lt;author&gt;Goldstein, R&lt;/author&gt;&lt;author&gt;Lasserson, TJ&lt;/author&gt;&lt;author&gt;Martin, S&lt;/author&gt;&lt;/authors&gt;&lt;/contributors&gt;&lt;titles&gt;&lt;title&gt;Pulmonary rehabilitation for chronic obstructive pulmonary disease&lt;/title&gt;&lt;secondary-title&gt;Cochrane Database Syst Rev&lt;/secondary-title&gt;&lt;/titles&gt;&lt;periodical&gt;&lt;full-title&gt;Cochrane Database Syst Rev&lt;/full-title&gt;&lt;/periodical&gt;&lt;volume&gt;4&lt;/volume&gt;&lt;number&gt;4&lt;/number&gt;&lt;dates&gt;&lt;year&gt;2006&lt;/year&gt;&lt;/dates&gt;&lt;urls&gt;&lt;/urls&gt;&lt;/record&gt;&lt;/Cite&gt;&lt;/EndNote&gt;</w:instrText>
            </w:r>
            <w:r w:rsidR="00CA3202">
              <w:rPr>
                <w:rFonts w:ascii="Arial Narrow" w:hAnsi="Arial Narrow" w:cs="Arial"/>
                <w:color w:val="000000" w:themeColor="text1"/>
                <w:sz w:val="20"/>
                <w:szCs w:val="20"/>
                <w:lang w:eastAsia="en-NZ"/>
              </w:rPr>
              <w:fldChar w:fldCharType="separate"/>
            </w:r>
            <w:r w:rsidR="00CA3202" w:rsidRPr="00CA3202">
              <w:rPr>
                <w:rFonts w:ascii="Arial Narrow" w:hAnsi="Arial Narrow" w:cs="Arial"/>
                <w:noProof/>
                <w:color w:val="000000" w:themeColor="text1"/>
                <w:sz w:val="20"/>
                <w:szCs w:val="20"/>
                <w:vertAlign w:val="superscript"/>
                <w:lang w:eastAsia="en-NZ"/>
              </w:rPr>
              <w:t>(</w:t>
            </w:r>
            <w:hyperlink w:anchor="_ENREF_17" w:tooltip="Lacasse, 2006 #770" w:history="1">
              <w:r w:rsidR="0029347A" w:rsidRPr="00CA3202">
                <w:rPr>
                  <w:rFonts w:ascii="Arial Narrow" w:hAnsi="Arial Narrow" w:cs="Arial"/>
                  <w:noProof/>
                  <w:color w:val="000000" w:themeColor="text1"/>
                  <w:sz w:val="20"/>
                  <w:szCs w:val="20"/>
                  <w:vertAlign w:val="superscript"/>
                  <w:lang w:eastAsia="en-NZ"/>
                </w:rPr>
                <w:t>17</w:t>
              </w:r>
            </w:hyperlink>
            <w:r w:rsidR="00CA3202" w:rsidRPr="00CA3202">
              <w:rPr>
                <w:rFonts w:ascii="Arial Narrow" w:hAnsi="Arial Narrow" w:cs="Arial"/>
                <w:noProof/>
                <w:color w:val="000000" w:themeColor="text1"/>
                <w:sz w:val="20"/>
                <w:szCs w:val="20"/>
                <w:vertAlign w:val="superscript"/>
                <w:lang w:eastAsia="en-NZ"/>
              </w:rPr>
              <w:t>)</w:t>
            </w:r>
            <w:r w:rsidR="00CA3202">
              <w:rPr>
                <w:rFonts w:ascii="Arial Narrow" w:hAnsi="Arial Narrow" w:cs="Arial"/>
                <w:color w:val="000000" w:themeColor="text1"/>
                <w:sz w:val="20"/>
                <w:szCs w:val="20"/>
                <w:lang w:eastAsia="en-NZ"/>
              </w:rPr>
              <w:fldChar w:fldCharType="end"/>
            </w:r>
            <w:r w:rsidRPr="00995466">
              <w:rPr>
                <w:rFonts w:ascii="Arial Narrow" w:hAnsi="Arial Narrow" w:cs="Arial"/>
                <w:color w:val="000000" w:themeColor="text1"/>
                <w:sz w:val="20"/>
                <w:szCs w:val="20"/>
                <w:lang w:eastAsia="en-NZ"/>
              </w:rPr>
              <w:t xml:space="preserve"> </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Pulmonary rehabilitation (PR) is a broad, integrated programme that includes physical and psychological interventions.  It has the potential to reduce readmissions by 25% for patients admitted to hospital with an exacerbation of COPD and mortality by about 17%.</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995466" w:rsidRPr="00551E6B" w:rsidRDefault="00915B9A" w:rsidP="0029347A">
            <w:pPr>
              <w:spacing w:after="0" w:line="240" w:lineRule="auto"/>
              <w:rPr>
                <w:rFonts w:ascii="Arial Narrow" w:hAnsi="Arial Narrow" w:cs="Arial"/>
                <w:color w:val="0000FF"/>
                <w:sz w:val="20"/>
                <w:szCs w:val="20"/>
                <w:lang w:eastAsia="en-NZ"/>
              </w:rPr>
            </w:pPr>
            <w:r w:rsidRPr="00551E6B">
              <w:rPr>
                <w:rFonts w:ascii="Arial Narrow" w:hAnsi="Arial Narrow" w:cs="Arial"/>
                <w:color w:val="000000" w:themeColor="text1"/>
                <w:sz w:val="20"/>
                <w:szCs w:val="20"/>
                <w:lang w:eastAsia="en-NZ"/>
              </w:rPr>
              <w:t xml:space="preserve">According to the ABCC study mentioned above, the vast majority of DHBs offer some form of PR.  Anecdotally, very few patients are actually referred to PR </w:t>
            </w:r>
            <w:r w:rsidR="00551E6B">
              <w:rPr>
                <w:rFonts w:ascii="Arial Narrow" w:hAnsi="Arial Narrow" w:cs="Arial"/>
                <w:color w:val="000000" w:themeColor="text1"/>
                <w:sz w:val="20"/>
                <w:szCs w:val="20"/>
                <w:lang w:eastAsia="en-NZ"/>
              </w:rPr>
              <w:t>and complete the programme</w:t>
            </w:r>
            <w:r w:rsidR="00551E6B" w:rsidRPr="00551E6B">
              <w:rPr>
                <w:rFonts w:ascii="Arial Narrow" w:hAnsi="Arial Narrow" w:cs="Arial"/>
                <w:color w:val="000000" w:themeColor="text1"/>
                <w:sz w:val="20"/>
                <w:szCs w:val="20"/>
                <w:lang w:eastAsia="en-NZ"/>
              </w:rPr>
              <w:t>.</w:t>
            </w:r>
            <w:r w:rsidR="00551E6B" w:rsidRPr="00551E6B">
              <w:rPr>
                <w:rFonts w:ascii="Arial Narrow" w:hAnsi="Arial Narrow" w:cs="Arial"/>
                <w:color w:val="000000" w:themeColor="text1"/>
                <w:sz w:val="20"/>
                <w:szCs w:val="20"/>
                <w:lang w:eastAsia="en-NZ"/>
              </w:rPr>
              <w:fldChar w:fldCharType="begin"/>
            </w:r>
            <w:r w:rsidR="00CA3202">
              <w:rPr>
                <w:rFonts w:ascii="Arial Narrow" w:hAnsi="Arial Narrow" w:cs="Arial"/>
                <w:color w:val="000000" w:themeColor="text1"/>
                <w:sz w:val="20"/>
                <w:szCs w:val="20"/>
                <w:lang w:eastAsia="en-NZ"/>
              </w:rPr>
              <w:instrText xml:space="preserve"> ADDIN EN.CITE &lt;EndNote&gt;&lt;Cite&gt;&lt;Author&gt;Levack&lt;/Author&gt;&lt;Year&gt;2012&lt;/Year&gt;&lt;RecNum&gt;769&lt;/RecNum&gt;&lt;DisplayText&gt;&lt;style face="superscript"&gt;(18)&lt;/style&gt;&lt;/DisplayText&gt;&lt;record&gt;&lt;rec-number&gt;769&lt;/rec-number&gt;&lt;foreign-keys&gt;&lt;key app="EN" db-id="paxef0v91tx5e7eaev8xxf2xd92zvrfrv592"&gt;769&lt;/key&gt;&lt;/foreign-keys&gt;&lt;ref-type name="Journal Article"&gt;17&lt;/ref-type&gt;&lt;contributors&gt;&lt;authors&gt;&lt;author&gt;Levack, William MM&lt;/author&gt;&lt;author&gt;Weatherall, Mark&lt;/author&gt;&lt;author&gt;Reeve, Julie C&lt;/author&gt;&lt;author&gt;Mans, Christina&lt;/author&gt;&lt;author&gt;Mauro, Antonia&lt;/author&gt;&lt;/authors&gt;&lt;/contributors&gt;&lt;titles&gt;&lt;title&gt;Uptake of pulmonary rehabilitation in New Zealand by people with chronic obstructive pulmonary disease in 2009&lt;/title&gt;&lt;secondary-title&gt;Clinical Correspondence&lt;/secondary-title&gt;&lt;/titles&gt;&lt;periodical&gt;&lt;full-title&gt;Clinical Correspondence&lt;/full-title&gt;&lt;/periodical&gt;&lt;dates&gt;&lt;year&gt;2012&lt;/year&gt;&lt;/dates&gt;&lt;urls&gt;&lt;/urls&gt;&lt;/record&gt;&lt;/Cite&gt;&lt;/EndNote&gt;</w:instrText>
            </w:r>
            <w:r w:rsidR="00551E6B" w:rsidRPr="00551E6B">
              <w:rPr>
                <w:rFonts w:ascii="Arial Narrow" w:hAnsi="Arial Narrow" w:cs="Arial"/>
                <w:color w:val="000000" w:themeColor="text1"/>
                <w:sz w:val="20"/>
                <w:szCs w:val="20"/>
                <w:lang w:eastAsia="en-NZ"/>
              </w:rPr>
              <w:fldChar w:fldCharType="separate"/>
            </w:r>
            <w:r w:rsidR="00CA3202" w:rsidRPr="00CA3202">
              <w:rPr>
                <w:rFonts w:ascii="Arial Narrow" w:hAnsi="Arial Narrow" w:cs="Arial"/>
                <w:noProof/>
                <w:color w:val="000000" w:themeColor="text1"/>
                <w:sz w:val="20"/>
                <w:szCs w:val="20"/>
                <w:vertAlign w:val="superscript"/>
                <w:lang w:eastAsia="en-NZ"/>
              </w:rPr>
              <w:t>(</w:t>
            </w:r>
            <w:hyperlink w:anchor="_ENREF_18" w:tooltip="Levack, 2012 #769" w:history="1">
              <w:r w:rsidR="0029347A" w:rsidRPr="00CA3202">
                <w:rPr>
                  <w:rFonts w:ascii="Arial Narrow" w:hAnsi="Arial Narrow" w:cs="Arial"/>
                  <w:noProof/>
                  <w:color w:val="000000" w:themeColor="text1"/>
                  <w:sz w:val="20"/>
                  <w:szCs w:val="20"/>
                  <w:vertAlign w:val="superscript"/>
                  <w:lang w:eastAsia="en-NZ"/>
                </w:rPr>
                <w:t>18</w:t>
              </w:r>
            </w:hyperlink>
            <w:r w:rsidR="00CA3202" w:rsidRPr="00CA3202">
              <w:rPr>
                <w:rFonts w:ascii="Arial Narrow" w:hAnsi="Arial Narrow" w:cs="Arial"/>
                <w:noProof/>
                <w:color w:val="000000" w:themeColor="text1"/>
                <w:sz w:val="20"/>
                <w:szCs w:val="20"/>
                <w:vertAlign w:val="superscript"/>
                <w:lang w:eastAsia="en-NZ"/>
              </w:rPr>
              <w:t>)</w:t>
            </w:r>
            <w:r w:rsidR="00551E6B" w:rsidRPr="00551E6B">
              <w:rPr>
                <w:rFonts w:ascii="Arial Narrow" w:hAnsi="Arial Narrow" w:cs="Arial"/>
                <w:color w:val="000000" w:themeColor="text1"/>
                <w:sz w:val="20"/>
                <w:szCs w:val="20"/>
                <w:lang w:eastAsia="en-NZ"/>
              </w:rPr>
              <w:fldChar w:fldCharType="end"/>
            </w:r>
            <w:r w:rsidRPr="00551E6B">
              <w:rPr>
                <w:rFonts w:ascii="Arial Narrow" w:hAnsi="Arial Narrow" w:cs="Arial"/>
                <w:color w:val="000000" w:themeColor="text1"/>
                <w:sz w:val="20"/>
                <w:szCs w:val="20"/>
                <w:lang w:eastAsia="en-NZ"/>
              </w:rPr>
              <w:t xml:space="preserve">  The proportion of discharged patients currently receiving a referral to PR is about 7% according to a Waitemata DHB audit</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Non-referred, discharged COPD exacerbation patients (~5,200)</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Efficacious**</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Increasing referral, uptake and completion rates for discharged COPD patients</w:t>
            </w:r>
          </w:p>
        </w:tc>
        <w:tc>
          <w:tcPr>
            <w:tcW w:w="0" w:type="auto"/>
            <w:tcBorders>
              <w:top w:val="nil"/>
              <w:left w:val="nil"/>
              <w:bottom w:val="single" w:sz="8" w:space="0" w:color="auto"/>
              <w:right w:val="single" w:sz="8" w:space="0" w:color="auto"/>
            </w:tcBorders>
            <w:shd w:val="clear" w:color="000000" w:fill="00B050"/>
            <w:vAlign w:val="center"/>
            <w:hideMark/>
          </w:tcPr>
          <w:p w:rsidR="00915B9A" w:rsidRPr="004F7453" w:rsidRDefault="00915B9A"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G</w:t>
            </w:r>
          </w:p>
        </w:tc>
      </w:tr>
      <w:tr w:rsidR="00937FCB" w:rsidRPr="004F7453" w:rsidTr="004F7453">
        <w:trPr>
          <w:trHeight w:val="204"/>
        </w:trPr>
        <w:tc>
          <w:tcPr>
            <w:tcW w:w="0" w:type="auto"/>
            <w:vMerge/>
            <w:tcBorders>
              <w:top w:val="nil"/>
              <w:left w:val="single" w:sz="8" w:space="0" w:color="auto"/>
              <w:bottom w:val="single" w:sz="8" w:space="0" w:color="000000"/>
              <w:right w:val="single" w:sz="8" w:space="0" w:color="auto"/>
            </w:tcBorders>
            <w:hideMark/>
          </w:tcPr>
          <w:p w:rsidR="00915B9A" w:rsidRPr="00995466" w:rsidRDefault="00915B9A" w:rsidP="008C2DFF">
            <w:pPr>
              <w:spacing w:after="0" w:line="240" w:lineRule="auto"/>
              <w:rPr>
                <w:rFonts w:ascii="Arial Narrow" w:hAnsi="Arial Narrow" w:cs="Arial"/>
                <w:color w:val="000000" w:themeColor="text1"/>
                <w:sz w:val="20"/>
                <w:szCs w:val="20"/>
                <w:lang w:eastAsia="en-NZ"/>
              </w:rPr>
            </w:pPr>
          </w:p>
        </w:tc>
        <w:tc>
          <w:tcPr>
            <w:tcW w:w="0" w:type="auto"/>
            <w:vMerge/>
            <w:tcBorders>
              <w:top w:val="nil"/>
              <w:left w:val="single" w:sz="8" w:space="0" w:color="auto"/>
              <w:bottom w:val="single" w:sz="8" w:space="0" w:color="000000"/>
              <w:right w:val="single" w:sz="8" w:space="0" w:color="auto"/>
            </w:tcBorders>
            <w:hideMark/>
          </w:tcPr>
          <w:p w:rsidR="00915B9A" w:rsidRPr="004F7453" w:rsidRDefault="00915B9A" w:rsidP="008C2DFF">
            <w:pPr>
              <w:spacing w:after="0" w:line="240" w:lineRule="auto"/>
              <w:rPr>
                <w:rFonts w:ascii="Arial Narrow" w:hAnsi="Arial Narrow" w:cs="Arial"/>
                <w:color w:val="000000"/>
                <w:sz w:val="20"/>
                <w:szCs w:val="20"/>
                <w:lang w:eastAsia="en-NZ"/>
              </w:rPr>
            </w:pPr>
          </w:p>
        </w:tc>
        <w:tc>
          <w:tcPr>
            <w:tcW w:w="0" w:type="auto"/>
            <w:vMerge/>
            <w:tcBorders>
              <w:top w:val="nil"/>
              <w:left w:val="single" w:sz="8" w:space="0" w:color="auto"/>
              <w:bottom w:val="single" w:sz="8" w:space="0" w:color="000000"/>
              <w:right w:val="single" w:sz="8" w:space="0" w:color="auto"/>
            </w:tcBorders>
            <w:hideMark/>
          </w:tcPr>
          <w:p w:rsidR="00915B9A" w:rsidRPr="004F7453" w:rsidRDefault="00915B9A" w:rsidP="008C2DFF">
            <w:pPr>
              <w:spacing w:after="0" w:line="240" w:lineRule="auto"/>
              <w:rPr>
                <w:rFonts w:ascii="Arial Narrow" w:hAnsi="Arial Narrow" w:cs="Arial"/>
                <w:color w:val="0000FF"/>
                <w:sz w:val="20"/>
                <w:szCs w:val="20"/>
                <w:u w:val="single"/>
                <w:lang w:eastAsia="en-NZ"/>
              </w:rPr>
            </w:pP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All COPD patients (~138,000)</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Mixed efficacy**</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Unsustainable (+)</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Increasing referral, uptake and completion rates for all COPD patients</w:t>
            </w:r>
          </w:p>
        </w:tc>
        <w:tc>
          <w:tcPr>
            <w:tcW w:w="0" w:type="auto"/>
            <w:tcBorders>
              <w:top w:val="nil"/>
              <w:left w:val="nil"/>
              <w:bottom w:val="single" w:sz="8" w:space="0" w:color="auto"/>
              <w:right w:val="single" w:sz="8" w:space="0" w:color="auto"/>
            </w:tcBorders>
            <w:shd w:val="clear" w:color="000000" w:fill="FF0000"/>
            <w:vAlign w:val="center"/>
            <w:hideMark/>
          </w:tcPr>
          <w:p w:rsidR="00915B9A" w:rsidRPr="004F7453" w:rsidRDefault="00915B9A"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R</w:t>
            </w:r>
          </w:p>
        </w:tc>
      </w:tr>
      <w:tr w:rsidR="00937FCB" w:rsidRPr="004F7453" w:rsidTr="004F7453">
        <w:trPr>
          <w:trHeight w:val="1004"/>
        </w:trPr>
        <w:tc>
          <w:tcPr>
            <w:tcW w:w="0" w:type="auto"/>
            <w:vMerge w:val="restart"/>
            <w:tcBorders>
              <w:top w:val="nil"/>
              <w:left w:val="single" w:sz="8" w:space="0" w:color="auto"/>
              <w:bottom w:val="single" w:sz="8" w:space="0" w:color="000000"/>
              <w:right w:val="single" w:sz="8" w:space="0" w:color="auto"/>
            </w:tcBorders>
            <w:shd w:val="clear" w:color="auto" w:fill="auto"/>
            <w:hideMark/>
          </w:tcPr>
          <w:p w:rsidR="008C2DFF" w:rsidRPr="00995466" w:rsidRDefault="00995466" w:rsidP="0029347A">
            <w:pPr>
              <w:spacing w:after="0" w:line="240" w:lineRule="auto"/>
              <w:rPr>
                <w:rFonts w:ascii="Arial Narrow" w:hAnsi="Arial Narrow" w:cs="Arial"/>
                <w:color w:val="000000" w:themeColor="text1"/>
                <w:sz w:val="20"/>
                <w:szCs w:val="20"/>
                <w:lang w:eastAsia="en-NZ"/>
              </w:rPr>
            </w:pPr>
            <w:r>
              <w:rPr>
                <w:rFonts w:ascii="Arial Narrow" w:hAnsi="Arial Narrow" w:cs="Arial"/>
                <w:color w:val="000000" w:themeColor="text1"/>
                <w:sz w:val="20"/>
                <w:szCs w:val="20"/>
                <w:lang w:eastAsia="en-NZ"/>
              </w:rPr>
              <w:t>(Home) Telehealth</w:t>
            </w:r>
            <w:r>
              <w:rPr>
                <w:rFonts w:ascii="Arial Narrow" w:hAnsi="Arial Narrow" w:cs="Arial"/>
                <w:color w:val="000000" w:themeColor="text1"/>
                <w:sz w:val="20"/>
                <w:szCs w:val="20"/>
                <w:lang w:eastAsia="en-NZ"/>
              </w:rPr>
              <w:fldChar w:fldCharType="begin"/>
            </w:r>
            <w:r w:rsidR="00CA3202">
              <w:rPr>
                <w:rFonts w:ascii="Arial Narrow" w:hAnsi="Arial Narrow" w:cs="Arial"/>
                <w:color w:val="000000" w:themeColor="text1"/>
                <w:sz w:val="20"/>
                <w:szCs w:val="20"/>
                <w:lang w:eastAsia="en-NZ"/>
              </w:rPr>
              <w:instrText xml:space="preserve"> ADDIN EN.CITE &lt;EndNote&gt;&lt;Cite&gt;&lt;Author&gt;McLean&lt;/Author&gt;&lt;Year&gt;2011&lt;/Year&gt;&lt;RecNum&gt;445&lt;/RecNum&gt;&lt;DisplayText&gt;&lt;style face="superscript"&gt;(19)&lt;/style&gt;&lt;/DisplayText&gt;&lt;record&gt;&lt;rec-number&gt;445&lt;/rec-number&gt;&lt;foreign-keys&gt;&lt;key app="EN" db-id="paxef0v91tx5e7eaev8xxf2xd92zvrfrv592"&gt;445&lt;/key&gt;&lt;/foreign-keys&gt;&lt;ref-type name="Electronic Article"&gt;43&lt;/ref-type&gt;&lt;contributors&gt;&lt;authors&gt;&lt;author&gt;McLean, Susannah&lt;/author&gt;&lt;author&gt;Nurmatov, Ulugbek&lt;/author&gt;&lt;author&gt;Liu Joseph, L. Y.&lt;/author&gt;&lt;author&gt;Pagliari, Claudia&lt;/author&gt;&lt;author&gt;Car, Josip&lt;/author&gt;&lt;author&gt;Sheikh, Aziz&lt;/author&gt;&lt;/authors&gt;&lt;/contributors&gt;&lt;titles&gt;&lt;title&gt;Telehealthcare for chronic obstructive pulmonary disease&lt;/title&gt;&lt;secondary-title&gt;Cochrane Database of Systematic Reviews&lt;/secondary-title&gt;&lt;/titles&gt;&lt;periodical&gt;&lt;full-title&gt;Cochrane Database of Systematic Reviews&lt;/full-title&gt;&lt;/periodical&gt;&lt;number&gt;7&lt;/number&gt;&lt;keywords&gt;&lt;keyword&gt;Disease Progression&lt;/keyword&gt;&lt;keyword&gt;Emergency Service, Hospital [utilization]&lt;/keyword&gt;&lt;keyword&gt;Home Care Services, Hospital-Based [organization &amp;amp; administration]&lt;/keyword&gt;&lt;keyword&gt;Hospitalization [statistics &amp;amp; numerical data]&lt;/keyword&gt;&lt;keyword&gt;Pulmonary Disease, Chronic Obstructive [therapy]&lt;/keyword&gt;&lt;keyword&gt;Randomized Controlled Trials as Topic&lt;/keyword&gt;&lt;keyword&gt;Telemedicine [methods]&lt;/keyword&gt;&lt;keyword&gt;Humans[checkword]&lt;/keyword&gt;&lt;keyword&gt;Airways&lt;/keyword&gt;&lt;/keywords&gt;&lt;dates&gt;&lt;year&gt;2011&lt;/year&gt;&lt;/dates&gt;&lt;publisher&gt;John Wiley &amp;amp; Sons, Ltd&lt;/publisher&gt;&lt;accession-num&gt;CD007718&lt;/accession-num&gt;&lt;urls&gt;&lt;related-urls&gt;&lt;url&gt;http://onlinelibrary.wiley.com/doi/10.1002/14651858.CD007718.pub2/abstract&lt;/url&gt;&lt;/related-urls&gt;&lt;/urls&gt;&lt;electronic-resource-num&gt;10.1002/14651858.CD007718.pub2&lt;/electronic-resource-num&gt;&lt;/record&gt;&lt;/Cite&gt;&lt;/EndNote&gt;</w:instrText>
            </w:r>
            <w:r>
              <w:rPr>
                <w:rFonts w:ascii="Arial Narrow" w:hAnsi="Arial Narrow" w:cs="Arial"/>
                <w:color w:val="000000" w:themeColor="text1"/>
                <w:sz w:val="20"/>
                <w:szCs w:val="20"/>
                <w:lang w:eastAsia="en-NZ"/>
              </w:rPr>
              <w:fldChar w:fldCharType="separate"/>
            </w:r>
            <w:r w:rsidR="00CA3202" w:rsidRPr="00CA3202">
              <w:rPr>
                <w:rFonts w:ascii="Arial Narrow" w:hAnsi="Arial Narrow" w:cs="Arial"/>
                <w:noProof/>
                <w:color w:val="000000" w:themeColor="text1"/>
                <w:sz w:val="20"/>
                <w:szCs w:val="20"/>
                <w:vertAlign w:val="superscript"/>
                <w:lang w:eastAsia="en-NZ"/>
              </w:rPr>
              <w:t>(</w:t>
            </w:r>
            <w:hyperlink w:anchor="_ENREF_19" w:tooltip="McLean, 2011 #445" w:history="1">
              <w:r w:rsidR="0029347A" w:rsidRPr="00CA3202">
                <w:rPr>
                  <w:rFonts w:ascii="Arial Narrow" w:hAnsi="Arial Narrow" w:cs="Arial"/>
                  <w:noProof/>
                  <w:color w:val="000000" w:themeColor="text1"/>
                  <w:sz w:val="20"/>
                  <w:szCs w:val="20"/>
                  <w:vertAlign w:val="superscript"/>
                  <w:lang w:eastAsia="en-NZ"/>
                </w:rPr>
                <w:t>19</w:t>
              </w:r>
            </w:hyperlink>
            <w:r w:rsidR="00CA3202" w:rsidRPr="00CA3202">
              <w:rPr>
                <w:rFonts w:ascii="Arial Narrow" w:hAnsi="Arial Narrow" w:cs="Arial"/>
                <w:noProof/>
                <w:color w:val="000000" w:themeColor="text1"/>
                <w:sz w:val="20"/>
                <w:szCs w:val="20"/>
                <w:vertAlign w:val="superscript"/>
                <w:lang w:eastAsia="en-NZ"/>
              </w:rPr>
              <w:t>)</w:t>
            </w:r>
            <w:r>
              <w:rPr>
                <w:rFonts w:ascii="Arial Narrow" w:hAnsi="Arial Narrow" w:cs="Arial"/>
                <w:color w:val="000000" w:themeColor="text1"/>
                <w:sz w:val="20"/>
                <w:szCs w:val="20"/>
                <w:lang w:eastAsia="en-NZ"/>
              </w:rPr>
              <w:fldChar w:fldCharType="end"/>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Providing care via a telecommunications mechanism (i.e. phone, Skype)</w:t>
            </w:r>
          </w:p>
        </w:tc>
        <w:tc>
          <w:tcPr>
            <w:tcW w:w="0" w:type="auto"/>
            <w:tcBorders>
              <w:top w:val="nil"/>
              <w:left w:val="single" w:sz="8" w:space="0" w:color="auto"/>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In New Zealand, one of the more common uses of telehealth is the advent of Healthline, a phone service staffed by nurses who can guide patients through particular questions and advise treatment options.  Quitline is also another example of services offered via telephone.</w:t>
            </w:r>
          </w:p>
        </w:tc>
        <w:tc>
          <w:tcPr>
            <w:tcW w:w="0" w:type="auto"/>
            <w:tcBorders>
              <w:top w:val="nil"/>
              <w:left w:val="nil"/>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Minor exacerbations</w:t>
            </w:r>
          </w:p>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(~42,000)</w:t>
            </w:r>
          </w:p>
        </w:tc>
        <w:tc>
          <w:tcPr>
            <w:tcW w:w="0" w:type="auto"/>
            <w:tcBorders>
              <w:top w:val="nil"/>
              <w:left w:val="single" w:sz="8" w:space="0" w:color="auto"/>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Mixed efficacy**</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Invest in new technology/refer to HIP</w:t>
            </w:r>
          </w:p>
        </w:tc>
        <w:tc>
          <w:tcPr>
            <w:tcW w:w="0" w:type="auto"/>
            <w:tcBorders>
              <w:top w:val="nil"/>
              <w:left w:val="single" w:sz="8" w:space="0" w:color="auto"/>
              <w:bottom w:val="single" w:sz="8" w:space="0" w:color="000000"/>
              <w:right w:val="single" w:sz="8" w:space="0" w:color="auto"/>
            </w:tcBorders>
            <w:shd w:val="clear" w:color="000000" w:fill="FF0000"/>
            <w:vAlign w:val="center"/>
            <w:hideMark/>
          </w:tcPr>
          <w:p w:rsidR="008C2DFF" w:rsidRPr="004F7453" w:rsidRDefault="008C2DFF"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R</w:t>
            </w:r>
          </w:p>
        </w:tc>
      </w:tr>
      <w:tr w:rsidR="00937FCB" w:rsidRPr="004F7453" w:rsidTr="004F7453">
        <w:trPr>
          <w:trHeight w:val="840"/>
        </w:trPr>
        <w:tc>
          <w:tcPr>
            <w:tcW w:w="0" w:type="auto"/>
            <w:vMerge/>
            <w:tcBorders>
              <w:top w:val="nil"/>
              <w:left w:val="single" w:sz="8" w:space="0" w:color="auto"/>
              <w:bottom w:val="single" w:sz="8" w:space="0" w:color="000000"/>
              <w:right w:val="single" w:sz="8" w:space="0" w:color="auto"/>
            </w:tcBorders>
            <w:hideMark/>
          </w:tcPr>
          <w:p w:rsidR="00915B9A" w:rsidRPr="00995466" w:rsidRDefault="00915B9A" w:rsidP="008C2DFF">
            <w:pPr>
              <w:spacing w:after="0" w:line="240" w:lineRule="auto"/>
              <w:rPr>
                <w:rFonts w:ascii="Arial Narrow" w:hAnsi="Arial Narrow" w:cs="Arial"/>
                <w:color w:val="000000" w:themeColor="text1"/>
                <w:sz w:val="20"/>
                <w:szCs w:val="20"/>
                <w:lang w:eastAsia="en-NZ"/>
              </w:rPr>
            </w:pP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Integrating patient records from a variety of sources across a common platform</w:t>
            </w:r>
          </w:p>
        </w:tc>
        <w:tc>
          <w:tcPr>
            <w:tcW w:w="0" w:type="auto"/>
            <w:tcBorders>
              <w:top w:val="single" w:sz="4" w:space="0" w:color="auto"/>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 xml:space="preserve">Some DHBs are trialling patient management systems that attempt to integrate care across primary and secondary services.  The purpose of this is to better co-ordinate services and allow multiple clinicians to input to a patient’s care plan.  </w:t>
            </w:r>
          </w:p>
        </w:tc>
        <w:tc>
          <w:tcPr>
            <w:tcW w:w="0" w:type="auto"/>
            <w:tcBorders>
              <w:top w:val="single" w:sz="4" w:space="0" w:color="auto"/>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All COPD patients (~138,000)</w:t>
            </w:r>
          </w:p>
        </w:tc>
        <w:tc>
          <w:tcPr>
            <w:tcW w:w="0" w:type="auto"/>
            <w:tcBorders>
              <w:top w:val="single" w:sz="4" w:space="0" w:color="auto"/>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Unknown+</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Invest in new technology/refer to HIP</w:t>
            </w:r>
          </w:p>
        </w:tc>
        <w:tc>
          <w:tcPr>
            <w:tcW w:w="0" w:type="auto"/>
            <w:tcBorders>
              <w:top w:val="nil"/>
              <w:left w:val="nil"/>
              <w:bottom w:val="single" w:sz="8" w:space="0" w:color="auto"/>
              <w:right w:val="single" w:sz="8" w:space="0" w:color="auto"/>
            </w:tcBorders>
            <w:shd w:val="clear" w:color="000000" w:fill="FF0000"/>
            <w:vAlign w:val="center"/>
            <w:hideMark/>
          </w:tcPr>
          <w:p w:rsidR="00915B9A" w:rsidRPr="004F7453" w:rsidRDefault="00915B9A"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R</w:t>
            </w:r>
          </w:p>
        </w:tc>
      </w:tr>
      <w:tr w:rsidR="00937FCB" w:rsidRPr="004F7453" w:rsidTr="004F7453">
        <w:trPr>
          <w:trHeight w:val="921"/>
        </w:trPr>
        <w:tc>
          <w:tcPr>
            <w:tcW w:w="0" w:type="auto"/>
            <w:vMerge/>
            <w:tcBorders>
              <w:top w:val="nil"/>
              <w:left w:val="single" w:sz="8" w:space="0" w:color="auto"/>
              <w:bottom w:val="single" w:sz="8" w:space="0" w:color="000000"/>
              <w:right w:val="single" w:sz="8" w:space="0" w:color="auto"/>
            </w:tcBorders>
            <w:hideMark/>
          </w:tcPr>
          <w:p w:rsidR="008C2DFF" w:rsidRPr="00995466" w:rsidRDefault="008C2DFF" w:rsidP="008C2DFF">
            <w:pPr>
              <w:spacing w:after="0" w:line="240" w:lineRule="auto"/>
              <w:rPr>
                <w:rFonts w:ascii="Arial Narrow" w:hAnsi="Arial Narrow" w:cs="Arial"/>
                <w:color w:val="000000" w:themeColor="text1"/>
                <w:sz w:val="20"/>
                <w:szCs w:val="20"/>
                <w:lang w:eastAsia="en-NZ"/>
              </w:rPr>
            </w:pP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Monitoring patient signs remotely</w:t>
            </w:r>
          </w:p>
        </w:tc>
        <w:tc>
          <w:tcPr>
            <w:tcW w:w="0" w:type="auto"/>
            <w:tcBorders>
              <w:top w:val="nil"/>
              <w:left w:val="single" w:sz="8" w:space="0" w:color="auto"/>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Within COPD, telemonitoring of vital signs (i.e. oxygen saturation, pulse, etc.) has been trialled, but the extent to which this can impact on COPD health outcomes is still questionable to some clinicians.</w:t>
            </w:r>
          </w:p>
        </w:tc>
        <w:tc>
          <w:tcPr>
            <w:tcW w:w="0" w:type="auto"/>
            <w:tcBorders>
              <w:top w:val="nil"/>
              <w:left w:val="nil"/>
              <w:bottom w:val="single" w:sz="4" w:space="0" w:color="auto"/>
              <w:right w:val="single" w:sz="8" w:space="0" w:color="auto"/>
            </w:tcBorders>
            <w:shd w:val="clear" w:color="auto" w:fill="auto"/>
            <w:hideMark/>
          </w:tcPr>
          <w:p w:rsidR="008C2DFF" w:rsidRPr="004F7453" w:rsidRDefault="00551E6B" w:rsidP="008C2DFF">
            <w:pPr>
              <w:spacing w:after="0" w:line="240" w:lineRule="auto"/>
              <w:rPr>
                <w:rFonts w:ascii="Arial Narrow" w:hAnsi="Arial Narrow" w:cs="Arial"/>
                <w:color w:val="000000"/>
                <w:sz w:val="20"/>
                <w:szCs w:val="20"/>
                <w:lang w:eastAsia="en-NZ"/>
              </w:rPr>
            </w:pPr>
            <w:r>
              <w:rPr>
                <w:rFonts w:ascii="Arial Narrow" w:hAnsi="Arial Narrow" w:cs="Arial"/>
                <w:color w:val="000000"/>
                <w:sz w:val="20"/>
                <w:szCs w:val="20"/>
                <w:lang w:eastAsia="en-NZ"/>
              </w:rPr>
              <w:t>Advanced stable and end s</w:t>
            </w:r>
            <w:r w:rsidR="008C2DFF" w:rsidRPr="004F7453">
              <w:rPr>
                <w:rFonts w:ascii="Arial Narrow" w:hAnsi="Arial Narrow" w:cs="Arial"/>
                <w:color w:val="000000"/>
                <w:sz w:val="20"/>
                <w:szCs w:val="20"/>
                <w:lang w:eastAsia="en-NZ"/>
              </w:rPr>
              <w:t>tage</w:t>
            </w:r>
          </w:p>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(~10,000)</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Mixed efficacy+</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Invest in new technology/refer to HIP</w:t>
            </w:r>
          </w:p>
        </w:tc>
        <w:tc>
          <w:tcPr>
            <w:tcW w:w="0" w:type="auto"/>
            <w:tcBorders>
              <w:top w:val="nil"/>
              <w:left w:val="single" w:sz="8" w:space="0" w:color="auto"/>
              <w:bottom w:val="single" w:sz="8" w:space="0" w:color="000000"/>
              <w:right w:val="single" w:sz="8" w:space="0" w:color="auto"/>
            </w:tcBorders>
            <w:shd w:val="clear" w:color="000000" w:fill="FF0000"/>
            <w:vAlign w:val="center"/>
            <w:hideMark/>
          </w:tcPr>
          <w:p w:rsidR="008C2DFF" w:rsidRPr="004F7453" w:rsidRDefault="008C2DFF"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R</w:t>
            </w:r>
          </w:p>
        </w:tc>
      </w:tr>
      <w:tr w:rsidR="00937FCB" w:rsidRPr="004F7453" w:rsidTr="004F7453">
        <w:trPr>
          <w:trHeight w:val="1477"/>
        </w:trPr>
        <w:tc>
          <w:tcPr>
            <w:tcW w:w="0" w:type="auto"/>
            <w:tcBorders>
              <w:top w:val="nil"/>
              <w:left w:val="single" w:sz="8" w:space="0" w:color="auto"/>
              <w:bottom w:val="single" w:sz="8" w:space="0" w:color="auto"/>
              <w:right w:val="single" w:sz="8" w:space="0" w:color="auto"/>
            </w:tcBorders>
            <w:shd w:val="clear" w:color="auto" w:fill="auto"/>
            <w:hideMark/>
          </w:tcPr>
          <w:p w:rsidR="00915B9A" w:rsidRPr="00995466" w:rsidRDefault="00995466" w:rsidP="0029347A">
            <w:pPr>
              <w:spacing w:after="0" w:line="240" w:lineRule="auto"/>
              <w:rPr>
                <w:rFonts w:ascii="Arial Narrow" w:hAnsi="Arial Narrow" w:cs="Arial"/>
                <w:color w:val="000000" w:themeColor="text1"/>
                <w:sz w:val="20"/>
                <w:szCs w:val="20"/>
                <w:lang w:eastAsia="en-NZ"/>
              </w:rPr>
            </w:pPr>
            <w:r>
              <w:rPr>
                <w:rFonts w:ascii="Arial Narrow" w:hAnsi="Arial Narrow" w:cs="Arial"/>
                <w:color w:val="000000" w:themeColor="text1"/>
                <w:sz w:val="20"/>
                <w:szCs w:val="20"/>
                <w:lang w:eastAsia="en-NZ"/>
              </w:rPr>
              <w:t>Smoking Cessation</w:t>
            </w:r>
            <w:r w:rsidR="00F45B30" w:rsidRPr="00995466">
              <w:rPr>
                <w:rFonts w:ascii="Arial Narrow" w:hAnsi="Arial Narrow" w:cs="Arial"/>
                <w:color w:val="000000" w:themeColor="text1"/>
                <w:sz w:val="20"/>
                <w:szCs w:val="20"/>
                <w:lang w:eastAsia="en-NZ"/>
              </w:rPr>
              <w:fldChar w:fldCharType="begin"/>
            </w:r>
            <w:r w:rsidR="00CA3202">
              <w:rPr>
                <w:rFonts w:ascii="Arial Narrow" w:hAnsi="Arial Narrow" w:cs="Arial"/>
                <w:color w:val="000000" w:themeColor="text1"/>
                <w:sz w:val="20"/>
                <w:szCs w:val="20"/>
                <w:lang w:eastAsia="en-NZ"/>
              </w:rPr>
              <w:instrText xml:space="preserve"> ADDIN EN.CITE &lt;EndNote&gt;&lt;Cite&gt;&lt;Author&gt;McKenzie&lt;/Author&gt;&lt;Year&gt;2012&lt;/Year&gt;&lt;RecNum&gt;653&lt;/RecNum&gt;&lt;DisplayText&gt;&lt;style face="superscript"&gt;(16)&lt;/style&gt;&lt;/DisplayText&gt;&lt;record&gt;&lt;rec-number&gt;653&lt;/rec-number&gt;&lt;foreign-keys&gt;&lt;key app="EN" db-id="paxef0v91tx5e7eaev8xxf2xd92zvrfrv592"&gt;653&lt;/key&gt;&lt;/foreign-keys&gt;&lt;ref-type name="Report"&gt;27&lt;/ref-type&gt;&lt;contributors&gt;&lt;authors&gt;&lt;author&gt;McKenzie, DK&lt;/author&gt;&lt;author&gt;Abramson, Michael&lt;/author&gt;&lt;author&gt;Crockett, Alan&lt;/author&gt;&lt;author&gt;Dabscheck, Eli&lt;/author&gt;&lt;author&gt;Glasgow, Nicholas&lt;/author&gt;&lt;author&gt;Jenkins, Sue&lt;/author&gt;&lt;author&gt;McDonald, Christine&lt;/author&gt;&lt;author&gt;Wood-Baker, R.&lt;/author&gt;&lt;author&gt;Yang, Ian&lt;/author&gt;&lt;author&gt;Frith, PA&lt;/author&gt;&lt;/authors&gt;&lt;/contributors&gt;&lt;titles&gt;&lt;title&gt;Australian Lung Foundation, Thoracic Society of Australia and New Zealand. The COPDX Plan: Australian and New Zealand Guidelines for the Management of Chronic Obstructive Pulmonary Disease 2012&lt;/title&gt;&lt;/titles&gt;&lt;dates&gt;&lt;year&gt;2012&lt;/year&gt;&lt;/dates&gt;&lt;urls&gt;&lt;/urls&gt;&lt;/record&gt;&lt;/Cite&gt;&lt;/EndNote&gt;</w:instrText>
            </w:r>
            <w:r w:rsidR="00F45B30" w:rsidRPr="00995466">
              <w:rPr>
                <w:rFonts w:ascii="Arial Narrow" w:hAnsi="Arial Narrow" w:cs="Arial"/>
                <w:color w:val="000000" w:themeColor="text1"/>
                <w:sz w:val="20"/>
                <w:szCs w:val="20"/>
                <w:lang w:eastAsia="en-NZ"/>
              </w:rPr>
              <w:fldChar w:fldCharType="separate"/>
            </w:r>
            <w:r w:rsidR="00551E6B" w:rsidRPr="00551E6B">
              <w:rPr>
                <w:rFonts w:ascii="Arial Narrow" w:hAnsi="Arial Narrow" w:cs="Arial"/>
                <w:noProof/>
                <w:color w:val="000000" w:themeColor="text1"/>
                <w:sz w:val="20"/>
                <w:szCs w:val="20"/>
                <w:vertAlign w:val="superscript"/>
                <w:lang w:eastAsia="en-NZ"/>
              </w:rPr>
              <w:t>(</w:t>
            </w:r>
            <w:hyperlink w:anchor="_ENREF_16" w:tooltip="McKenzie, 2012 #653" w:history="1">
              <w:r w:rsidR="0029347A" w:rsidRPr="00551E6B">
                <w:rPr>
                  <w:rFonts w:ascii="Arial Narrow" w:hAnsi="Arial Narrow" w:cs="Arial"/>
                  <w:noProof/>
                  <w:color w:val="000000" w:themeColor="text1"/>
                  <w:sz w:val="20"/>
                  <w:szCs w:val="20"/>
                  <w:vertAlign w:val="superscript"/>
                  <w:lang w:eastAsia="en-NZ"/>
                </w:rPr>
                <w:t>16</w:t>
              </w:r>
            </w:hyperlink>
            <w:r w:rsidR="00551E6B" w:rsidRPr="00551E6B">
              <w:rPr>
                <w:rFonts w:ascii="Arial Narrow" w:hAnsi="Arial Narrow" w:cs="Arial"/>
                <w:noProof/>
                <w:color w:val="000000" w:themeColor="text1"/>
                <w:sz w:val="20"/>
                <w:szCs w:val="20"/>
                <w:vertAlign w:val="superscript"/>
                <w:lang w:eastAsia="en-NZ"/>
              </w:rPr>
              <w:t>)</w:t>
            </w:r>
            <w:r w:rsidR="00F45B30" w:rsidRPr="00995466">
              <w:rPr>
                <w:rFonts w:ascii="Arial Narrow" w:hAnsi="Arial Narrow" w:cs="Arial"/>
                <w:color w:val="000000" w:themeColor="text1"/>
                <w:sz w:val="20"/>
                <w:szCs w:val="20"/>
                <w:lang w:eastAsia="en-NZ"/>
              </w:rPr>
              <w:fldChar w:fldCharType="end"/>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Smoking cessation is a general term for any intervention or combination of interventions that assists a person with quitting smoking.</w:t>
            </w:r>
          </w:p>
        </w:tc>
        <w:tc>
          <w:tcPr>
            <w:tcW w:w="0" w:type="auto"/>
            <w:tcBorders>
              <w:top w:val="single" w:sz="4" w:space="0" w:color="auto"/>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Smoking cessation services are widely available in New Zealand.  100% of DHB respondents to the ABCC questionnaire reported having smoking cessation services available.  Where smoking cessation services were limited was in terms of audit/quality improvement programmes.  The specific services that various DHBs offer are unknown at this stage.</w:t>
            </w:r>
          </w:p>
        </w:tc>
        <w:tc>
          <w:tcPr>
            <w:tcW w:w="0" w:type="auto"/>
            <w:tcBorders>
              <w:top w:val="single" w:sz="4" w:space="0" w:color="auto"/>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All COPD patients (~138,000)</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Efficacious**</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Economic evaluation of current therapies; evaluation of E-cigarettes</w:t>
            </w:r>
          </w:p>
        </w:tc>
        <w:tc>
          <w:tcPr>
            <w:tcW w:w="0" w:type="auto"/>
            <w:tcBorders>
              <w:top w:val="nil"/>
              <w:left w:val="nil"/>
              <w:bottom w:val="single" w:sz="8" w:space="0" w:color="auto"/>
              <w:right w:val="single" w:sz="8" w:space="0" w:color="auto"/>
            </w:tcBorders>
            <w:shd w:val="clear" w:color="000000" w:fill="FF0000"/>
            <w:vAlign w:val="center"/>
            <w:hideMark/>
          </w:tcPr>
          <w:p w:rsidR="00915B9A" w:rsidRPr="004F7453" w:rsidRDefault="00915B9A"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R</w:t>
            </w:r>
          </w:p>
        </w:tc>
      </w:tr>
      <w:tr w:rsidR="00937FCB" w:rsidRPr="004F7453" w:rsidTr="004F7453">
        <w:trPr>
          <w:trHeight w:val="914"/>
        </w:trPr>
        <w:tc>
          <w:tcPr>
            <w:tcW w:w="0" w:type="auto"/>
            <w:tcBorders>
              <w:top w:val="nil"/>
              <w:left w:val="single" w:sz="8" w:space="0" w:color="auto"/>
              <w:bottom w:val="single" w:sz="8" w:space="0" w:color="auto"/>
              <w:right w:val="single" w:sz="8" w:space="0" w:color="auto"/>
            </w:tcBorders>
            <w:shd w:val="clear" w:color="auto" w:fill="auto"/>
            <w:hideMark/>
          </w:tcPr>
          <w:p w:rsidR="00915B9A" w:rsidRPr="00995466" w:rsidRDefault="00915B9A" w:rsidP="0029347A">
            <w:pPr>
              <w:spacing w:after="0" w:line="240" w:lineRule="auto"/>
              <w:rPr>
                <w:rFonts w:ascii="Arial Narrow" w:hAnsi="Arial Narrow" w:cs="Arial"/>
                <w:color w:val="000000" w:themeColor="text1"/>
                <w:sz w:val="20"/>
                <w:szCs w:val="20"/>
                <w:lang w:eastAsia="en-NZ"/>
              </w:rPr>
            </w:pPr>
            <w:r w:rsidRPr="00995466">
              <w:rPr>
                <w:rFonts w:ascii="Arial Narrow" w:hAnsi="Arial Narrow" w:cs="Arial"/>
                <w:color w:val="000000" w:themeColor="text1"/>
                <w:sz w:val="20"/>
                <w:szCs w:val="20"/>
                <w:lang w:eastAsia="en-NZ"/>
              </w:rPr>
              <w:t xml:space="preserve">Influenza </w:t>
            </w:r>
            <w:r w:rsidR="00995466">
              <w:rPr>
                <w:rFonts w:ascii="Arial Narrow" w:hAnsi="Arial Narrow" w:cs="Arial"/>
                <w:color w:val="000000" w:themeColor="text1"/>
                <w:sz w:val="20"/>
                <w:szCs w:val="20"/>
                <w:lang w:eastAsia="en-NZ"/>
              </w:rPr>
              <w:t>and Pneumococcal Vaccination</w:t>
            </w:r>
            <w:r w:rsidR="00995466" w:rsidRPr="00995466">
              <w:rPr>
                <w:rFonts w:ascii="Arial Narrow" w:hAnsi="Arial Narrow" w:cs="Arial"/>
                <w:color w:val="000000" w:themeColor="text1"/>
                <w:sz w:val="20"/>
                <w:szCs w:val="20"/>
                <w:lang w:eastAsia="en-NZ"/>
              </w:rPr>
              <w:fldChar w:fldCharType="begin"/>
            </w:r>
            <w:r w:rsidR="00CA3202">
              <w:rPr>
                <w:rFonts w:ascii="Arial Narrow" w:hAnsi="Arial Narrow" w:cs="Arial"/>
                <w:color w:val="000000" w:themeColor="text1"/>
                <w:sz w:val="20"/>
                <w:szCs w:val="20"/>
                <w:lang w:eastAsia="en-NZ"/>
              </w:rPr>
              <w:instrText xml:space="preserve"> ADDIN EN.CITE &lt;EndNote&gt;&lt;Cite&gt;&lt;Author&gt;McKenzie&lt;/Author&gt;&lt;Year&gt;2012&lt;/Year&gt;&lt;RecNum&gt;653&lt;/RecNum&gt;&lt;DisplayText&gt;&lt;style face="superscript"&gt;(16)&lt;/style&gt;&lt;/DisplayText&gt;&lt;record&gt;&lt;rec-number&gt;653&lt;/rec-number&gt;&lt;foreign-keys&gt;&lt;key app="EN" db-id="paxef0v91tx5e7eaev8xxf2xd92zvrfrv592"&gt;653&lt;/key&gt;&lt;/foreign-keys&gt;&lt;ref-type name="Report"&gt;27&lt;/ref-type&gt;&lt;contributors&gt;&lt;authors&gt;&lt;author&gt;McKenzie, DK&lt;/author&gt;&lt;author&gt;Abramson, Michael&lt;/author&gt;&lt;author&gt;Crockett, Alan&lt;/author&gt;&lt;author&gt;Dabscheck, Eli&lt;/author&gt;&lt;author&gt;Glasgow, Nicholas&lt;/author&gt;&lt;author&gt;Jenkins, Sue&lt;/author&gt;&lt;author&gt;McDonald, Christine&lt;/author&gt;&lt;author&gt;Wood-Baker, R.&lt;/author&gt;&lt;author&gt;Yang, Ian&lt;/author&gt;&lt;author&gt;Frith, PA&lt;/author&gt;&lt;/authors&gt;&lt;/contributors&gt;&lt;titles&gt;&lt;title&gt;Australian Lung Foundation, Thoracic Society of Australia and New Zealand. The COPDX Plan: Australian and New Zealand Guidelines for the Management of Chronic Obstructive Pulmonary Disease 2012&lt;/title&gt;&lt;/titles&gt;&lt;dates&gt;&lt;year&gt;2012&lt;/year&gt;&lt;/dates&gt;&lt;urls&gt;&lt;/urls&gt;&lt;/record&gt;&lt;/Cite&gt;&lt;/EndNote&gt;</w:instrText>
            </w:r>
            <w:r w:rsidR="00995466" w:rsidRPr="00995466">
              <w:rPr>
                <w:rFonts w:ascii="Arial Narrow" w:hAnsi="Arial Narrow" w:cs="Arial"/>
                <w:color w:val="000000" w:themeColor="text1"/>
                <w:sz w:val="20"/>
                <w:szCs w:val="20"/>
                <w:lang w:eastAsia="en-NZ"/>
              </w:rPr>
              <w:fldChar w:fldCharType="separate"/>
            </w:r>
            <w:r w:rsidR="00551E6B" w:rsidRPr="00551E6B">
              <w:rPr>
                <w:rFonts w:ascii="Arial Narrow" w:hAnsi="Arial Narrow" w:cs="Arial"/>
                <w:noProof/>
                <w:color w:val="000000" w:themeColor="text1"/>
                <w:sz w:val="20"/>
                <w:szCs w:val="20"/>
                <w:vertAlign w:val="superscript"/>
                <w:lang w:eastAsia="en-NZ"/>
              </w:rPr>
              <w:t>(</w:t>
            </w:r>
            <w:hyperlink w:anchor="_ENREF_16" w:tooltip="McKenzie, 2012 #653" w:history="1">
              <w:r w:rsidR="0029347A" w:rsidRPr="00551E6B">
                <w:rPr>
                  <w:rFonts w:ascii="Arial Narrow" w:hAnsi="Arial Narrow" w:cs="Arial"/>
                  <w:noProof/>
                  <w:color w:val="000000" w:themeColor="text1"/>
                  <w:sz w:val="20"/>
                  <w:szCs w:val="20"/>
                  <w:vertAlign w:val="superscript"/>
                  <w:lang w:eastAsia="en-NZ"/>
                </w:rPr>
                <w:t>16</w:t>
              </w:r>
            </w:hyperlink>
            <w:r w:rsidR="00551E6B" w:rsidRPr="00551E6B">
              <w:rPr>
                <w:rFonts w:ascii="Arial Narrow" w:hAnsi="Arial Narrow" w:cs="Arial"/>
                <w:noProof/>
                <w:color w:val="000000" w:themeColor="text1"/>
                <w:sz w:val="20"/>
                <w:szCs w:val="20"/>
                <w:vertAlign w:val="superscript"/>
                <w:lang w:eastAsia="en-NZ"/>
              </w:rPr>
              <w:t>)</w:t>
            </w:r>
            <w:r w:rsidR="00995466" w:rsidRPr="00995466">
              <w:rPr>
                <w:rFonts w:ascii="Arial Narrow" w:hAnsi="Arial Narrow" w:cs="Arial"/>
                <w:color w:val="000000" w:themeColor="text1"/>
                <w:sz w:val="20"/>
                <w:szCs w:val="20"/>
                <w:lang w:eastAsia="en-NZ"/>
              </w:rPr>
              <w:fldChar w:fldCharType="end"/>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These vaccinations protect against diseases that have negative effects on the respiratory system.</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Annual influenza vaccines are currently funded for the whole COPD population.  Pneumococcal vaccines (Pneumovax</w:t>
            </w:r>
            <w:r w:rsidRPr="004F7453">
              <w:rPr>
                <w:rFonts w:ascii="Arial Narrow" w:hAnsi="Arial Narrow" w:cs="Arial"/>
                <w:color w:val="000000"/>
                <w:sz w:val="20"/>
                <w:szCs w:val="20"/>
                <w:vertAlign w:val="superscript"/>
                <w:lang w:eastAsia="en-NZ"/>
              </w:rPr>
              <w:t>®</w:t>
            </w:r>
            <w:r w:rsidRPr="004F7453">
              <w:rPr>
                <w:rFonts w:ascii="Arial Narrow" w:hAnsi="Arial Narrow" w:cs="Arial"/>
                <w:color w:val="000000"/>
                <w:sz w:val="20"/>
                <w:szCs w:val="20"/>
                <w:lang w:eastAsia="en-NZ"/>
              </w:rPr>
              <w:t>) are not currently funded on the immunisation schedule.</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All COPD patients (~138,000)</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Efficacious*</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Increased coverage for all COPD patients (Pneumovax</w:t>
            </w:r>
            <w:r w:rsidRPr="004F7453">
              <w:rPr>
                <w:rFonts w:ascii="Arial Narrow" w:hAnsi="Arial Narrow" w:cs="Arial"/>
                <w:color w:val="000000"/>
                <w:sz w:val="20"/>
                <w:szCs w:val="20"/>
                <w:vertAlign w:val="superscript"/>
                <w:lang w:eastAsia="en-NZ"/>
              </w:rPr>
              <w:t>®</w:t>
            </w:r>
            <w:r w:rsidRPr="004F7453">
              <w:rPr>
                <w:rFonts w:ascii="Arial Narrow" w:hAnsi="Arial Narrow" w:cs="Arial"/>
                <w:color w:val="000000"/>
                <w:sz w:val="20"/>
                <w:szCs w:val="20"/>
                <w:lang w:eastAsia="en-NZ"/>
              </w:rPr>
              <w:t>)</w:t>
            </w:r>
          </w:p>
        </w:tc>
        <w:tc>
          <w:tcPr>
            <w:tcW w:w="0" w:type="auto"/>
            <w:tcBorders>
              <w:top w:val="nil"/>
              <w:left w:val="nil"/>
              <w:bottom w:val="single" w:sz="8" w:space="0" w:color="auto"/>
              <w:right w:val="single" w:sz="8" w:space="0" w:color="auto"/>
            </w:tcBorders>
            <w:shd w:val="clear" w:color="000000" w:fill="FF0000"/>
            <w:vAlign w:val="center"/>
            <w:hideMark/>
          </w:tcPr>
          <w:p w:rsidR="00915B9A" w:rsidRPr="004F7453" w:rsidRDefault="00915B9A"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R</w:t>
            </w:r>
          </w:p>
        </w:tc>
      </w:tr>
      <w:tr w:rsidR="00937FCB" w:rsidRPr="004F7453" w:rsidTr="004F7453">
        <w:trPr>
          <w:trHeight w:val="1248"/>
        </w:trPr>
        <w:tc>
          <w:tcPr>
            <w:tcW w:w="0" w:type="auto"/>
            <w:tcBorders>
              <w:top w:val="nil"/>
              <w:left w:val="single" w:sz="8" w:space="0" w:color="auto"/>
              <w:bottom w:val="single" w:sz="8" w:space="0" w:color="000000"/>
              <w:right w:val="single" w:sz="8" w:space="0" w:color="auto"/>
            </w:tcBorders>
            <w:shd w:val="clear" w:color="auto" w:fill="auto"/>
            <w:hideMark/>
          </w:tcPr>
          <w:p w:rsidR="008C2DFF" w:rsidRPr="00995466" w:rsidRDefault="008C2DFF" w:rsidP="0029347A">
            <w:pPr>
              <w:spacing w:after="0" w:line="240" w:lineRule="auto"/>
              <w:rPr>
                <w:rFonts w:ascii="Arial Narrow" w:hAnsi="Arial Narrow" w:cs="Arial"/>
                <w:color w:val="000000" w:themeColor="text1"/>
                <w:sz w:val="20"/>
                <w:szCs w:val="20"/>
                <w:lang w:eastAsia="en-NZ"/>
              </w:rPr>
            </w:pPr>
            <w:r w:rsidRPr="00995466">
              <w:rPr>
                <w:rFonts w:ascii="Arial Narrow" w:hAnsi="Arial Narrow" w:cs="Arial"/>
                <w:color w:val="000000" w:themeColor="text1"/>
                <w:sz w:val="20"/>
                <w:szCs w:val="20"/>
                <w:lang w:eastAsia="en-NZ"/>
              </w:rPr>
              <w:t>Self-Management and Education</w:t>
            </w:r>
            <w:r w:rsidR="00995466">
              <w:rPr>
                <w:rFonts w:ascii="Arial Narrow" w:hAnsi="Arial Narrow" w:cs="Arial"/>
                <w:color w:val="000000" w:themeColor="text1"/>
                <w:sz w:val="20"/>
                <w:szCs w:val="20"/>
                <w:lang w:eastAsia="en-NZ"/>
              </w:rPr>
              <w:t xml:space="preserve"> to increase health literacy</w:t>
            </w:r>
            <w:r w:rsidR="00995466">
              <w:rPr>
                <w:rFonts w:ascii="Arial Narrow" w:hAnsi="Arial Narrow" w:cs="Arial"/>
                <w:color w:val="000000" w:themeColor="text1"/>
                <w:sz w:val="20"/>
                <w:szCs w:val="20"/>
                <w:lang w:eastAsia="en-NZ"/>
              </w:rPr>
              <w:fldChar w:fldCharType="begin">
                <w:fldData xml:space="preserve">PEVuZE5vdGU+PENpdGU+PEF1dGhvcj5FZmZpbmc8L0F1dGhvcj48WWVhcj4yMDA5PC9ZZWFyPjxS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</w:fldData>
              </w:fldChar>
            </w:r>
            <w:r w:rsidR="00CA3202">
              <w:rPr>
                <w:rFonts w:ascii="Arial Narrow" w:hAnsi="Arial Narrow" w:cs="Arial"/>
                <w:color w:val="000000" w:themeColor="text1"/>
                <w:sz w:val="20"/>
                <w:szCs w:val="20"/>
                <w:lang w:eastAsia="en-NZ"/>
              </w:rPr>
              <w:instrText xml:space="preserve"> ADDIN EN.CITE </w:instrText>
            </w:r>
            <w:r w:rsidR="00CA3202">
              <w:rPr>
                <w:rFonts w:ascii="Arial Narrow" w:hAnsi="Arial Narrow" w:cs="Arial"/>
                <w:color w:val="000000" w:themeColor="text1"/>
                <w:sz w:val="20"/>
                <w:szCs w:val="20"/>
                <w:lang w:eastAsia="en-NZ"/>
              </w:rPr>
              <w:fldChar w:fldCharType="begin">
                <w:fldData xml:space="preserve">PEVuZE5vdGU+PENpdGU+PEF1dGhvcj5FZmZpbmc8L0F1dGhvcj48WWVhcj4yMDA5PC9ZZWFyPjxS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</w:fldData>
              </w:fldChar>
            </w:r>
            <w:r w:rsidR="00CA3202">
              <w:rPr>
                <w:rFonts w:ascii="Arial Narrow" w:hAnsi="Arial Narrow" w:cs="Arial"/>
                <w:color w:val="000000" w:themeColor="text1"/>
                <w:sz w:val="20"/>
                <w:szCs w:val="20"/>
                <w:lang w:eastAsia="en-NZ"/>
              </w:rPr>
              <w:instrText xml:space="preserve"> ADDIN EN.CITE.DATA </w:instrText>
            </w:r>
            <w:r w:rsidR="00CA3202">
              <w:rPr>
                <w:rFonts w:ascii="Arial Narrow" w:hAnsi="Arial Narrow" w:cs="Arial"/>
                <w:color w:val="000000" w:themeColor="text1"/>
                <w:sz w:val="20"/>
                <w:szCs w:val="20"/>
                <w:lang w:eastAsia="en-NZ"/>
              </w:rPr>
            </w:r>
            <w:r w:rsidR="00CA3202">
              <w:rPr>
                <w:rFonts w:ascii="Arial Narrow" w:hAnsi="Arial Narrow" w:cs="Arial"/>
                <w:color w:val="000000" w:themeColor="text1"/>
                <w:sz w:val="20"/>
                <w:szCs w:val="20"/>
                <w:lang w:eastAsia="en-NZ"/>
              </w:rPr>
              <w:fldChar w:fldCharType="end"/>
            </w:r>
            <w:r w:rsidR="00995466">
              <w:rPr>
                <w:rFonts w:ascii="Arial Narrow" w:hAnsi="Arial Narrow" w:cs="Arial"/>
                <w:color w:val="000000" w:themeColor="text1"/>
                <w:sz w:val="20"/>
                <w:szCs w:val="20"/>
                <w:lang w:eastAsia="en-NZ"/>
              </w:rPr>
            </w:r>
            <w:r w:rsidR="00995466">
              <w:rPr>
                <w:rFonts w:ascii="Arial Narrow" w:hAnsi="Arial Narrow" w:cs="Arial"/>
                <w:color w:val="000000" w:themeColor="text1"/>
                <w:sz w:val="20"/>
                <w:szCs w:val="20"/>
                <w:lang w:eastAsia="en-NZ"/>
              </w:rPr>
              <w:fldChar w:fldCharType="separate"/>
            </w:r>
            <w:r w:rsidR="00CA3202" w:rsidRPr="00CA3202">
              <w:rPr>
                <w:rFonts w:ascii="Arial Narrow" w:hAnsi="Arial Narrow" w:cs="Arial"/>
                <w:noProof/>
                <w:color w:val="000000" w:themeColor="text1"/>
                <w:sz w:val="20"/>
                <w:szCs w:val="20"/>
                <w:vertAlign w:val="superscript"/>
                <w:lang w:eastAsia="en-NZ"/>
              </w:rPr>
              <w:t>(</w:t>
            </w:r>
            <w:hyperlink w:anchor="_ENREF_20" w:tooltip="Effing, 2009 #408" w:history="1">
              <w:r w:rsidR="0029347A" w:rsidRPr="00CA3202">
                <w:rPr>
                  <w:rFonts w:ascii="Arial Narrow" w:hAnsi="Arial Narrow" w:cs="Arial"/>
                  <w:noProof/>
                  <w:color w:val="000000" w:themeColor="text1"/>
                  <w:sz w:val="20"/>
                  <w:szCs w:val="20"/>
                  <w:vertAlign w:val="superscript"/>
                  <w:lang w:eastAsia="en-NZ"/>
                </w:rPr>
                <w:t>20</w:t>
              </w:r>
            </w:hyperlink>
            <w:r w:rsidR="00CA3202" w:rsidRPr="00CA3202">
              <w:rPr>
                <w:rFonts w:ascii="Arial Narrow" w:hAnsi="Arial Narrow" w:cs="Arial"/>
                <w:noProof/>
                <w:color w:val="000000" w:themeColor="text1"/>
                <w:sz w:val="20"/>
                <w:szCs w:val="20"/>
                <w:vertAlign w:val="superscript"/>
                <w:lang w:eastAsia="en-NZ"/>
              </w:rPr>
              <w:t>)</w:t>
            </w:r>
            <w:r w:rsidR="00995466">
              <w:rPr>
                <w:rFonts w:ascii="Arial Narrow" w:hAnsi="Arial Narrow" w:cs="Arial"/>
                <w:color w:val="000000" w:themeColor="text1"/>
                <w:sz w:val="20"/>
                <w:szCs w:val="20"/>
                <w:lang w:eastAsia="en-NZ"/>
              </w:rPr>
              <w:fldChar w:fldCharType="end"/>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Self-management involves patients actively involved in his or her care plan.  This is usually supplemented with educational materials about the disease and treatments.</w:t>
            </w:r>
          </w:p>
        </w:tc>
        <w:tc>
          <w:tcPr>
            <w:tcW w:w="0" w:type="auto"/>
            <w:tcBorders>
              <w:top w:val="nil"/>
              <w:left w:val="single" w:sz="8" w:space="0" w:color="auto"/>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Self-management and education underlies a lot of the COPD treatment given.  Combined with other types of care such as pulmonary rehabilitation, self-management may be effective at empowering patients.  Some DHBs have ‘blue cards’ that outline a COPD action plan whilst others provide educational material.</w:t>
            </w:r>
          </w:p>
        </w:tc>
        <w:tc>
          <w:tcPr>
            <w:tcW w:w="0" w:type="auto"/>
            <w:tcBorders>
              <w:top w:val="nil"/>
              <w:left w:val="nil"/>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 xml:space="preserve">Established stable </w:t>
            </w:r>
          </w:p>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(~81,000)</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Mixed efficacy**</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HIP referral</w:t>
            </w:r>
          </w:p>
        </w:tc>
        <w:tc>
          <w:tcPr>
            <w:tcW w:w="0" w:type="auto"/>
            <w:tcBorders>
              <w:top w:val="nil"/>
              <w:left w:val="single" w:sz="8" w:space="0" w:color="auto"/>
              <w:bottom w:val="single" w:sz="8" w:space="0" w:color="000000"/>
              <w:right w:val="single" w:sz="8" w:space="0" w:color="auto"/>
            </w:tcBorders>
            <w:shd w:val="clear" w:color="000000" w:fill="FF0000"/>
            <w:vAlign w:val="center"/>
            <w:hideMark/>
          </w:tcPr>
          <w:p w:rsidR="008C2DFF" w:rsidRPr="004F7453" w:rsidRDefault="008C2DFF"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R</w:t>
            </w:r>
          </w:p>
        </w:tc>
      </w:tr>
      <w:tr w:rsidR="00937FCB" w:rsidRPr="004F7453" w:rsidTr="004F7453">
        <w:trPr>
          <w:trHeight w:val="955"/>
        </w:trPr>
        <w:tc>
          <w:tcPr>
            <w:tcW w:w="0" w:type="auto"/>
            <w:tcBorders>
              <w:top w:val="nil"/>
              <w:left w:val="single" w:sz="8" w:space="0" w:color="auto"/>
              <w:bottom w:val="single" w:sz="8" w:space="0" w:color="000000"/>
              <w:right w:val="single" w:sz="8" w:space="0" w:color="auto"/>
            </w:tcBorders>
            <w:shd w:val="clear" w:color="auto" w:fill="auto"/>
            <w:hideMark/>
          </w:tcPr>
          <w:p w:rsidR="008C2DFF" w:rsidRPr="00995466" w:rsidRDefault="008C2DFF" w:rsidP="008C2DFF">
            <w:pPr>
              <w:spacing w:after="0" w:line="240" w:lineRule="auto"/>
              <w:rPr>
                <w:rFonts w:ascii="Arial Narrow" w:hAnsi="Arial Narrow" w:cs="Arial"/>
                <w:color w:val="000000" w:themeColor="text1"/>
                <w:sz w:val="20"/>
                <w:szCs w:val="20"/>
                <w:lang w:eastAsia="en-NZ"/>
              </w:rPr>
            </w:pPr>
            <w:r w:rsidRPr="00995466">
              <w:rPr>
                <w:rFonts w:ascii="Arial Narrow" w:hAnsi="Arial Narrow" w:cs="Arial"/>
                <w:color w:val="000000" w:themeColor="text1"/>
                <w:sz w:val="20"/>
                <w:szCs w:val="20"/>
                <w:lang w:eastAsia="en-NZ"/>
              </w:rPr>
              <w:t>Community Multidisciplinary clinic (MDC)</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A Multi-Disciplinary clinic may include a GP, respiratory nurse specialist, respiratory physician and other clinicians.</w:t>
            </w:r>
          </w:p>
        </w:tc>
        <w:tc>
          <w:tcPr>
            <w:tcW w:w="0" w:type="auto"/>
            <w:tcBorders>
              <w:top w:val="single" w:sz="4" w:space="0" w:color="auto"/>
              <w:left w:val="single" w:sz="8" w:space="0" w:color="auto"/>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‘Super-Clinics’ are being developed in certain regions that bring together specialists from a variety of disciplines.</w:t>
            </w:r>
          </w:p>
        </w:tc>
        <w:tc>
          <w:tcPr>
            <w:tcW w:w="0" w:type="auto"/>
            <w:tcBorders>
              <w:top w:val="single" w:sz="4" w:space="0" w:color="auto"/>
              <w:left w:val="nil"/>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All stable/minor exacerbations</w:t>
            </w:r>
          </w:p>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(~130,000)</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Unknown+</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HIP referral</w:t>
            </w:r>
          </w:p>
        </w:tc>
        <w:tc>
          <w:tcPr>
            <w:tcW w:w="0" w:type="auto"/>
            <w:tcBorders>
              <w:top w:val="nil"/>
              <w:left w:val="single" w:sz="8" w:space="0" w:color="auto"/>
              <w:bottom w:val="single" w:sz="8" w:space="0" w:color="000000"/>
              <w:right w:val="single" w:sz="8" w:space="0" w:color="auto"/>
            </w:tcBorders>
            <w:shd w:val="clear" w:color="000000" w:fill="FF0000"/>
            <w:vAlign w:val="center"/>
            <w:hideMark/>
          </w:tcPr>
          <w:p w:rsidR="008C2DFF" w:rsidRPr="004F7453" w:rsidRDefault="008C2DFF"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R</w:t>
            </w:r>
          </w:p>
        </w:tc>
      </w:tr>
      <w:tr w:rsidR="00937FCB" w:rsidRPr="004F7453" w:rsidTr="00CA3202">
        <w:trPr>
          <w:trHeight w:val="912"/>
        </w:trPr>
        <w:tc>
          <w:tcPr>
            <w:tcW w:w="0" w:type="auto"/>
            <w:tcBorders>
              <w:top w:val="nil"/>
              <w:left w:val="single" w:sz="8" w:space="0" w:color="auto"/>
              <w:bottom w:val="single" w:sz="8" w:space="0" w:color="000000"/>
              <w:right w:val="single" w:sz="8" w:space="0" w:color="auto"/>
            </w:tcBorders>
            <w:shd w:val="clear" w:color="auto" w:fill="auto"/>
            <w:hideMark/>
          </w:tcPr>
          <w:p w:rsidR="008C2DFF" w:rsidRPr="00995466" w:rsidRDefault="00995466" w:rsidP="0029347A">
            <w:pPr>
              <w:spacing w:after="0" w:line="240" w:lineRule="auto"/>
              <w:rPr>
                <w:rFonts w:ascii="Arial Narrow" w:hAnsi="Arial Narrow" w:cs="Arial"/>
                <w:color w:val="000000" w:themeColor="text1"/>
                <w:sz w:val="20"/>
                <w:szCs w:val="20"/>
                <w:lang w:eastAsia="en-NZ"/>
              </w:rPr>
            </w:pPr>
            <w:r>
              <w:rPr>
                <w:rFonts w:ascii="Arial Narrow" w:hAnsi="Arial Narrow" w:cs="Arial"/>
                <w:color w:val="000000" w:themeColor="text1"/>
                <w:sz w:val="20"/>
                <w:szCs w:val="20"/>
                <w:lang w:eastAsia="en-NZ"/>
              </w:rPr>
              <w:t>Depression Interventions</w:t>
            </w:r>
            <w:r w:rsidRPr="00995466">
              <w:rPr>
                <w:rFonts w:ascii="Arial Narrow" w:hAnsi="Arial Narrow" w:cs="Arial"/>
                <w:color w:val="000000" w:themeColor="text1"/>
                <w:sz w:val="20"/>
                <w:szCs w:val="20"/>
                <w:lang w:eastAsia="en-NZ"/>
              </w:rPr>
              <w:fldChar w:fldCharType="begin"/>
            </w:r>
            <w:r w:rsidR="00CA3202">
              <w:rPr>
                <w:rFonts w:ascii="Arial Narrow" w:hAnsi="Arial Narrow" w:cs="Arial"/>
                <w:color w:val="000000" w:themeColor="text1"/>
                <w:sz w:val="20"/>
                <w:szCs w:val="20"/>
                <w:lang w:eastAsia="en-NZ"/>
              </w:rPr>
              <w:instrText xml:space="preserve"> ADDIN EN.CITE &lt;EndNote&gt;&lt;Cite&gt;&lt;Author&gt;McKenzie&lt;/Author&gt;&lt;Year&gt;2012&lt;/Year&gt;&lt;RecNum&gt;653&lt;/RecNum&gt;&lt;DisplayText&gt;&lt;style face="superscript"&gt;(16)&lt;/style&gt;&lt;/DisplayText&gt;&lt;record&gt;&lt;rec-number&gt;653&lt;/rec-number&gt;&lt;foreign-keys&gt;&lt;key app="EN" db-id="paxef0v91tx5e7eaev8xxf2xd92zvrfrv592"&gt;653&lt;/key&gt;&lt;/foreign-keys&gt;&lt;ref-type name="Report"&gt;27&lt;/ref-type&gt;&lt;contributors&gt;&lt;authors&gt;&lt;author&gt;McKenzie, DK&lt;/author&gt;&lt;author&gt;Abramson, Michael&lt;/author&gt;&lt;author&gt;Crockett, Alan&lt;/author&gt;&lt;author&gt;Dabscheck, Eli&lt;/author&gt;&lt;author&gt;Glasgow, Nicholas&lt;/author&gt;&lt;author&gt;Jenkins, Sue&lt;/author&gt;&lt;author&gt;McDonald, Christine&lt;/author&gt;&lt;author&gt;Wood-Baker, R.&lt;/author&gt;&lt;author&gt;Yang, Ian&lt;/author&gt;&lt;author&gt;Frith, PA&lt;/author&gt;&lt;/authors&gt;&lt;/contributors&gt;&lt;titles&gt;&lt;title&gt;Australian Lung Foundation, Thoracic Society of Australia and New Zealand. The COPDX Plan: Australian and New Zealand Guidelines for the Management of Chronic Obstructive Pulmonary Disease 2012&lt;/title&gt;&lt;/titles&gt;&lt;dates&gt;&lt;year&gt;2012&lt;/year&gt;&lt;/dates&gt;&lt;urls&gt;&lt;/urls&gt;&lt;/record&gt;&lt;/Cite&gt;&lt;/EndNote&gt;</w:instrText>
            </w:r>
            <w:r w:rsidRPr="00995466">
              <w:rPr>
                <w:rFonts w:ascii="Arial Narrow" w:hAnsi="Arial Narrow" w:cs="Arial"/>
                <w:color w:val="000000" w:themeColor="text1"/>
                <w:sz w:val="20"/>
                <w:szCs w:val="20"/>
                <w:lang w:eastAsia="en-NZ"/>
              </w:rPr>
              <w:fldChar w:fldCharType="separate"/>
            </w:r>
            <w:r w:rsidR="00551E6B" w:rsidRPr="00551E6B">
              <w:rPr>
                <w:rFonts w:ascii="Arial Narrow" w:hAnsi="Arial Narrow" w:cs="Arial"/>
                <w:noProof/>
                <w:color w:val="000000" w:themeColor="text1"/>
                <w:sz w:val="20"/>
                <w:szCs w:val="20"/>
                <w:vertAlign w:val="superscript"/>
                <w:lang w:eastAsia="en-NZ"/>
              </w:rPr>
              <w:t>(</w:t>
            </w:r>
            <w:hyperlink w:anchor="_ENREF_16" w:tooltip="McKenzie, 2012 #653" w:history="1">
              <w:r w:rsidR="0029347A" w:rsidRPr="00551E6B">
                <w:rPr>
                  <w:rFonts w:ascii="Arial Narrow" w:hAnsi="Arial Narrow" w:cs="Arial"/>
                  <w:noProof/>
                  <w:color w:val="000000" w:themeColor="text1"/>
                  <w:sz w:val="20"/>
                  <w:szCs w:val="20"/>
                  <w:vertAlign w:val="superscript"/>
                  <w:lang w:eastAsia="en-NZ"/>
                </w:rPr>
                <w:t>16</w:t>
              </w:r>
            </w:hyperlink>
            <w:r w:rsidR="00551E6B" w:rsidRPr="00551E6B">
              <w:rPr>
                <w:rFonts w:ascii="Arial Narrow" w:hAnsi="Arial Narrow" w:cs="Arial"/>
                <w:noProof/>
                <w:color w:val="000000" w:themeColor="text1"/>
                <w:sz w:val="20"/>
                <w:szCs w:val="20"/>
                <w:vertAlign w:val="superscript"/>
                <w:lang w:eastAsia="en-NZ"/>
              </w:rPr>
              <w:t>)</w:t>
            </w:r>
            <w:r w:rsidRPr="00995466">
              <w:rPr>
                <w:rFonts w:ascii="Arial Narrow" w:hAnsi="Arial Narrow" w:cs="Arial"/>
                <w:color w:val="000000" w:themeColor="text1"/>
                <w:sz w:val="20"/>
                <w:szCs w:val="20"/>
                <w:lang w:eastAsia="en-NZ"/>
              </w:rPr>
              <w:fldChar w:fldCharType="end"/>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Depression and anxiety are common co-morbidities in people with COPD.  Treatment may be a combination of pharmaceuticals, therapy and group support groups.</w:t>
            </w:r>
          </w:p>
        </w:tc>
        <w:tc>
          <w:tcPr>
            <w:tcW w:w="0" w:type="auto"/>
            <w:tcBorders>
              <w:top w:val="single" w:sz="4" w:space="0" w:color="auto"/>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Some DHBs offer support groups for COPD patients where patients can interact with other COPD patients and form bonds.  It is unknown to what extent pharmaceutical antidepressants are used within the COPD population.</w:t>
            </w:r>
          </w:p>
        </w:tc>
        <w:tc>
          <w:tcPr>
            <w:tcW w:w="0" w:type="auto"/>
            <w:tcBorders>
              <w:top w:val="single" w:sz="4" w:space="0" w:color="auto"/>
              <w:left w:val="nil"/>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 xml:space="preserve">Established stable </w:t>
            </w:r>
          </w:p>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(~81,000)</w:t>
            </w:r>
          </w:p>
        </w:tc>
        <w:tc>
          <w:tcPr>
            <w:tcW w:w="0" w:type="auto"/>
            <w:tcBorders>
              <w:top w:val="nil"/>
              <w:left w:val="single" w:sz="8" w:space="0" w:color="auto"/>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Efficacious*</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Proper non-pharmaceutical use</w:t>
            </w:r>
          </w:p>
        </w:tc>
        <w:tc>
          <w:tcPr>
            <w:tcW w:w="0" w:type="auto"/>
            <w:tcBorders>
              <w:top w:val="nil"/>
              <w:left w:val="single" w:sz="8" w:space="0" w:color="auto"/>
              <w:bottom w:val="single" w:sz="8" w:space="0" w:color="000000"/>
              <w:right w:val="single" w:sz="8" w:space="0" w:color="auto"/>
            </w:tcBorders>
            <w:shd w:val="clear" w:color="000000" w:fill="FF0000"/>
            <w:vAlign w:val="center"/>
            <w:hideMark/>
          </w:tcPr>
          <w:p w:rsidR="008C2DFF" w:rsidRPr="004F7453" w:rsidRDefault="008C2DFF"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R</w:t>
            </w:r>
          </w:p>
        </w:tc>
      </w:tr>
      <w:tr w:rsidR="00937FCB" w:rsidRPr="004F7453" w:rsidTr="00CA3202">
        <w:trPr>
          <w:trHeight w:val="1064"/>
        </w:trPr>
        <w:tc>
          <w:tcPr>
            <w:tcW w:w="0" w:type="auto"/>
            <w:tcBorders>
              <w:top w:val="nil"/>
              <w:left w:val="single" w:sz="8" w:space="0" w:color="auto"/>
              <w:bottom w:val="single" w:sz="8" w:space="0" w:color="000000"/>
              <w:right w:val="single" w:sz="8" w:space="0" w:color="auto"/>
            </w:tcBorders>
            <w:shd w:val="clear" w:color="auto" w:fill="auto"/>
            <w:hideMark/>
          </w:tcPr>
          <w:p w:rsidR="008C2DFF" w:rsidRPr="00995466" w:rsidRDefault="008C2DFF" w:rsidP="0029347A">
            <w:pPr>
              <w:spacing w:after="0" w:line="240" w:lineRule="auto"/>
              <w:rPr>
                <w:rFonts w:ascii="Arial Narrow" w:hAnsi="Arial Narrow" w:cs="Arial"/>
                <w:color w:val="000000" w:themeColor="text1"/>
                <w:sz w:val="20"/>
                <w:szCs w:val="20"/>
                <w:lang w:eastAsia="en-NZ"/>
              </w:rPr>
            </w:pPr>
            <w:r w:rsidRPr="00995466">
              <w:rPr>
                <w:rFonts w:ascii="Arial Narrow" w:hAnsi="Arial Narrow" w:cs="Arial"/>
                <w:color w:val="000000" w:themeColor="text1"/>
                <w:sz w:val="20"/>
                <w:szCs w:val="20"/>
                <w:lang w:eastAsia="en-NZ"/>
              </w:rPr>
              <w:t>N</w:t>
            </w:r>
            <w:r w:rsidR="00CA3202">
              <w:rPr>
                <w:rFonts w:ascii="Arial Narrow" w:hAnsi="Arial Narrow" w:cs="Arial"/>
                <w:color w:val="000000" w:themeColor="text1"/>
                <w:sz w:val="20"/>
                <w:szCs w:val="20"/>
                <w:lang w:eastAsia="en-NZ"/>
              </w:rPr>
              <w:t>on-Invasive Ventilation (Acute)</w:t>
            </w:r>
            <w:r w:rsidR="00CA3202">
              <w:rPr>
                <w:rFonts w:ascii="Arial Narrow" w:hAnsi="Arial Narrow" w:cs="Arial"/>
                <w:color w:val="000000" w:themeColor="text1"/>
                <w:sz w:val="20"/>
                <w:szCs w:val="20"/>
                <w:lang w:eastAsia="en-NZ"/>
              </w:rPr>
              <w:fldChar w:fldCharType="begin"/>
            </w:r>
            <w:r w:rsidR="00CA3202">
              <w:rPr>
                <w:rFonts w:ascii="Arial Narrow" w:hAnsi="Arial Narrow" w:cs="Arial"/>
                <w:color w:val="000000" w:themeColor="text1"/>
                <w:sz w:val="20"/>
                <w:szCs w:val="20"/>
                <w:lang w:eastAsia="en-NZ"/>
              </w:rPr>
              <w:instrText xml:space="preserve"> ADDIN EN.CITE &lt;EndNote&gt;&lt;Cite&gt;&lt;Author&gt;Ram&lt;/Author&gt;&lt;Year&gt;2004&lt;/Year&gt;&lt;RecNum&gt;813&lt;/RecNum&gt;&lt;DisplayText&gt;&lt;style face="superscript"&gt;(21)&lt;/style&gt;&lt;/DisplayText&gt;&lt;record&gt;&lt;rec-number&gt;813&lt;/rec-number&gt;&lt;foreign-keys&gt;&lt;key app="EN" db-id="paxef0v91tx5e7eaev8xxf2xd92zvrfrv592"&gt;813&lt;/key&gt;&lt;/foreign-keys&gt;&lt;ref-type name="Journal Article"&gt;17&lt;/ref-type&gt;&lt;contributors&gt;&lt;authors&gt;&lt;author&gt;Ram, FS&lt;/author&gt;&lt;author&gt;Picot, J&lt;/author&gt;&lt;author&gt;Lightowler, J&lt;/author&gt;&lt;author&gt;Wedzicha, JA&lt;/author&gt;&lt;/authors&gt;&lt;/contributors&gt;&lt;titles&gt;&lt;title&gt;Non-invasive positive pressure ventilation for treatment of respiratory failure due to exacerbations of chronic obstructive pulmonary disease&lt;/title&gt;&lt;secondary-title&gt;Cochrane Database Syst Rev&lt;/secondary-title&gt;&lt;/titles&gt;&lt;periodical&gt;&lt;full-title&gt;Cochrane Database Syst Rev&lt;/full-title&gt;&lt;/periodical&gt;&lt;volume&gt;3&lt;/volume&gt;&lt;number&gt;3&lt;/number&gt;&lt;dates&gt;&lt;year&gt;2004&lt;/year&gt;&lt;/dates&gt;&lt;urls&gt;&lt;/urls&gt;&lt;/record&gt;&lt;/Cite&gt;&lt;/EndNote&gt;</w:instrText>
            </w:r>
            <w:r w:rsidR="00CA3202">
              <w:rPr>
                <w:rFonts w:ascii="Arial Narrow" w:hAnsi="Arial Narrow" w:cs="Arial"/>
                <w:color w:val="000000" w:themeColor="text1"/>
                <w:sz w:val="20"/>
                <w:szCs w:val="20"/>
                <w:lang w:eastAsia="en-NZ"/>
              </w:rPr>
              <w:fldChar w:fldCharType="separate"/>
            </w:r>
            <w:r w:rsidR="00CA3202" w:rsidRPr="00CA3202">
              <w:rPr>
                <w:rFonts w:ascii="Arial Narrow" w:hAnsi="Arial Narrow" w:cs="Arial"/>
                <w:noProof/>
                <w:color w:val="000000" w:themeColor="text1"/>
                <w:sz w:val="20"/>
                <w:szCs w:val="20"/>
                <w:vertAlign w:val="superscript"/>
                <w:lang w:eastAsia="en-NZ"/>
              </w:rPr>
              <w:t>(</w:t>
            </w:r>
            <w:hyperlink w:anchor="_ENREF_21" w:tooltip="Ram, 2004 #813" w:history="1">
              <w:r w:rsidR="0029347A" w:rsidRPr="00CA3202">
                <w:rPr>
                  <w:rFonts w:ascii="Arial Narrow" w:hAnsi="Arial Narrow" w:cs="Arial"/>
                  <w:noProof/>
                  <w:color w:val="000000" w:themeColor="text1"/>
                  <w:sz w:val="20"/>
                  <w:szCs w:val="20"/>
                  <w:vertAlign w:val="superscript"/>
                  <w:lang w:eastAsia="en-NZ"/>
                </w:rPr>
                <w:t>21</w:t>
              </w:r>
            </w:hyperlink>
            <w:r w:rsidR="00CA3202" w:rsidRPr="00CA3202">
              <w:rPr>
                <w:rFonts w:ascii="Arial Narrow" w:hAnsi="Arial Narrow" w:cs="Arial"/>
                <w:noProof/>
                <w:color w:val="000000" w:themeColor="text1"/>
                <w:sz w:val="20"/>
                <w:szCs w:val="20"/>
                <w:vertAlign w:val="superscript"/>
                <w:lang w:eastAsia="en-NZ"/>
              </w:rPr>
              <w:t>)</w:t>
            </w:r>
            <w:r w:rsidR="00CA3202">
              <w:rPr>
                <w:rFonts w:ascii="Arial Narrow" w:hAnsi="Arial Narrow" w:cs="Arial"/>
                <w:color w:val="000000" w:themeColor="text1"/>
                <w:sz w:val="20"/>
                <w:szCs w:val="20"/>
                <w:lang w:eastAsia="en-NZ"/>
              </w:rPr>
              <w:fldChar w:fldCharType="end"/>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Non-Invasive Ventilation (NIV) is the use of ventilator support (i.e. positive pressure ventilation) to help achieve adequate ventilation.</w:t>
            </w:r>
          </w:p>
        </w:tc>
        <w:tc>
          <w:tcPr>
            <w:tcW w:w="0" w:type="auto"/>
            <w:tcBorders>
              <w:top w:val="nil"/>
              <w:left w:val="single" w:sz="8" w:space="0" w:color="auto"/>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A proportion of DHBs offer some form of NIV.  NIV has been shown to have good evidence and may have a case for extended coverage, especially in general wards for acute exacerbations.  The evidence for its use as a chronic therapy is weak.</w:t>
            </w:r>
          </w:p>
        </w:tc>
        <w:tc>
          <w:tcPr>
            <w:tcW w:w="0" w:type="auto"/>
            <w:tcBorders>
              <w:top w:val="single" w:sz="4" w:space="0" w:color="auto"/>
              <w:left w:val="nil"/>
              <w:bottom w:val="single" w:sz="4" w:space="0" w:color="auto"/>
              <w:right w:val="single" w:sz="8" w:space="0" w:color="auto"/>
            </w:tcBorders>
            <w:shd w:val="clear" w:color="auto" w:fill="auto"/>
            <w:hideMark/>
          </w:tcPr>
          <w:p w:rsidR="008C2DFF" w:rsidRPr="004F7453" w:rsidRDefault="00551E6B" w:rsidP="008C2DFF">
            <w:pPr>
              <w:spacing w:after="0" w:line="240" w:lineRule="auto"/>
              <w:rPr>
                <w:rFonts w:ascii="Arial Narrow" w:hAnsi="Arial Narrow" w:cs="Arial"/>
                <w:color w:val="000000"/>
                <w:sz w:val="20"/>
                <w:szCs w:val="20"/>
                <w:lang w:eastAsia="en-NZ"/>
              </w:rPr>
            </w:pPr>
            <w:r>
              <w:rPr>
                <w:rFonts w:ascii="Arial Narrow" w:hAnsi="Arial Narrow" w:cs="Arial"/>
                <w:color w:val="000000"/>
                <w:sz w:val="20"/>
                <w:szCs w:val="20"/>
                <w:lang w:eastAsia="en-NZ"/>
              </w:rPr>
              <w:t>Late stable and end s</w:t>
            </w:r>
            <w:r w:rsidR="008C2DFF" w:rsidRPr="004F7453">
              <w:rPr>
                <w:rFonts w:ascii="Arial Narrow" w:hAnsi="Arial Narrow" w:cs="Arial"/>
                <w:color w:val="000000"/>
                <w:sz w:val="20"/>
                <w:szCs w:val="20"/>
                <w:lang w:eastAsia="en-NZ"/>
              </w:rPr>
              <w:t>tage</w:t>
            </w:r>
          </w:p>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(~10,000)</w:t>
            </w:r>
          </w:p>
        </w:tc>
        <w:tc>
          <w:tcPr>
            <w:tcW w:w="0" w:type="auto"/>
            <w:tcBorders>
              <w:top w:val="single" w:sz="4" w:space="0" w:color="auto"/>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Efficacious**</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Unsustainable (/)</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National strategy; investment in NIV for acute exacerbations; reprioritisation of chronic NIV use.</w:t>
            </w:r>
          </w:p>
        </w:tc>
        <w:tc>
          <w:tcPr>
            <w:tcW w:w="0" w:type="auto"/>
            <w:tcBorders>
              <w:top w:val="nil"/>
              <w:left w:val="single" w:sz="8" w:space="0" w:color="auto"/>
              <w:bottom w:val="single" w:sz="8" w:space="0" w:color="000000"/>
              <w:right w:val="single" w:sz="8" w:space="0" w:color="auto"/>
            </w:tcBorders>
            <w:shd w:val="clear" w:color="000000" w:fill="00B050"/>
            <w:vAlign w:val="center"/>
            <w:hideMark/>
          </w:tcPr>
          <w:p w:rsidR="008C2DFF" w:rsidRPr="004F7453" w:rsidRDefault="008C2DFF"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G</w:t>
            </w:r>
          </w:p>
        </w:tc>
      </w:tr>
      <w:tr w:rsidR="00937FCB" w:rsidRPr="004F7453" w:rsidTr="004F7453">
        <w:trPr>
          <w:trHeight w:val="2190"/>
        </w:trPr>
        <w:tc>
          <w:tcPr>
            <w:tcW w:w="0" w:type="auto"/>
            <w:tcBorders>
              <w:top w:val="nil"/>
              <w:left w:val="single" w:sz="8" w:space="0" w:color="auto"/>
              <w:bottom w:val="single" w:sz="8" w:space="0" w:color="000000"/>
              <w:right w:val="single" w:sz="8" w:space="0" w:color="auto"/>
            </w:tcBorders>
            <w:shd w:val="clear" w:color="auto" w:fill="auto"/>
            <w:hideMark/>
          </w:tcPr>
          <w:p w:rsidR="008C2DFF" w:rsidRPr="00995466" w:rsidRDefault="008C2DFF" w:rsidP="0029347A">
            <w:pPr>
              <w:spacing w:after="0" w:line="240" w:lineRule="auto"/>
              <w:rPr>
                <w:rFonts w:ascii="Arial Narrow" w:hAnsi="Arial Narrow" w:cs="Arial"/>
                <w:color w:val="000000" w:themeColor="text1"/>
                <w:sz w:val="20"/>
                <w:szCs w:val="20"/>
                <w:lang w:eastAsia="en-NZ"/>
              </w:rPr>
            </w:pPr>
            <w:r w:rsidRPr="00995466">
              <w:rPr>
                <w:rFonts w:ascii="Arial Narrow" w:hAnsi="Arial Narrow" w:cs="Arial"/>
                <w:color w:val="000000" w:themeColor="text1"/>
                <w:sz w:val="20"/>
                <w:szCs w:val="20"/>
                <w:lang w:eastAsia="en-NZ"/>
              </w:rPr>
              <w:t>Hospita</w:t>
            </w:r>
            <w:r w:rsidR="00551E6B">
              <w:rPr>
                <w:rFonts w:ascii="Arial Narrow" w:hAnsi="Arial Narrow" w:cs="Arial"/>
                <w:color w:val="000000" w:themeColor="text1"/>
                <w:sz w:val="20"/>
                <w:szCs w:val="20"/>
                <w:lang w:eastAsia="en-NZ"/>
              </w:rPr>
              <w:t>l at Home</w:t>
            </w:r>
            <w:r w:rsidR="00551E6B">
              <w:rPr>
                <w:rFonts w:ascii="Arial Narrow" w:hAnsi="Arial Narrow" w:cs="Arial"/>
                <w:color w:val="000000" w:themeColor="text1"/>
                <w:sz w:val="20"/>
                <w:szCs w:val="20"/>
                <w:lang w:eastAsia="en-NZ"/>
              </w:rPr>
              <w:fldChar w:fldCharType="begin"/>
            </w:r>
            <w:r w:rsidR="00CA3202">
              <w:rPr>
                <w:rFonts w:ascii="Arial Narrow" w:hAnsi="Arial Narrow" w:cs="Arial"/>
                <w:color w:val="000000" w:themeColor="text1"/>
                <w:sz w:val="20"/>
                <w:szCs w:val="20"/>
                <w:lang w:eastAsia="en-NZ"/>
              </w:rPr>
              <w:instrText xml:space="preserve"> ADDIN EN.CITE &lt;EndNote&gt;&lt;Cite&gt;&lt;Author&gt;Jeppesen&lt;/Author&gt;&lt;Year&gt;2012&lt;/Year&gt;&lt;RecNum&gt;431&lt;/RecNum&gt;&lt;DisplayText&gt;&lt;style face="superscript"&gt;(22)&lt;/style&gt;&lt;/DisplayText&gt;&lt;record&gt;&lt;rec-number&gt;431&lt;/rec-number&gt;&lt;foreign-keys&gt;&lt;key app="EN" db-id="paxef0v91tx5e7eaev8xxf2xd92zvrfrv592"&gt;431&lt;/key&gt;&lt;/foreign-keys&gt;&lt;ref-type name="Electronic Article"&gt;43&lt;/ref-type&gt;&lt;contributors&gt;&lt;authors&gt;&lt;author&gt;Jeppesen, Elisabeth&lt;/author&gt;&lt;author&gt;Brurberg Kjetil, G.&lt;/author&gt;&lt;author&gt;Vist Gunn, E.&lt;/author&gt;&lt;author&gt;Wedzicha Jadwiga, A.&lt;/author&gt;&lt;author&gt;Wright John, J.&lt;/author&gt;&lt;author&gt;Greenstone, Michael&lt;/author&gt;&lt;author&gt;Walters Julia, A. E.&lt;/author&gt;&lt;/authors&gt;&lt;/contributors&gt;&lt;titles&gt;&lt;title&gt;Hospital at home for acute exacerbations of chronic obstructive pulmonary disease&lt;/title&gt;&lt;secondary-title&gt;Cochrane Database of Systematic Reviews&lt;/secondary-title&gt;&lt;/titles&gt;&lt;periodical&gt;&lt;full-title&gt;Cochrane Database of Systematic Reviews&lt;/full-title&gt;&lt;/periodical&gt;&lt;number&gt;5&lt;/number&gt;&lt;keywords&gt;&lt;keyword&gt;Home Care Services, Hospital-Based [statistics &amp;amp; numerical data]&lt;/keyword&gt;&lt;keyword&gt;Acute Disease&lt;/keyword&gt;&lt;keyword&gt;Disease Progression&lt;/keyword&gt;&lt;keyword&gt;Hospitalization [statistics &amp;amp; numerical data]&lt;/keyword&gt;&lt;keyword&gt;Patient Readmission [statistics &amp;amp; numerical data]&lt;/keyword&gt;&lt;keyword&gt;Pulmonary Disease, Chronic Obstructive [mortality] [therapy]&lt;/keyword&gt;&lt;keyword&gt;Randomized Controlled Trials as Topic&lt;/keyword&gt;&lt;keyword&gt;Humans[checkword]&lt;/keyword&gt;&lt;keyword&gt;Airways&lt;/keyword&gt;&lt;/keywords&gt;&lt;dates&gt;&lt;year&gt;2012&lt;/year&gt;&lt;/dates&gt;&lt;publisher&gt;John Wiley &amp;amp; Sons, Ltd&lt;/publisher&gt;&lt;accession-num&gt;CD003573&lt;/accession-num&gt;&lt;urls&gt;&lt;related-urls&gt;&lt;url&gt;http://onlinelibrary.wiley.com/doi/10.1002/14651858.CD003573.pub2/abstract&lt;/url&gt;&lt;/related-urls&gt;&lt;/urls&gt;&lt;electronic-resource-num&gt;10.1002/14651858.CD003573.pub2&lt;/electronic-resource-num&gt;&lt;/record&gt;&lt;/Cite&gt;&lt;/EndNote&gt;</w:instrText>
            </w:r>
            <w:r w:rsidR="00551E6B">
              <w:rPr>
                <w:rFonts w:ascii="Arial Narrow" w:hAnsi="Arial Narrow" w:cs="Arial"/>
                <w:color w:val="000000" w:themeColor="text1"/>
                <w:sz w:val="20"/>
                <w:szCs w:val="20"/>
                <w:lang w:eastAsia="en-NZ"/>
              </w:rPr>
              <w:fldChar w:fldCharType="separate"/>
            </w:r>
            <w:r w:rsidR="00CA3202" w:rsidRPr="00CA3202">
              <w:rPr>
                <w:rFonts w:ascii="Arial Narrow" w:hAnsi="Arial Narrow" w:cs="Arial"/>
                <w:noProof/>
                <w:color w:val="000000" w:themeColor="text1"/>
                <w:sz w:val="20"/>
                <w:szCs w:val="20"/>
                <w:vertAlign w:val="superscript"/>
                <w:lang w:eastAsia="en-NZ"/>
              </w:rPr>
              <w:t>(</w:t>
            </w:r>
            <w:hyperlink w:anchor="_ENREF_22" w:tooltip="Jeppesen, 2012 #431" w:history="1">
              <w:r w:rsidR="0029347A" w:rsidRPr="00CA3202">
                <w:rPr>
                  <w:rFonts w:ascii="Arial Narrow" w:hAnsi="Arial Narrow" w:cs="Arial"/>
                  <w:noProof/>
                  <w:color w:val="000000" w:themeColor="text1"/>
                  <w:sz w:val="20"/>
                  <w:szCs w:val="20"/>
                  <w:vertAlign w:val="superscript"/>
                  <w:lang w:eastAsia="en-NZ"/>
                </w:rPr>
                <w:t>22</w:t>
              </w:r>
            </w:hyperlink>
            <w:r w:rsidR="00CA3202" w:rsidRPr="00CA3202">
              <w:rPr>
                <w:rFonts w:ascii="Arial Narrow" w:hAnsi="Arial Narrow" w:cs="Arial"/>
                <w:noProof/>
                <w:color w:val="000000" w:themeColor="text1"/>
                <w:sz w:val="20"/>
                <w:szCs w:val="20"/>
                <w:vertAlign w:val="superscript"/>
                <w:lang w:eastAsia="en-NZ"/>
              </w:rPr>
              <w:t>)</w:t>
            </w:r>
            <w:r w:rsidR="00551E6B">
              <w:rPr>
                <w:rFonts w:ascii="Arial Narrow" w:hAnsi="Arial Narrow" w:cs="Arial"/>
                <w:color w:val="000000" w:themeColor="text1"/>
                <w:sz w:val="20"/>
                <w:szCs w:val="20"/>
                <w:lang w:eastAsia="en-NZ"/>
              </w:rPr>
              <w:fldChar w:fldCharType="end"/>
            </w:r>
            <w:r w:rsidRPr="00995466">
              <w:rPr>
                <w:rFonts w:ascii="Arial Narrow" w:hAnsi="Arial Narrow" w:cs="Arial"/>
                <w:color w:val="000000" w:themeColor="text1"/>
                <w:sz w:val="20"/>
                <w:szCs w:val="20"/>
                <w:lang w:eastAsia="en-NZ"/>
              </w:rPr>
              <w:t xml:space="preserve"> and/or community care</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Hospital at home is the use of various respiratory personnel and/or services (i.e. respiratory nurse specialist) in the home.</w:t>
            </w:r>
          </w:p>
        </w:tc>
        <w:tc>
          <w:tcPr>
            <w:tcW w:w="0" w:type="auto"/>
            <w:tcBorders>
              <w:top w:val="single" w:sz="4" w:space="0" w:color="auto"/>
              <w:left w:val="single" w:sz="8" w:space="0" w:color="auto"/>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 xml:space="preserve">Only 1 mid-sized DHB was identified as having a hospital at home team for COPD exacerbations.  Respiratory nurse specialists are common in many DHBs.  Notably, South Canterbury DHB offers an in-home respiratory nurse specialist service.  It is unknown to what extent this is the case in the rest of New Zealand.  Some DHBs have primary care options to mitigate the need for hospitalisations (i.e. Primary Options for Avoiding Acute Care).  These services are not necessarily offered in the home but try to achieve the same outcomes as hospital at home to keep patients out of hospital by offering services in the community.  </w:t>
            </w:r>
          </w:p>
        </w:tc>
        <w:tc>
          <w:tcPr>
            <w:tcW w:w="0" w:type="auto"/>
            <w:tcBorders>
              <w:top w:val="single" w:sz="4" w:space="0" w:color="auto"/>
              <w:left w:val="nil"/>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Moderate-severe exacerbations</w:t>
            </w:r>
          </w:p>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(~6,000)</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Mixed Efficacy**</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Unsustainable (-)</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HIP evaluation and national strategy</w:t>
            </w:r>
          </w:p>
        </w:tc>
        <w:tc>
          <w:tcPr>
            <w:tcW w:w="0" w:type="auto"/>
            <w:tcBorders>
              <w:top w:val="nil"/>
              <w:left w:val="single" w:sz="8" w:space="0" w:color="auto"/>
              <w:bottom w:val="single" w:sz="8" w:space="0" w:color="000000"/>
              <w:right w:val="single" w:sz="8" w:space="0" w:color="auto"/>
            </w:tcBorders>
            <w:shd w:val="clear" w:color="000000" w:fill="FF0000"/>
            <w:vAlign w:val="center"/>
            <w:hideMark/>
          </w:tcPr>
          <w:p w:rsidR="008C2DFF" w:rsidRPr="004F7453" w:rsidRDefault="008C2DFF"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R</w:t>
            </w:r>
          </w:p>
        </w:tc>
      </w:tr>
      <w:tr w:rsidR="00937FCB" w:rsidRPr="004F7453" w:rsidTr="004F7453">
        <w:trPr>
          <w:trHeight w:val="1485"/>
        </w:trPr>
        <w:tc>
          <w:tcPr>
            <w:tcW w:w="0" w:type="auto"/>
            <w:tcBorders>
              <w:top w:val="nil"/>
              <w:left w:val="single" w:sz="8" w:space="0" w:color="auto"/>
              <w:bottom w:val="single" w:sz="8" w:space="0" w:color="000000"/>
              <w:right w:val="single" w:sz="8" w:space="0" w:color="auto"/>
            </w:tcBorders>
            <w:shd w:val="clear" w:color="auto" w:fill="auto"/>
            <w:hideMark/>
          </w:tcPr>
          <w:p w:rsidR="008C2DFF" w:rsidRPr="00995466" w:rsidRDefault="008C2DFF" w:rsidP="008C2DFF">
            <w:pPr>
              <w:spacing w:after="0" w:line="240" w:lineRule="auto"/>
              <w:rPr>
                <w:rFonts w:ascii="Arial Narrow" w:hAnsi="Arial Narrow" w:cs="Arial"/>
                <w:color w:val="000000" w:themeColor="text1"/>
                <w:sz w:val="20"/>
                <w:szCs w:val="20"/>
                <w:lang w:eastAsia="en-NZ"/>
              </w:rPr>
            </w:pPr>
            <w:r w:rsidRPr="00995466">
              <w:rPr>
                <w:rFonts w:ascii="Arial Narrow" w:hAnsi="Arial Narrow" w:cs="Arial"/>
                <w:color w:val="000000" w:themeColor="text1"/>
                <w:sz w:val="20"/>
                <w:szCs w:val="20"/>
                <w:lang w:eastAsia="en-NZ"/>
              </w:rPr>
              <w:t>Early Facilitated Discharge</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Planning between the GP, patient and other individuals involved in care may help to shorten hospital stay and reduce re-admissions.  The plan may include a wide variety of materials/steps and should be completed within 1-2 days of admission.</w:t>
            </w:r>
          </w:p>
        </w:tc>
        <w:tc>
          <w:tcPr>
            <w:tcW w:w="0" w:type="auto"/>
            <w:tcBorders>
              <w:top w:val="single" w:sz="4" w:space="0" w:color="auto"/>
              <w:left w:val="single" w:sz="8" w:space="0" w:color="auto"/>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Facilitated discharge/care planning has anecdotally been suggested as an area for improvement.  In order to successfully discharge someone early in an orderly fashion, DHBs also need support services in place within the community (i.e. respiratory nurse specialists for home visits, community primary care options, etc.).  Not every DHB has these services in place.</w:t>
            </w:r>
          </w:p>
        </w:tc>
        <w:tc>
          <w:tcPr>
            <w:tcW w:w="0" w:type="auto"/>
            <w:tcBorders>
              <w:top w:val="single" w:sz="4" w:space="0" w:color="auto"/>
              <w:left w:val="nil"/>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Moderate-severe exacerbations</w:t>
            </w:r>
          </w:p>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(~6,000)</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Efficacious+</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Unsustainable (/)</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National Strategy</w:t>
            </w:r>
          </w:p>
        </w:tc>
        <w:tc>
          <w:tcPr>
            <w:tcW w:w="0" w:type="auto"/>
            <w:tcBorders>
              <w:top w:val="nil"/>
              <w:left w:val="single" w:sz="8" w:space="0" w:color="auto"/>
              <w:bottom w:val="single" w:sz="8" w:space="0" w:color="000000"/>
              <w:right w:val="single" w:sz="8" w:space="0" w:color="auto"/>
            </w:tcBorders>
            <w:shd w:val="clear" w:color="000000" w:fill="FF0000"/>
            <w:vAlign w:val="center"/>
            <w:hideMark/>
          </w:tcPr>
          <w:p w:rsidR="008C2DFF" w:rsidRPr="004F7453" w:rsidRDefault="008C2DFF"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R</w:t>
            </w:r>
          </w:p>
        </w:tc>
      </w:tr>
      <w:tr w:rsidR="00937FCB" w:rsidRPr="004F7453" w:rsidTr="004F7453">
        <w:trPr>
          <w:trHeight w:val="913"/>
        </w:trPr>
        <w:tc>
          <w:tcPr>
            <w:tcW w:w="0" w:type="auto"/>
            <w:tcBorders>
              <w:top w:val="nil"/>
              <w:left w:val="single" w:sz="8" w:space="0" w:color="auto"/>
              <w:bottom w:val="single" w:sz="8" w:space="0" w:color="000000"/>
              <w:right w:val="single" w:sz="8" w:space="0" w:color="auto"/>
            </w:tcBorders>
            <w:shd w:val="clear" w:color="auto" w:fill="auto"/>
            <w:hideMark/>
          </w:tcPr>
          <w:p w:rsidR="008C2DFF" w:rsidRPr="00995466" w:rsidRDefault="008C2DFF" w:rsidP="0029347A">
            <w:pPr>
              <w:spacing w:after="0" w:line="240" w:lineRule="auto"/>
              <w:rPr>
                <w:rFonts w:ascii="Arial Narrow" w:hAnsi="Arial Narrow" w:cs="Arial"/>
                <w:color w:val="000000" w:themeColor="text1"/>
                <w:sz w:val="20"/>
                <w:szCs w:val="20"/>
                <w:lang w:eastAsia="en-NZ"/>
              </w:rPr>
            </w:pPr>
            <w:r w:rsidRPr="00995466">
              <w:rPr>
                <w:rFonts w:ascii="Arial Narrow" w:hAnsi="Arial Narrow" w:cs="Arial"/>
                <w:color w:val="000000" w:themeColor="text1"/>
                <w:sz w:val="20"/>
                <w:szCs w:val="20"/>
                <w:lang w:eastAsia="en-NZ"/>
              </w:rPr>
              <w:t>Nu</w:t>
            </w:r>
            <w:r w:rsidR="00551E6B">
              <w:rPr>
                <w:rFonts w:ascii="Arial Narrow" w:hAnsi="Arial Narrow" w:cs="Arial"/>
                <w:color w:val="000000" w:themeColor="text1"/>
                <w:sz w:val="20"/>
                <w:szCs w:val="20"/>
                <w:lang w:eastAsia="en-NZ"/>
              </w:rPr>
              <w:t>trition/Exercise Counselling</w:t>
            </w:r>
            <w:r w:rsidR="00995466" w:rsidRPr="00995466">
              <w:rPr>
                <w:rFonts w:ascii="Arial Narrow" w:hAnsi="Arial Narrow" w:cs="Arial"/>
                <w:color w:val="000000" w:themeColor="text1"/>
                <w:sz w:val="20"/>
                <w:szCs w:val="20"/>
                <w:lang w:eastAsia="en-NZ"/>
              </w:rPr>
              <w:fldChar w:fldCharType="begin"/>
            </w:r>
            <w:r w:rsidR="00CA3202">
              <w:rPr>
                <w:rFonts w:ascii="Arial Narrow" w:hAnsi="Arial Narrow" w:cs="Arial"/>
                <w:color w:val="000000" w:themeColor="text1"/>
                <w:sz w:val="20"/>
                <w:szCs w:val="20"/>
                <w:lang w:eastAsia="en-NZ"/>
              </w:rPr>
              <w:instrText xml:space="preserve"> ADDIN EN.CITE &lt;EndNote&gt;&lt;Cite&gt;&lt;Author&gt;McKenzie&lt;/Author&gt;&lt;Year&gt;2012&lt;/Year&gt;&lt;RecNum&gt;653&lt;/RecNum&gt;&lt;DisplayText&gt;&lt;style face="superscript"&gt;(16)&lt;/style&gt;&lt;/DisplayText&gt;&lt;record&gt;&lt;rec-number&gt;653&lt;/rec-number&gt;&lt;foreign-keys&gt;&lt;key app="EN" db-id="paxef0v91tx5e7eaev8xxf2xd92zvrfrv592"&gt;653&lt;/key&gt;&lt;/foreign-keys&gt;&lt;ref-type name="Report"&gt;27&lt;/ref-type&gt;&lt;contributors&gt;&lt;authors&gt;&lt;author&gt;McKenzie, DK&lt;/author&gt;&lt;author&gt;Abramson, Michael&lt;/author&gt;&lt;author&gt;Crockett, Alan&lt;/author&gt;&lt;author&gt;Dabscheck, Eli&lt;/author&gt;&lt;author&gt;Glasgow, Nicholas&lt;/author&gt;&lt;author&gt;Jenkins, Sue&lt;/author&gt;&lt;author&gt;McDonald, Christine&lt;/author&gt;&lt;author&gt;Wood-Baker, R.&lt;/author&gt;&lt;author&gt;Yang, Ian&lt;/author&gt;&lt;author&gt;Frith, PA&lt;/author&gt;&lt;/authors&gt;&lt;/contributors&gt;&lt;titles&gt;&lt;title&gt;Australian Lung Foundation, Thoracic Society of Australia and New Zealand. The COPDX Plan: Australian and New Zealand Guidelines for the Management of Chronic Obstructive Pulmonary Disease 2012&lt;/title&gt;&lt;/titles&gt;&lt;dates&gt;&lt;year&gt;2012&lt;/year&gt;&lt;/dates&gt;&lt;urls&gt;&lt;/urls&gt;&lt;/record&gt;&lt;/Cite&gt;&lt;/EndNote&gt;</w:instrText>
            </w:r>
            <w:r w:rsidR="00995466" w:rsidRPr="00995466">
              <w:rPr>
                <w:rFonts w:ascii="Arial Narrow" w:hAnsi="Arial Narrow" w:cs="Arial"/>
                <w:color w:val="000000" w:themeColor="text1"/>
                <w:sz w:val="20"/>
                <w:szCs w:val="20"/>
                <w:lang w:eastAsia="en-NZ"/>
              </w:rPr>
              <w:fldChar w:fldCharType="separate"/>
            </w:r>
            <w:r w:rsidR="00551E6B" w:rsidRPr="00551E6B">
              <w:rPr>
                <w:rFonts w:ascii="Arial Narrow" w:hAnsi="Arial Narrow" w:cs="Arial"/>
                <w:noProof/>
                <w:color w:val="000000" w:themeColor="text1"/>
                <w:sz w:val="20"/>
                <w:szCs w:val="20"/>
                <w:vertAlign w:val="superscript"/>
                <w:lang w:eastAsia="en-NZ"/>
              </w:rPr>
              <w:t>(</w:t>
            </w:r>
            <w:hyperlink w:anchor="_ENREF_16" w:tooltip="McKenzie, 2012 #653" w:history="1">
              <w:r w:rsidR="0029347A" w:rsidRPr="00551E6B">
                <w:rPr>
                  <w:rFonts w:ascii="Arial Narrow" w:hAnsi="Arial Narrow" w:cs="Arial"/>
                  <w:noProof/>
                  <w:color w:val="000000" w:themeColor="text1"/>
                  <w:sz w:val="20"/>
                  <w:szCs w:val="20"/>
                  <w:vertAlign w:val="superscript"/>
                  <w:lang w:eastAsia="en-NZ"/>
                </w:rPr>
                <w:t>16</w:t>
              </w:r>
            </w:hyperlink>
            <w:r w:rsidR="00551E6B" w:rsidRPr="00551E6B">
              <w:rPr>
                <w:rFonts w:ascii="Arial Narrow" w:hAnsi="Arial Narrow" w:cs="Arial"/>
                <w:noProof/>
                <w:color w:val="000000" w:themeColor="text1"/>
                <w:sz w:val="20"/>
                <w:szCs w:val="20"/>
                <w:vertAlign w:val="superscript"/>
                <w:lang w:eastAsia="en-NZ"/>
              </w:rPr>
              <w:t>)</w:t>
            </w:r>
            <w:r w:rsidR="00995466" w:rsidRPr="00995466">
              <w:rPr>
                <w:rFonts w:ascii="Arial Narrow" w:hAnsi="Arial Narrow" w:cs="Arial"/>
                <w:color w:val="000000" w:themeColor="text1"/>
                <w:sz w:val="20"/>
                <w:szCs w:val="20"/>
                <w:lang w:eastAsia="en-NZ"/>
              </w:rPr>
              <w:fldChar w:fldCharType="end"/>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Nutrition counselling includes allied health professionals (i.e. nutritionists) providing advice and support for COPD patients.</w:t>
            </w:r>
          </w:p>
        </w:tc>
        <w:tc>
          <w:tcPr>
            <w:tcW w:w="0" w:type="auto"/>
            <w:tcBorders>
              <w:top w:val="single" w:sz="4" w:space="0" w:color="auto"/>
              <w:left w:val="single" w:sz="8" w:space="0" w:color="auto"/>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Many DHBs offer nutritional counselling services, not just specific to COPD patients.</w:t>
            </w:r>
          </w:p>
        </w:tc>
        <w:tc>
          <w:tcPr>
            <w:tcW w:w="0" w:type="auto"/>
            <w:tcBorders>
              <w:top w:val="single" w:sz="4" w:space="0" w:color="auto"/>
              <w:left w:val="nil"/>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Moderate-severe exacerbations</w:t>
            </w:r>
          </w:p>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(~6,000)</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Efficacious*</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HIP referral</w:t>
            </w:r>
          </w:p>
        </w:tc>
        <w:tc>
          <w:tcPr>
            <w:tcW w:w="0" w:type="auto"/>
            <w:tcBorders>
              <w:top w:val="nil"/>
              <w:left w:val="single" w:sz="8" w:space="0" w:color="auto"/>
              <w:bottom w:val="single" w:sz="8" w:space="0" w:color="000000"/>
              <w:right w:val="single" w:sz="8" w:space="0" w:color="auto"/>
            </w:tcBorders>
            <w:shd w:val="clear" w:color="000000" w:fill="FF0000"/>
            <w:vAlign w:val="center"/>
            <w:hideMark/>
          </w:tcPr>
          <w:p w:rsidR="008C2DFF" w:rsidRPr="004F7453" w:rsidRDefault="008C2DFF"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R</w:t>
            </w:r>
          </w:p>
        </w:tc>
      </w:tr>
      <w:tr w:rsidR="00937FCB" w:rsidRPr="004F7453" w:rsidTr="004F7453">
        <w:trPr>
          <w:trHeight w:val="488"/>
        </w:trPr>
        <w:tc>
          <w:tcPr>
            <w:tcW w:w="0" w:type="auto"/>
            <w:tcBorders>
              <w:top w:val="nil"/>
              <w:left w:val="single" w:sz="8" w:space="0" w:color="auto"/>
              <w:bottom w:val="single" w:sz="8" w:space="0" w:color="auto"/>
              <w:right w:val="single" w:sz="8" w:space="0" w:color="auto"/>
            </w:tcBorders>
            <w:shd w:val="clear" w:color="auto" w:fill="auto"/>
            <w:hideMark/>
          </w:tcPr>
          <w:p w:rsidR="00915B9A" w:rsidRPr="00995466" w:rsidRDefault="00915B9A" w:rsidP="0029347A">
            <w:pPr>
              <w:spacing w:after="0" w:line="240" w:lineRule="auto"/>
              <w:rPr>
                <w:rFonts w:ascii="Arial Narrow" w:hAnsi="Arial Narrow" w:cs="Arial"/>
                <w:color w:val="000000" w:themeColor="text1"/>
                <w:sz w:val="20"/>
                <w:szCs w:val="20"/>
                <w:lang w:eastAsia="en-NZ"/>
              </w:rPr>
            </w:pPr>
            <w:r w:rsidRPr="00995466">
              <w:rPr>
                <w:rFonts w:ascii="Arial Narrow" w:hAnsi="Arial Narrow" w:cs="Arial"/>
                <w:color w:val="000000" w:themeColor="text1"/>
                <w:sz w:val="20"/>
                <w:szCs w:val="20"/>
                <w:lang w:eastAsia="en-NZ"/>
              </w:rPr>
              <w:t>L</w:t>
            </w:r>
            <w:r w:rsidR="00937FCB">
              <w:rPr>
                <w:rFonts w:ascii="Arial Narrow" w:hAnsi="Arial Narrow" w:cs="Arial"/>
                <w:color w:val="000000" w:themeColor="text1"/>
                <w:sz w:val="20"/>
                <w:szCs w:val="20"/>
                <w:lang w:eastAsia="en-NZ"/>
              </w:rPr>
              <w:t>ung Volume Reduction Surgery</w:t>
            </w:r>
            <w:r w:rsidR="00937FCB">
              <w:rPr>
                <w:rFonts w:ascii="Arial Narrow" w:hAnsi="Arial Narrow" w:cs="Arial"/>
                <w:color w:val="000000" w:themeColor="text1"/>
                <w:sz w:val="20"/>
                <w:szCs w:val="20"/>
                <w:lang w:eastAsia="en-NZ"/>
              </w:rPr>
              <w:fldChar w:fldCharType="begin"/>
            </w:r>
            <w:r w:rsidR="00937FCB">
              <w:rPr>
                <w:rFonts w:ascii="Arial Narrow" w:hAnsi="Arial Narrow" w:cs="Arial"/>
                <w:color w:val="000000" w:themeColor="text1"/>
                <w:sz w:val="20"/>
                <w:szCs w:val="20"/>
                <w:lang w:eastAsia="en-NZ"/>
              </w:rPr>
              <w:instrText xml:space="preserve"> ADDIN EN.CITE &lt;EndNote&gt;&lt;Cite&gt;&lt;Author&gt;Tiong&lt;/Author&gt;&lt;Year&gt;2006&lt;/Year&gt;&lt;RecNum&gt;759&lt;/RecNum&gt;&lt;DisplayText&gt;&lt;style face="superscript"&gt;(23)&lt;/style&gt;&lt;/DisplayText&gt;&lt;record&gt;&lt;rec-number&gt;759&lt;/rec-number&gt;&lt;foreign-keys&gt;&lt;key app="EN" db-id="paxef0v91tx5e7eaev8xxf2xd92zvrfrv592"&gt;759&lt;/key&gt;&lt;/foreign-keys&gt;&lt;ref-type name="Journal Article"&gt;17&lt;/ref-type&gt;&lt;contributors&gt;&lt;authors&gt;&lt;author&gt;Tiong, Leong Ung&lt;/author&gt;&lt;author&gt;Davies, R&lt;/author&gt;&lt;author&gt;Gibson, PG&lt;/author&gt;&lt;author&gt;Hensley, MJ&lt;/author&gt;&lt;author&gt;Hepworth, R&lt;/author&gt;&lt;author&gt;Lasserson, TJ&lt;/author&gt;&lt;author&gt;Smith, B&lt;/author&gt;&lt;/authors&gt;&lt;/contributors&gt;&lt;titles&gt;&lt;title&gt;Lung volume reduction surgery for diffuse emphysema&lt;/title&gt;&lt;secondary-title&gt;Cochrane Database Syst Rev&lt;/secondary-title&gt;&lt;/titles&gt;&lt;periodical&gt;&lt;full-title&gt;Cochrane Database Syst Rev&lt;/full-title&gt;&lt;/periodical&gt;&lt;volume&gt;4&lt;/volume&gt;&lt;dates&gt;&lt;year&gt;2006&lt;/year&gt;&lt;/dates&gt;&lt;urls&gt;&lt;/urls&gt;&lt;/record&gt;&lt;/Cite&gt;&lt;/EndNote&gt;</w:instrText>
            </w:r>
            <w:r w:rsidR="00937FCB">
              <w:rPr>
                <w:rFonts w:ascii="Arial Narrow" w:hAnsi="Arial Narrow" w:cs="Arial"/>
                <w:color w:val="000000" w:themeColor="text1"/>
                <w:sz w:val="20"/>
                <w:szCs w:val="20"/>
                <w:lang w:eastAsia="en-NZ"/>
              </w:rPr>
              <w:fldChar w:fldCharType="separate"/>
            </w:r>
            <w:r w:rsidR="00937FCB" w:rsidRPr="00937FCB">
              <w:rPr>
                <w:rFonts w:ascii="Arial Narrow" w:hAnsi="Arial Narrow" w:cs="Arial"/>
                <w:noProof/>
                <w:color w:val="000000" w:themeColor="text1"/>
                <w:sz w:val="20"/>
                <w:szCs w:val="20"/>
                <w:vertAlign w:val="superscript"/>
                <w:lang w:eastAsia="en-NZ"/>
              </w:rPr>
              <w:t>(</w:t>
            </w:r>
            <w:hyperlink w:anchor="_ENREF_23" w:tooltip="Tiong, 2006 #759" w:history="1">
              <w:r w:rsidR="0029347A" w:rsidRPr="00937FCB">
                <w:rPr>
                  <w:rFonts w:ascii="Arial Narrow" w:hAnsi="Arial Narrow" w:cs="Arial"/>
                  <w:noProof/>
                  <w:color w:val="000000" w:themeColor="text1"/>
                  <w:sz w:val="20"/>
                  <w:szCs w:val="20"/>
                  <w:vertAlign w:val="superscript"/>
                  <w:lang w:eastAsia="en-NZ"/>
                </w:rPr>
                <w:t>23</w:t>
              </w:r>
            </w:hyperlink>
            <w:r w:rsidR="00937FCB" w:rsidRPr="00937FCB">
              <w:rPr>
                <w:rFonts w:ascii="Arial Narrow" w:hAnsi="Arial Narrow" w:cs="Arial"/>
                <w:noProof/>
                <w:color w:val="000000" w:themeColor="text1"/>
                <w:sz w:val="20"/>
                <w:szCs w:val="20"/>
                <w:vertAlign w:val="superscript"/>
                <w:lang w:eastAsia="en-NZ"/>
              </w:rPr>
              <w:t>)</w:t>
            </w:r>
            <w:r w:rsidR="00937FCB">
              <w:rPr>
                <w:rFonts w:ascii="Arial Narrow" w:hAnsi="Arial Narrow" w:cs="Arial"/>
                <w:color w:val="000000" w:themeColor="text1"/>
                <w:sz w:val="20"/>
                <w:szCs w:val="20"/>
                <w:lang w:eastAsia="en-NZ"/>
              </w:rPr>
              <w:fldChar w:fldCharType="end"/>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Lung volume reduction surgery (LVRS) involves the resection of damaged lung areas.</w:t>
            </w:r>
          </w:p>
        </w:tc>
        <w:tc>
          <w:tcPr>
            <w:tcW w:w="0" w:type="auto"/>
            <w:tcBorders>
              <w:top w:val="single" w:sz="4" w:space="0" w:color="auto"/>
              <w:left w:val="nil"/>
              <w:bottom w:val="single" w:sz="8" w:space="0" w:color="auto"/>
              <w:right w:val="single" w:sz="8" w:space="0" w:color="auto"/>
            </w:tcBorders>
            <w:shd w:val="clear" w:color="auto" w:fill="auto"/>
            <w:hideMark/>
          </w:tcPr>
          <w:p w:rsidR="00915B9A" w:rsidRPr="00FE4BF1" w:rsidRDefault="00915B9A" w:rsidP="0029347A">
            <w:pPr>
              <w:spacing w:after="0" w:line="240" w:lineRule="auto"/>
              <w:rPr>
                <w:rFonts w:ascii="Arial Narrow" w:hAnsi="Arial Narrow" w:cs="Arial"/>
                <w:color w:val="0000FF"/>
                <w:sz w:val="20"/>
                <w:szCs w:val="20"/>
                <w:lang w:eastAsia="en-NZ"/>
              </w:rPr>
            </w:pPr>
            <w:r w:rsidRPr="00FE4BF1">
              <w:rPr>
                <w:rFonts w:ascii="Arial Narrow" w:hAnsi="Arial Narrow" w:cs="Arial"/>
                <w:color w:val="000000" w:themeColor="text1"/>
                <w:sz w:val="20"/>
                <w:szCs w:val="20"/>
                <w:lang w:eastAsia="en-NZ"/>
              </w:rPr>
              <w:t>LVRS procedures are rarely perfor</w:t>
            </w:r>
            <w:r w:rsidR="00FE4BF1">
              <w:rPr>
                <w:rFonts w:ascii="Arial Narrow" w:hAnsi="Arial Narrow" w:cs="Arial"/>
                <w:color w:val="000000" w:themeColor="text1"/>
                <w:sz w:val="20"/>
                <w:szCs w:val="20"/>
                <w:lang w:eastAsia="en-NZ"/>
              </w:rPr>
              <w:t>med in the US or Australia.</w:t>
            </w:r>
            <w:r w:rsidR="00995466" w:rsidRPr="00FE4BF1">
              <w:rPr>
                <w:rFonts w:ascii="Arial Narrow" w:hAnsi="Arial Narrow" w:cs="Arial"/>
                <w:color w:val="000000" w:themeColor="text1"/>
                <w:sz w:val="20"/>
                <w:szCs w:val="20"/>
                <w:lang w:eastAsia="en-NZ"/>
              </w:rPr>
              <w:fldChar w:fldCharType="begin"/>
            </w:r>
            <w:r w:rsidR="00CA3202">
              <w:rPr>
                <w:rFonts w:ascii="Arial Narrow" w:hAnsi="Arial Narrow" w:cs="Arial"/>
                <w:color w:val="000000" w:themeColor="text1"/>
                <w:sz w:val="20"/>
                <w:szCs w:val="20"/>
                <w:lang w:eastAsia="en-NZ"/>
              </w:rPr>
              <w:instrText xml:space="preserve"> ADDIN EN.CITE &lt;EndNote&gt;&lt;Cite&gt;&lt;Author&gt;McKenzie&lt;/Author&gt;&lt;Year&gt;2012&lt;/Year&gt;&lt;RecNum&gt;653&lt;/RecNum&gt;&lt;DisplayText&gt;&lt;style face="superscript"&gt;(16)&lt;/style&gt;&lt;/DisplayText&gt;&lt;record&gt;&lt;rec-number&gt;653&lt;/rec-number&gt;&lt;foreign-keys&gt;&lt;key app="EN" db-id="paxef0v91tx5e7eaev8xxf2xd92zvrfrv592"&gt;653&lt;/key&gt;&lt;/foreign-keys&gt;&lt;ref-type name="Report"&gt;27&lt;/ref-type&gt;&lt;contributors&gt;&lt;authors&gt;&lt;author&gt;McKenzie, DK&lt;/author&gt;&lt;author&gt;Abramson, Michael&lt;/author&gt;&lt;author&gt;Crockett, Alan&lt;/author&gt;&lt;author&gt;Dabscheck, Eli&lt;/author&gt;&lt;author&gt;Glasgow, Nicholas&lt;/author&gt;&lt;author&gt;Jenkins, Sue&lt;/author&gt;&lt;author&gt;McDonald, Christine&lt;/author&gt;&lt;author&gt;Wood-Baker, R.&lt;/author&gt;&lt;author&gt;Yang, Ian&lt;/author&gt;&lt;author&gt;Frith, PA&lt;/author&gt;&lt;/authors&gt;&lt;/contributors&gt;&lt;titles&gt;&lt;title&gt;Australian Lung Foundation, Thoracic Society of Australia and New Zealand. The COPDX Plan: Australian and New Zealand Guidelines for the Management of Chronic Obstructive Pulmonary Disease 2012&lt;/title&gt;&lt;/titles&gt;&lt;dates&gt;&lt;year&gt;2012&lt;/year&gt;&lt;/dates&gt;&lt;urls&gt;&lt;/urls&gt;&lt;/record&gt;&lt;/Cite&gt;&lt;/EndNote&gt;</w:instrText>
            </w:r>
            <w:r w:rsidR="00995466" w:rsidRPr="00FE4BF1">
              <w:rPr>
                <w:rFonts w:ascii="Arial Narrow" w:hAnsi="Arial Narrow" w:cs="Arial"/>
                <w:color w:val="000000" w:themeColor="text1"/>
                <w:sz w:val="20"/>
                <w:szCs w:val="20"/>
                <w:lang w:eastAsia="en-NZ"/>
              </w:rPr>
              <w:fldChar w:fldCharType="separate"/>
            </w:r>
            <w:r w:rsidR="00551E6B" w:rsidRPr="00FE4BF1">
              <w:rPr>
                <w:rFonts w:ascii="Arial Narrow" w:hAnsi="Arial Narrow" w:cs="Arial"/>
                <w:noProof/>
                <w:color w:val="000000" w:themeColor="text1"/>
                <w:sz w:val="20"/>
                <w:szCs w:val="20"/>
                <w:vertAlign w:val="superscript"/>
                <w:lang w:eastAsia="en-NZ"/>
              </w:rPr>
              <w:t>(</w:t>
            </w:r>
            <w:hyperlink w:anchor="_ENREF_16" w:tooltip="McKenzie, 2012 #653" w:history="1">
              <w:r w:rsidR="0029347A" w:rsidRPr="00FE4BF1">
                <w:rPr>
                  <w:rFonts w:ascii="Arial Narrow" w:hAnsi="Arial Narrow" w:cs="Arial"/>
                  <w:noProof/>
                  <w:color w:val="000000" w:themeColor="text1"/>
                  <w:sz w:val="20"/>
                  <w:szCs w:val="20"/>
                  <w:vertAlign w:val="superscript"/>
                  <w:lang w:eastAsia="en-NZ"/>
                </w:rPr>
                <w:t>16</w:t>
              </w:r>
            </w:hyperlink>
            <w:r w:rsidR="00551E6B" w:rsidRPr="00FE4BF1">
              <w:rPr>
                <w:rFonts w:ascii="Arial Narrow" w:hAnsi="Arial Narrow" w:cs="Arial"/>
                <w:noProof/>
                <w:color w:val="000000" w:themeColor="text1"/>
                <w:sz w:val="20"/>
                <w:szCs w:val="20"/>
                <w:vertAlign w:val="superscript"/>
                <w:lang w:eastAsia="en-NZ"/>
              </w:rPr>
              <w:t>)</w:t>
            </w:r>
            <w:r w:rsidR="00995466" w:rsidRPr="00FE4BF1">
              <w:rPr>
                <w:rFonts w:ascii="Arial Narrow" w:hAnsi="Arial Narrow" w:cs="Arial"/>
                <w:color w:val="000000" w:themeColor="text1"/>
                <w:sz w:val="20"/>
                <w:szCs w:val="20"/>
                <w:lang w:eastAsia="en-NZ"/>
              </w:rPr>
              <w:fldChar w:fldCharType="end"/>
            </w:r>
          </w:p>
        </w:tc>
        <w:tc>
          <w:tcPr>
            <w:tcW w:w="0" w:type="auto"/>
            <w:tcBorders>
              <w:top w:val="single" w:sz="4" w:space="0" w:color="auto"/>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Few</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Mixed Efficacy, Mostly Negative**</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Prevent inappropriate use</w:t>
            </w:r>
          </w:p>
        </w:tc>
        <w:tc>
          <w:tcPr>
            <w:tcW w:w="0" w:type="auto"/>
            <w:tcBorders>
              <w:top w:val="nil"/>
              <w:left w:val="nil"/>
              <w:bottom w:val="single" w:sz="8" w:space="0" w:color="auto"/>
              <w:right w:val="single" w:sz="8" w:space="0" w:color="auto"/>
            </w:tcBorders>
            <w:shd w:val="clear" w:color="000000" w:fill="FF0000"/>
            <w:vAlign w:val="center"/>
            <w:hideMark/>
          </w:tcPr>
          <w:p w:rsidR="00915B9A" w:rsidRPr="004F7453" w:rsidRDefault="00915B9A"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R</w:t>
            </w:r>
          </w:p>
        </w:tc>
      </w:tr>
      <w:tr w:rsidR="00937FCB" w:rsidRPr="004F7453" w:rsidTr="004F7453">
        <w:trPr>
          <w:trHeight w:val="595"/>
        </w:trPr>
        <w:tc>
          <w:tcPr>
            <w:tcW w:w="0" w:type="auto"/>
            <w:tcBorders>
              <w:top w:val="nil"/>
              <w:left w:val="single" w:sz="8" w:space="0" w:color="auto"/>
              <w:bottom w:val="single" w:sz="8" w:space="0" w:color="auto"/>
              <w:right w:val="single" w:sz="8" w:space="0" w:color="auto"/>
            </w:tcBorders>
            <w:shd w:val="clear" w:color="auto" w:fill="auto"/>
            <w:hideMark/>
          </w:tcPr>
          <w:p w:rsidR="00915B9A" w:rsidRPr="00995466" w:rsidRDefault="00915B9A" w:rsidP="0029347A">
            <w:pPr>
              <w:spacing w:after="0" w:line="240" w:lineRule="auto"/>
              <w:rPr>
                <w:rFonts w:ascii="Arial Narrow" w:hAnsi="Arial Narrow" w:cs="Arial"/>
                <w:color w:val="000000" w:themeColor="text1"/>
                <w:sz w:val="20"/>
                <w:szCs w:val="20"/>
                <w:lang w:eastAsia="en-NZ"/>
              </w:rPr>
            </w:pPr>
            <w:r w:rsidRPr="00995466">
              <w:rPr>
                <w:rFonts w:ascii="Arial Narrow" w:hAnsi="Arial Narrow" w:cs="Arial"/>
                <w:color w:val="000000" w:themeColor="text1"/>
                <w:sz w:val="20"/>
                <w:szCs w:val="20"/>
                <w:lang w:eastAsia="en-NZ"/>
              </w:rPr>
              <w:t xml:space="preserve">Lung </w:t>
            </w:r>
            <w:r w:rsidR="00551E6B">
              <w:rPr>
                <w:rFonts w:ascii="Arial Narrow" w:hAnsi="Arial Narrow" w:cs="Arial"/>
                <w:color w:val="000000" w:themeColor="text1"/>
                <w:sz w:val="20"/>
                <w:szCs w:val="20"/>
                <w:lang w:eastAsia="en-NZ"/>
              </w:rPr>
              <w:t>Transplant</w:t>
            </w:r>
            <w:r w:rsidR="00995466" w:rsidRPr="00995466">
              <w:rPr>
                <w:rFonts w:ascii="Arial Narrow" w:hAnsi="Arial Narrow" w:cs="Arial"/>
                <w:color w:val="000000" w:themeColor="text1"/>
                <w:sz w:val="20"/>
                <w:szCs w:val="20"/>
                <w:lang w:eastAsia="en-NZ"/>
              </w:rPr>
              <w:fldChar w:fldCharType="begin"/>
            </w:r>
            <w:r w:rsidR="00CA3202">
              <w:rPr>
                <w:rFonts w:ascii="Arial Narrow" w:hAnsi="Arial Narrow" w:cs="Arial"/>
                <w:color w:val="000000" w:themeColor="text1"/>
                <w:sz w:val="20"/>
                <w:szCs w:val="20"/>
                <w:lang w:eastAsia="en-NZ"/>
              </w:rPr>
              <w:instrText xml:space="preserve"> ADDIN EN.CITE &lt;EndNote&gt;&lt;Cite&gt;&lt;Author&gt;McKenzie&lt;/Author&gt;&lt;Year&gt;2012&lt;/Year&gt;&lt;RecNum&gt;653&lt;/RecNum&gt;&lt;DisplayText&gt;&lt;style face="superscript"&gt;(16)&lt;/style&gt;&lt;/DisplayText&gt;&lt;record&gt;&lt;rec-number&gt;653&lt;/rec-number&gt;&lt;foreign-keys&gt;&lt;key app="EN" db-id="paxef0v91tx5e7eaev8xxf2xd92zvrfrv592"&gt;653&lt;/key&gt;&lt;/foreign-keys&gt;&lt;ref-type name="Report"&gt;27&lt;/ref-type&gt;&lt;contributors&gt;&lt;authors&gt;&lt;author&gt;McKenzie, DK&lt;/author&gt;&lt;author&gt;Abramson, Michael&lt;/author&gt;&lt;author&gt;Crockett, Alan&lt;/author&gt;&lt;author&gt;Dabscheck, Eli&lt;/author&gt;&lt;author&gt;Glasgow, Nicholas&lt;/author&gt;&lt;author&gt;Jenkins, Sue&lt;/author&gt;&lt;author&gt;McDonald, Christine&lt;/author&gt;&lt;author&gt;Wood-Baker, R.&lt;/author&gt;&lt;author&gt;Yang, Ian&lt;/author&gt;&lt;author&gt;Frith, PA&lt;/author&gt;&lt;/authors&gt;&lt;/contributors&gt;&lt;titles&gt;&lt;title&gt;Australian Lung Foundation, Thoracic Society of Australia and New Zealand. The COPDX Plan: Australian and New Zealand Guidelines for the Management of Chronic Obstructive Pulmonary Disease 2012&lt;/title&gt;&lt;/titles&gt;&lt;dates&gt;&lt;year&gt;2012&lt;/year&gt;&lt;/dates&gt;&lt;urls&gt;&lt;/urls&gt;&lt;/record&gt;&lt;/Cite&gt;&lt;/EndNote&gt;</w:instrText>
            </w:r>
            <w:r w:rsidR="00995466" w:rsidRPr="00995466">
              <w:rPr>
                <w:rFonts w:ascii="Arial Narrow" w:hAnsi="Arial Narrow" w:cs="Arial"/>
                <w:color w:val="000000" w:themeColor="text1"/>
                <w:sz w:val="20"/>
                <w:szCs w:val="20"/>
                <w:lang w:eastAsia="en-NZ"/>
              </w:rPr>
              <w:fldChar w:fldCharType="separate"/>
            </w:r>
            <w:r w:rsidR="00551E6B" w:rsidRPr="00551E6B">
              <w:rPr>
                <w:rFonts w:ascii="Arial Narrow" w:hAnsi="Arial Narrow" w:cs="Arial"/>
                <w:noProof/>
                <w:color w:val="000000" w:themeColor="text1"/>
                <w:sz w:val="20"/>
                <w:szCs w:val="20"/>
                <w:vertAlign w:val="superscript"/>
                <w:lang w:eastAsia="en-NZ"/>
              </w:rPr>
              <w:t>(</w:t>
            </w:r>
            <w:hyperlink w:anchor="_ENREF_16" w:tooltip="McKenzie, 2012 #653" w:history="1">
              <w:r w:rsidR="0029347A" w:rsidRPr="00551E6B">
                <w:rPr>
                  <w:rFonts w:ascii="Arial Narrow" w:hAnsi="Arial Narrow" w:cs="Arial"/>
                  <w:noProof/>
                  <w:color w:val="000000" w:themeColor="text1"/>
                  <w:sz w:val="20"/>
                  <w:szCs w:val="20"/>
                  <w:vertAlign w:val="superscript"/>
                  <w:lang w:eastAsia="en-NZ"/>
                </w:rPr>
                <w:t>16</w:t>
              </w:r>
            </w:hyperlink>
            <w:r w:rsidR="00551E6B" w:rsidRPr="00551E6B">
              <w:rPr>
                <w:rFonts w:ascii="Arial Narrow" w:hAnsi="Arial Narrow" w:cs="Arial"/>
                <w:noProof/>
                <w:color w:val="000000" w:themeColor="text1"/>
                <w:sz w:val="20"/>
                <w:szCs w:val="20"/>
                <w:vertAlign w:val="superscript"/>
                <w:lang w:eastAsia="en-NZ"/>
              </w:rPr>
              <w:t>)</w:t>
            </w:r>
            <w:r w:rsidR="00995466" w:rsidRPr="00995466">
              <w:rPr>
                <w:rFonts w:ascii="Arial Narrow" w:hAnsi="Arial Narrow" w:cs="Arial"/>
                <w:color w:val="000000" w:themeColor="text1"/>
                <w:sz w:val="20"/>
                <w:szCs w:val="20"/>
                <w:lang w:eastAsia="en-NZ"/>
              </w:rPr>
              <w:fldChar w:fldCharType="end"/>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A lung transplant involves the removal of healthy lung tissue from a living donor into a COPD patient to replace damaged lung tissue.</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Very few lung transplants are performed on COPD patients currently.  Anecdotally, it is estimated 3 are performed yearly.</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Few</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Mixed efficacy, mostly negative*</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nil"/>
              <w:bottom w:val="single" w:sz="8" w:space="0" w:color="auto"/>
              <w:right w:val="single" w:sz="8" w:space="0" w:color="auto"/>
            </w:tcBorders>
            <w:shd w:val="clear" w:color="auto" w:fill="auto"/>
            <w:hideMark/>
          </w:tcPr>
          <w:p w:rsidR="00915B9A" w:rsidRPr="004F7453" w:rsidRDefault="00915B9A"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Prevent inappropriate use</w:t>
            </w:r>
          </w:p>
        </w:tc>
        <w:tc>
          <w:tcPr>
            <w:tcW w:w="0" w:type="auto"/>
            <w:tcBorders>
              <w:top w:val="nil"/>
              <w:left w:val="nil"/>
              <w:bottom w:val="single" w:sz="8" w:space="0" w:color="auto"/>
              <w:right w:val="single" w:sz="8" w:space="0" w:color="auto"/>
            </w:tcBorders>
            <w:shd w:val="clear" w:color="000000" w:fill="FF0000"/>
            <w:vAlign w:val="center"/>
            <w:hideMark/>
          </w:tcPr>
          <w:p w:rsidR="00915B9A" w:rsidRPr="004F7453" w:rsidRDefault="00915B9A"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R</w:t>
            </w:r>
          </w:p>
        </w:tc>
      </w:tr>
      <w:tr w:rsidR="00937FCB" w:rsidRPr="004F7453" w:rsidTr="004F7453">
        <w:trPr>
          <w:trHeight w:val="679"/>
        </w:trPr>
        <w:tc>
          <w:tcPr>
            <w:tcW w:w="0" w:type="auto"/>
            <w:tcBorders>
              <w:top w:val="nil"/>
              <w:left w:val="single" w:sz="8" w:space="0" w:color="auto"/>
              <w:bottom w:val="single" w:sz="8" w:space="0" w:color="000000"/>
              <w:right w:val="single" w:sz="8" w:space="0" w:color="auto"/>
            </w:tcBorders>
            <w:shd w:val="clear" w:color="auto" w:fill="auto"/>
            <w:hideMark/>
          </w:tcPr>
          <w:p w:rsidR="008C2DFF" w:rsidRPr="00995466" w:rsidRDefault="00551E6B" w:rsidP="0029347A">
            <w:pPr>
              <w:spacing w:after="0" w:line="240" w:lineRule="auto"/>
              <w:rPr>
                <w:rFonts w:ascii="Arial Narrow" w:hAnsi="Arial Narrow" w:cs="Arial"/>
                <w:color w:val="000000" w:themeColor="text1"/>
                <w:sz w:val="20"/>
                <w:szCs w:val="20"/>
                <w:lang w:eastAsia="en-NZ"/>
              </w:rPr>
            </w:pPr>
            <w:r>
              <w:rPr>
                <w:rFonts w:ascii="Arial Narrow" w:hAnsi="Arial Narrow" w:cs="Arial"/>
                <w:color w:val="000000" w:themeColor="text1"/>
                <w:sz w:val="20"/>
                <w:szCs w:val="20"/>
                <w:lang w:eastAsia="en-NZ"/>
              </w:rPr>
              <w:t>Long-Term Oxygen Therapy</w:t>
            </w:r>
            <w:r w:rsidR="00995466" w:rsidRPr="00995466">
              <w:rPr>
                <w:rFonts w:ascii="Arial Narrow" w:hAnsi="Arial Narrow" w:cs="Arial"/>
                <w:color w:val="000000" w:themeColor="text1"/>
                <w:sz w:val="20"/>
                <w:szCs w:val="20"/>
                <w:lang w:eastAsia="en-NZ"/>
              </w:rPr>
              <w:fldChar w:fldCharType="begin"/>
            </w:r>
            <w:r w:rsidR="00CA3202">
              <w:rPr>
                <w:rFonts w:ascii="Arial Narrow" w:hAnsi="Arial Narrow" w:cs="Arial"/>
                <w:color w:val="000000" w:themeColor="text1"/>
                <w:sz w:val="20"/>
                <w:szCs w:val="20"/>
                <w:lang w:eastAsia="en-NZ"/>
              </w:rPr>
              <w:instrText xml:space="preserve"> ADDIN EN.CITE &lt;EndNote&gt;&lt;Cite&gt;&lt;Author&gt;McKenzie&lt;/Author&gt;&lt;Year&gt;2012&lt;/Year&gt;&lt;RecNum&gt;653&lt;/RecNum&gt;&lt;DisplayText&gt;&lt;style face="superscript"&gt;(16)&lt;/style&gt;&lt;/DisplayText&gt;&lt;record&gt;&lt;rec-number&gt;653&lt;/rec-number&gt;&lt;foreign-keys&gt;&lt;key app="EN" db-id="paxef0v91tx5e7eaev8xxf2xd92zvrfrv592"&gt;653&lt;/key&gt;&lt;/foreign-keys&gt;&lt;ref-type name="Report"&gt;27&lt;/ref-type&gt;&lt;contributors&gt;&lt;authors&gt;&lt;author&gt;McKenzie, DK&lt;/author&gt;&lt;author&gt;Abramson, Michael&lt;/author&gt;&lt;author&gt;Crockett, Alan&lt;/author&gt;&lt;author&gt;Dabscheck, Eli&lt;/author&gt;&lt;author&gt;Glasgow, Nicholas&lt;/author&gt;&lt;author&gt;Jenkins, Sue&lt;/author&gt;&lt;author&gt;McDonald, Christine&lt;/author&gt;&lt;author&gt;Wood-Baker, R.&lt;/author&gt;&lt;author&gt;Yang, Ian&lt;/author&gt;&lt;author&gt;Frith, PA&lt;/author&gt;&lt;/authors&gt;&lt;/contributors&gt;&lt;titles&gt;&lt;title&gt;Australian Lung Foundation, Thoracic Society of Australia and New Zealand. The COPDX Plan: Australian and New Zealand Guidelines for the Management of Chronic Obstructive Pulmonary Disease 2012&lt;/title&gt;&lt;/titles&gt;&lt;dates&gt;&lt;year&gt;2012&lt;/year&gt;&lt;/dates&gt;&lt;urls&gt;&lt;/urls&gt;&lt;/record&gt;&lt;/Cite&gt;&lt;/EndNote&gt;</w:instrText>
            </w:r>
            <w:r w:rsidR="00995466" w:rsidRPr="00995466">
              <w:rPr>
                <w:rFonts w:ascii="Arial Narrow" w:hAnsi="Arial Narrow" w:cs="Arial"/>
                <w:color w:val="000000" w:themeColor="text1"/>
                <w:sz w:val="20"/>
                <w:szCs w:val="20"/>
                <w:lang w:eastAsia="en-NZ"/>
              </w:rPr>
              <w:fldChar w:fldCharType="separate"/>
            </w:r>
            <w:r w:rsidRPr="00551E6B">
              <w:rPr>
                <w:rFonts w:ascii="Arial Narrow" w:hAnsi="Arial Narrow" w:cs="Arial"/>
                <w:noProof/>
                <w:color w:val="000000" w:themeColor="text1"/>
                <w:sz w:val="20"/>
                <w:szCs w:val="20"/>
                <w:vertAlign w:val="superscript"/>
                <w:lang w:eastAsia="en-NZ"/>
              </w:rPr>
              <w:t>(</w:t>
            </w:r>
            <w:hyperlink w:anchor="_ENREF_16" w:tooltip="McKenzie, 2012 #653" w:history="1">
              <w:r w:rsidR="0029347A" w:rsidRPr="00551E6B">
                <w:rPr>
                  <w:rFonts w:ascii="Arial Narrow" w:hAnsi="Arial Narrow" w:cs="Arial"/>
                  <w:noProof/>
                  <w:color w:val="000000" w:themeColor="text1"/>
                  <w:sz w:val="20"/>
                  <w:szCs w:val="20"/>
                  <w:vertAlign w:val="superscript"/>
                  <w:lang w:eastAsia="en-NZ"/>
                </w:rPr>
                <w:t>16</w:t>
              </w:r>
            </w:hyperlink>
            <w:r w:rsidRPr="00551E6B">
              <w:rPr>
                <w:rFonts w:ascii="Arial Narrow" w:hAnsi="Arial Narrow" w:cs="Arial"/>
                <w:noProof/>
                <w:color w:val="000000" w:themeColor="text1"/>
                <w:sz w:val="20"/>
                <w:szCs w:val="20"/>
                <w:vertAlign w:val="superscript"/>
                <w:lang w:eastAsia="en-NZ"/>
              </w:rPr>
              <w:t>)</w:t>
            </w:r>
            <w:r w:rsidR="00995466" w:rsidRPr="00995466">
              <w:rPr>
                <w:rFonts w:ascii="Arial Narrow" w:hAnsi="Arial Narrow" w:cs="Arial"/>
                <w:color w:val="000000" w:themeColor="text1"/>
                <w:sz w:val="20"/>
                <w:szCs w:val="20"/>
                <w:lang w:eastAsia="en-NZ"/>
              </w:rPr>
              <w:fldChar w:fldCharType="end"/>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Long-term oxygen therapy (LTOT) is the daily use of domiciliary oxygen for COPD patients in order to help maintain healthy arterial blood gas levels and thus reduce mortality.</w:t>
            </w:r>
          </w:p>
        </w:tc>
        <w:tc>
          <w:tcPr>
            <w:tcW w:w="0" w:type="auto"/>
            <w:tcBorders>
              <w:top w:val="nil"/>
              <w:left w:val="single" w:sz="8" w:space="0" w:color="auto"/>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Many DHBs have home oxygen services available.  Some DHBs favour oxygen concentrators over traditional bottles as the preferred oxygen therapy delivery apparatus.  Anecdotally, LTOT rates vary widely by DHB.</w:t>
            </w:r>
          </w:p>
        </w:tc>
        <w:tc>
          <w:tcPr>
            <w:tcW w:w="0" w:type="auto"/>
            <w:tcBorders>
              <w:top w:val="nil"/>
              <w:left w:val="nil"/>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End stage</w:t>
            </w:r>
          </w:p>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(~3,000)</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Efficacious*</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National approach to oxygen delivery system (i.e. concentrators or tanks); exploration of intervention rates among DHBs.</w:t>
            </w:r>
          </w:p>
        </w:tc>
        <w:tc>
          <w:tcPr>
            <w:tcW w:w="0" w:type="auto"/>
            <w:tcBorders>
              <w:top w:val="nil"/>
              <w:left w:val="single" w:sz="8" w:space="0" w:color="auto"/>
              <w:bottom w:val="single" w:sz="8" w:space="0" w:color="000000"/>
              <w:right w:val="single" w:sz="8" w:space="0" w:color="auto"/>
            </w:tcBorders>
            <w:shd w:val="clear" w:color="000000" w:fill="00B050"/>
            <w:vAlign w:val="center"/>
            <w:hideMark/>
          </w:tcPr>
          <w:p w:rsidR="008C2DFF" w:rsidRPr="004F7453" w:rsidRDefault="008C2DFF"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G</w:t>
            </w:r>
          </w:p>
        </w:tc>
      </w:tr>
      <w:tr w:rsidR="00937FCB" w:rsidRPr="004F7453" w:rsidTr="004F7453">
        <w:trPr>
          <w:trHeight w:val="653"/>
        </w:trPr>
        <w:tc>
          <w:tcPr>
            <w:tcW w:w="0" w:type="auto"/>
            <w:tcBorders>
              <w:top w:val="nil"/>
              <w:left w:val="single" w:sz="8" w:space="0" w:color="auto"/>
              <w:bottom w:val="single" w:sz="8" w:space="0" w:color="000000"/>
              <w:right w:val="single" w:sz="8" w:space="0" w:color="auto"/>
            </w:tcBorders>
            <w:shd w:val="clear" w:color="auto" w:fill="auto"/>
            <w:hideMark/>
          </w:tcPr>
          <w:p w:rsidR="008C2DFF" w:rsidRPr="00995466" w:rsidRDefault="00551E6B" w:rsidP="0029347A">
            <w:pPr>
              <w:spacing w:after="0" w:line="240" w:lineRule="auto"/>
              <w:rPr>
                <w:rFonts w:ascii="Arial Narrow" w:hAnsi="Arial Narrow" w:cs="Arial"/>
                <w:color w:val="000000" w:themeColor="text1"/>
                <w:sz w:val="20"/>
                <w:szCs w:val="20"/>
                <w:lang w:eastAsia="en-NZ"/>
              </w:rPr>
            </w:pPr>
            <w:r>
              <w:rPr>
                <w:rFonts w:ascii="Arial Narrow" w:hAnsi="Arial Narrow" w:cs="Arial"/>
                <w:color w:val="000000" w:themeColor="text1"/>
                <w:sz w:val="20"/>
                <w:szCs w:val="20"/>
                <w:lang w:eastAsia="en-NZ"/>
              </w:rPr>
              <w:t>Advance Care Planning</w:t>
            </w:r>
            <w:r w:rsidR="00995466" w:rsidRPr="00995466">
              <w:rPr>
                <w:rFonts w:ascii="Arial Narrow" w:hAnsi="Arial Narrow" w:cs="Arial"/>
                <w:color w:val="000000" w:themeColor="text1"/>
                <w:sz w:val="20"/>
                <w:szCs w:val="20"/>
                <w:lang w:eastAsia="en-NZ"/>
              </w:rPr>
              <w:fldChar w:fldCharType="begin"/>
            </w:r>
            <w:r w:rsidR="00CA3202">
              <w:rPr>
                <w:rFonts w:ascii="Arial Narrow" w:hAnsi="Arial Narrow" w:cs="Arial"/>
                <w:color w:val="000000" w:themeColor="text1"/>
                <w:sz w:val="20"/>
                <w:szCs w:val="20"/>
                <w:lang w:eastAsia="en-NZ"/>
              </w:rPr>
              <w:instrText xml:space="preserve"> ADDIN EN.CITE &lt;EndNote&gt;&lt;Cite&gt;&lt;Author&gt;McKenzie&lt;/Author&gt;&lt;Year&gt;2012&lt;/Year&gt;&lt;RecNum&gt;653&lt;/RecNum&gt;&lt;DisplayText&gt;&lt;style face="superscript"&gt;(16)&lt;/style&gt;&lt;/DisplayText&gt;&lt;record&gt;&lt;rec-number&gt;653&lt;/rec-number&gt;&lt;foreign-keys&gt;&lt;key app="EN" db-id="paxef0v91tx5e7eaev8xxf2xd92zvrfrv592"&gt;653&lt;/key&gt;&lt;/foreign-keys&gt;&lt;ref-type name="Report"&gt;27&lt;/ref-type&gt;&lt;contributors&gt;&lt;authors&gt;&lt;author&gt;McKenzie, DK&lt;/author&gt;&lt;author&gt;Abramson, Michael&lt;/author&gt;&lt;author&gt;Crockett, Alan&lt;/author&gt;&lt;author&gt;Dabscheck, Eli&lt;/author&gt;&lt;author&gt;Glasgow, Nicholas&lt;/author&gt;&lt;author&gt;Jenkins, Sue&lt;/author&gt;&lt;author&gt;McDonald, Christine&lt;/author&gt;&lt;author&gt;Wood-Baker, R.&lt;/author&gt;&lt;author&gt;Yang, Ian&lt;/author&gt;&lt;author&gt;Frith, PA&lt;/author&gt;&lt;/authors&gt;&lt;/contributors&gt;&lt;titles&gt;&lt;title&gt;Australian Lung Foundation, Thoracic Society of Australia and New Zealand. The COPDX Plan: Australian and New Zealand Guidelines for the Management of Chronic Obstructive Pulmonary Disease 2012&lt;/title&gt;&lt;/titles&gt;&lt;dates&gt;&lt;year&gt;2012&lt;/year&gt;&lt;/dates&gt;&lt;urls&gt;&lt;/urls&gt;&lt;/record&gt;&lt;/Cite&gt;&lt;/EndNote&gt;</w:instrText>
            </w:r>
            <w:r w:rsidR="00995466" w:rsidRPr="00995466">
              <w:rPr>
                <w:rFonts w:ascii="Arial Narrow" w:hAnsi="Arial Narrow" w:cs="Arial"/>
                <w:color w:val="000000" w:themeColor="text1"/>
                <w:sz w:val="20"/>
                <w:szCs w:val="20"/>
                <w:lang w:eastAsia="en-NZ"/>
              </w:rPr>
              <w:fldChar w:fldCharType="separate"/>
            </w:r>
            <w:r w:rsidRPr="00551E6B">
              <w:rPr>
                <w:rFonts w:ascii="Arial Narrow" w:hAnsi="Arial Narrow" w:cs="Arial"/>
                <w:noProof/>
                <w:color w:val="000000" w:themeColor="text1"/>
                <w:sz w:val="20"/>
                <w:szCs w:val="20"/>
                <w:vertAlign w:val="superscript"/>
                <w:lang w:eastAsia="en-NZ"/>
              </w:rPr>
              <w:t>(</w:t>
            </w:r>
            <w:hyperlink w:anchor="_ENREF_16" w:tooltip="McKenzie, 2012 #653" w:history="1">
              <w:r w:rsidR="0029347A" w:rsidRPr="00551E6B">
                <w:rPr>
                  <w:rFonts w:ascii="Arial Narrow" w:hAnsi="Arial Narrow" w:cs="Arial"/>
                  <w:noProof/>
                  <w:color w:val="000000" w:themeColor="text1"/>
                  <w:sz w:val="20"/>
                  <w:szCs w:val="20"/>
                  <w:vertAlign w:val="superscript"/>
                  <w:lang w:eastAsia="en-NZ"/>
                </w:rPr>
                <w:t>16</w:t>
              </w:r>
            </w:hyperlink>
            <w:r w:rsidRPr="00551E6B">
              <w:rPr>
                <w:rFonts w:ascii="Arial Narrow" w:hAnsi="Arial Narrow" w:cs="Arial"/>
                <w:noProof/>
                <w:color w:val="000000" w:themeColor="text1"/>
                <w:sz w:val="20"/>
                <w:szCs w:val="20"/>
                <w:vertAlign w:val="superscript"/>
                <w:lang w:eastAsia="en-NZ"/>
              </w:rPr>
              <w:t>)</w:t>
            </w:r>
            <w:r w:rsidR="00995466" w:rsidRPr="00995466">
              <w:rPr>
                <w:rFonts w:ascii="Arial Narrow" w:hAnsi="Arial Narrow" w:cs="Arial"/>
                <w:color w:val="000000" w:themeColor="text1"/>
                <w:sz w:val="20"/>
                <w:szCs w:val="20"/>
                <w:lang w:eastAsia="en-NZ"/>
              </w:rPr>
              <w:fldChar w:fldCharType="end"/>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Advance Care Planning (ACP) is the discussion of a patient’s end of life wishes.</w:t>
            </w:r>
          </w:p>
        </w:tc>
        <w:tc>
          <w:tcPr>
            <w:tcW w:w="0" w:type="auto"/>
            <w:tcBorders>
              <w:top w:val="single" w:sz="4" w:space="0" w:color="auto"/>
              <w:left w:val="single" w:sz="8" w:space="0" w:color="auto"/>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ACP occurs in some DHBs but is relatively new in New Zealand.  CDHB has piloted some early work to increase ACP in Canterbury.</w:t>
            </w:r>
          </w:p>
        </w:tc>
        <w:tc>
          <w:tcPr>
            <w:tcW w:w="0" w:type="auto"/>
            <w:tcBorders>
              <w:top w:val="single" w:sz="4" w:space="0" w:color="auto"/>
              <w:left w:val="nil"/>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All COPD patients</w:t>
            </w:r>
          </w:p>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(~138,000)</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Efficacious*</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National strategy for increasing ACP for COPD patients</w:t>
            </w:r>
          </w:p>
        </w:tc>
        <w:tc>
          <w:tcPr>
            <w:tcW w:w="0" w:type="auto"/>
            <w:tcBorders>
              <w:top w:val="nil"/>
              <w:left w:val="single" w:sz="8" w:space="0" w:color="auto"/>
              <w:bottom w:val="single" w:sz="8" w:space="0" w:color="000000"/>
              <w:right w:val="single" w:sz="8" w:space="0" w:color="auto"/>
            </w:tcBorders>
            <w:shd w:val="clear" w:color="000000" w:fill="00B050"/>
            <w:vAlign w:val="center"/>
            <w:hideMark/>
          </w:tcPr>
          <w:p w:rsidR="008C2DFF" w:rsidRPr="004F7453" w:rsidRDefault="008C2DFF"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G</w:t>
            </w:r>
          </w:p>
        </w:tc>
      </w:tr>
      <w:tr w:rsidR="00937FCB" w:rsidRPr="004F7453" w:rsidTr="004F7453">
        <w:trPr>
          <w:trHeight w:val="894"/>
        </w:trPr>
        <w:tc>
          <w:tcPr>
            <w:tcW w:w="0" w:type="auto"/>
            <w:tcBorders>
              <w:top w:val="nil"/>
              <w:left w:val="single" w:sz="8" w:space="0" w:color="auto"/>
              <w:bottom w:val="single" w:sz="8" w:space="0" w:color="000000"/>
              <w:right w:val="single" w:sz="8" w:space="0" w:color="auto"/>
            </w:tcBorders>
            <w:shd w:val="clear" w:color="auto" w:fill="auto"/>
            <w:hideMark/>
          </w:tcPr>
          <w:p w:rsidR="008C2DFF" w:rsidRPr="00995466" w:rsidRDefault="008C2DFF" w:rsidP="008C2DFF">
            <w:pPr>
              <w:spacing w:after="0" w:line="240" w:lineRule="auto"/>
              <w:rPr>
                <w:rFonts w:ascii="Arial Narrow" w:hAnsi="Arial Narrow" w:cs="Arial"/>
                <w:color w:val="000000" w:themeColor="text1"/>
                <w:sz w:val="20"/>
                <w:szCs w:val="20"/>
                <w:lang w:eastAsia="en-NZ"/>
              </w:rPr>
            </w:pPr>
            <w:r w:rsidRPr="00995466">
              <w:rPr>
                <w:rFonts w:ascii="Arial Narrow" w:hAnsi="Arial Narrow" w:cs="Arial"/>
                <w:color w:val="000000" w:themeColor="text1"/>
                <w:sz w:val="20"/>
                <w:szCs w:val="20"/>
                <w:lang w:eastAsia="en-NZ"/>
              </w:rPr>
              <w:t>Case Management</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Case management involves allocating complex patients to individual respiratory specialist nurses for personalised disease management.</w:t>
            </w:r>
          </w:p>
        </w:tc>
        <w:tc>
          <w:tcPr>
            <w:tcW w:w="0" w:type="auto"/>
            <w:tcBorders>
              <w:top w:val="single" w:sz="4" w:space="0" w:color="auto"/>
              <w:left w:val="single" w:sz="8" w:space="0" w:color="auto"/>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Case management has limited use</w:t>
            </w:r>
          </w:p>
        </w:tc>
        <w:tc>
          <w:tcPr>
            <w:tcW w:w="0" w:type="auto"/>
            <w:tcBorders>
              <w:top w:val="single" w:sz="4" w:space="0" w:color="auto"/>
              <w:left w:val="nil"/>
              <w:bottom w:val="single" w:sz="4" w:space="0" w:color="auto"/>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End stage and severe exacerbation patients</w:t>
            </w:r>
          </w:p>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(~9,000)</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Unknown+</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Further use of case management</w:t>
            </w:r>
          </w:p>
        </w:tc>
        <w:tc>
          <w:tcPr>
            <w:tcW w:w="0" w:type="auto"/>
            <w:tcBorders>
              <w:top w:val="nil"/>
              <w:left w:val="single" w:sz="8" w:space="0" w:color="auto"/>
              <w:bottom w:val="single" w:sz="8" w:space="0" w:color="000000"/>
              <w:right w:val="single" w:sz="8" w:space="0" w:color="auto"/>
            </w:tcBorders>
            <w:shd w:val="clear" w:color="000000" w:fill="FFFF00"/>
            <w:vAlign w:val="center"/>
            <w:hideMark/>
          </w:tcPr>
          <w:p w:rsidR="008C2DFF" w:rsidRPr="004F7453" w:rsidRDefault="008C2DFF"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Y</w:t>
            </w:r>
          </w:p>
        </w:tc>
      </w:tr>
      <w:tr w:rsidR="00937FCB" w:rsidRPr="004F7453" w:rsidTr="004F7453">
        <w:trPr>
          <w:trHeight w:val="625"/>
        </w:trPr>
        <w:tc>
          <w:tcPr>
            <w:tcW w:w="0" w:type="auto"/>
            <w:tcBorders>
              <w:top w:val="nil"/>
              <w:left w:val="single" w:sz="8" w:space="0" w:color="auto"/>
              <w:bottom w:val="single" w:sz="8" w:space="0" w:color="000000"/>
              <w:right w:val="single" w:sz="8" w:space="0" w:color="auto"/>
            </w:tcBorders>
            <w:shd w:val="clear" w:color="auto" w:fill="auto"/>
            <w:hideMark/>
          </w:tcPr>
          <w:p w:rsidR="008C2DFF" w:rsidRPr="00995466" w:rsidRDefault="008C2DFF" w:rsidP="008C2DFF">
            <w:pPr>
              <w:spacing w:after="0" w:line="240" w:lineRule="auto"/>
              <w:rPr>
                <w:rFonts w:ascii="Arial Narrow" w:hAnsi="Arial Narrow" w:cs="Arial"/>
                <w:color w:val="000000" w:themeColor="text1"/>
                <w:sz w:val="20"/>
                <w:szCs w:val="20"/>
                <w:lang w:eastAsia="en-NZ"/>
              </w:rPr>
            </w:pPr>
            <w:r w:rsidRPr="00995466">
              <w:rPr>
                <w:rFonts w:ascii="Arial Narrow" w:hAnsi="Arial Narrow" w:cs="Arial"/>
                <w:color w:val="000000" w:themeColor="text1"/>
                <w:sz w:val="20"/>
                <w:szCs w:val="20"/>
                <w:lang w:eastAsia="en-NZ"/>
              </w:rPr>
              <w:t>Symptom Monitoring</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Symptom monitoring involves the use of spirometry and other diagnostic tools to track disease progression in patients.</w:t>
            </w:r>
          </w:p>
        </w:tc>
        <w:tc>
          <w:tcPr>
            <w:tcW w:w="0" w:type="auto"/>
            <w:tcBorders>
              <w:top w:val="single" w:sz="4" w:space="0" w:color="auto"/>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Symptom monitoring already occurs as part of usual care</w:t>
            </w:r>
          </w:p>
        </w:tc>
        <w:tc>
          <w:tcPr>
            <w:tcW w:w="0" w:type="auto"/>
            <w:tcBorders>
              <w:top w:val="single" w:sz="4" w:space="0" w:color="auto"/>
              <w:left w:val="nil"/>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All COPD patients</w:t>
            </w:r>
          </w:p>
          <w:p w:rsidR="008C2DFF" w:rsidRPr="004F7453" w:rsidRDefault="008C2DFF"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(~138,000)</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Unknown+</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Sustainable (/)</w:t>
            </w:r>
          </w:p>
        </w:tc>
        <w:tc>
          <w:tcPr>
            <w:tcW w:w="0" w:type="auto"/>
            <w:tcBorders>
              <w:top w:val="nil"/>
              <w:left w:val="single" w:sz="8" w:space="0" w:color="auto"/>
              <w:bottom w:val="single" w:sz="8" w:space="0" w:color="000000"/>
              <w:right w:val="single" w:sz="8" w:space="0" w:color="auto"/>
            </w:tcBorders>
            <w:shd w:val="clear" w:color="auto" w:fill="auto"/>
            <w:hideMark/>
          </w:tcPr>
          <w:p w:rsidR="008C2DFF" w:rsidRPr="004F7453" w:rsidRDefault="008C2DFF" w:rsidP="008C2DFF">
            <w:pPr>
              <w:spacing w:after="0" w:line="240" w:lineRule="auto"/>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An additional GP visit a year to track progress</w:t>
            </w:r>
          </w:p>
        </w:tc>
        <w:tc>
          <w:tcPr>
            <w:tcW w:w="0" w:type="auto"/>
            <w:tcBorders>
              <w:top w:val="nil"/>
              <w:left w:val="single" w:sz="8" w:space="0" w:color="auto"/>
              <w:bottom w:val="single" w:sz="8" w:space="0" w:color="000000"/>
              <w:right w:val="single" w:sz="8" w:space="0" w:color="auto"/>
            </w:tcBorders>
            <w:shd w:val="clear" w:color="000000" w:fill="FFFF00"/>
            <w:vAlign w:val="center"/>
            <w:hideMark/>
          </w:tcPr>
          <w:p w:rsidR="008C2DFF" w:rsidRPr="004F7453" w:rsidRDefault="008C2DFF" w:rsidP="00915B9A">
            <w:pPr>
              <w:spacing w:after="0" w:line="240" w:lineRule="auto"/>
              <w:jc w:val="both"/>
              <w:rPr>
                <w:rFonts w:ascii="Arial Narrow" w:hAnsi="Arial Narrow" w:cs="Arial"/>
                <w:color w:val="000000"/>
                <w:sz w:val="20"/>
                <w:szCs w:val="20"/>
                <w:lang w:eastAsia="en-NZ"/>
              </w:rPr>
            </w:pPr>
            <w:r w:rsidRPr="004F7453">
              <w:rPr>
                <w:rFonts w:ascii="Arial Narrow" w:hAnsi="Arial Narrow" w:cs="Arial"/>
                <w:color w:val="000000"/>
                <w:sz w:val="20"/>
                <w:szCs w:val="20"/>
                <w:lang w:eastAsia="en-NZ"/>
              </w:rPr>
              <w:t>Y</w:t>
            </w:r>
          </w:p>
        </w:tc>
      </w:tr>
      <w:tr w:rsidR="008C2DFF" w:rsidRPr="004F7453" w:rsidTr="004F7453">
        <w:trPr>
          <w:trHeight w:val="117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C2DFF" w:rsidRPr="004F7453" w:rsidRDefault="008C2DFF" w:rsidP="008C2DFF">
            <w:pPr>
              <w:spacing w:after="80" w:line="240" w:lineRule="auto"/>
              <w:jc w:val="both"/>
              <w:rPr>
                <w:rFonts w:ascii="Arial Narrow" w:hAnsi="Arial Narrow" w:cs="Arial"/>
                <w:bCs/>
                <w:color w:val="000000"/>
                <w:sz w:val="20"/>
                <w:szCs w:val="20"/>
                <w:lang w:eastAsia="en-NZ"/>
              </w:rPr>
            </w:pPr>
            <w:r w:rsidRPr="004F7453">
              <w:rPr>
                <w:rFonts w:ascii="Arial Narrow" w:hAnsi="Arial Narrow" w:cs="Arial"/>
                <w:bCs/>
                <w:color w:val="000000"/>
                <w:sz w:val="20"/>
                <w:szCs w:val="20"/>
                <w:lang w:eastAsia="en-NZ"/>
              </w:rPr>
              <w:t xml:space="preserve">a </w:t>
            </w:r>
            <w:r w:rsidRPr="004F7453">
              <w:rPr>
                <w:rFonts w:ascii="Arial Narrow" w:hAnsi="Arial Narrow" w:cs="Arial"/>
                <w:b/>
                <w:bCs/>
                <w:color w:val="000000"/>
                <w:sz w:val="20"/>
                <w:szCs w:val="20"/>
                <w:lang w:eastAsia="en-NZ"/>
              </w:rPr>
              <w:t>Source:</w:t>
            </w:r>
            <w:r w:rsidRPr="004F7453">
              <w:rPr>
                <w:rFonts w:ascii="Arial Narrow" w:hAnsi="Arial Narrow" w:cs="Arial"/>
                <w:bCs/>
                <w:color w:val="000000"/>
                <w:sz w:val="20"/>
                <w:szCs w:val="20"/>
                <w:lang w:eastAsia="en-NZ"/>
              </w:rPr>
              <w:t xml:space="preserve"> * COPD-X; ** Cochrane; + Neither</w:t>
            </w:r>
          </w:p>
          <w:p w:rsidR="008C2DFF" w:rsidRPr="004F7453" w:rsidRDefault="008C2DFF" w:rsidP="008C2DFF">
            <w:pPr>
              <w:spacing w:after="80" w:line="240" w:lineRule="auto"/>
              <w:jc w:val="both"/>
              <w:rPr>
                <w:rFonts w:ascii="Arial Narrow" w:hAnsi="Arial Narrow" w:cs="Arial"/>
                <w:bCs/>
                <w:color w:val="000000"/>
                <w:sz w:val="20"/>
                <w:szCs w:val="20"/>
                <w:lang w:eastAsia="en-NZ"/>
              </w:rPr>
            </w:pPr>
            <w:r w:rsidRPr="004F7453">
              <w:rPr>
                <w:rFonts w:ascii="Arial Narrow" w:hAnsi="Arial Narrow" w:cs="Arial"/>
                <w:bCs/>
                <w:color w:val="000000"/>
                <w:sz w:val="20"/>
                <w:szCs w:val="20"/>
                <w:lang w:eastAsia="en-NZ"/>
              </w:rPr>
              <w:t xml:space="preserve">b </w:t>
            </w:r>
            <w:r w:rsidRPr="004F7453">
              <w:rPr>
                <w:rFonts w:ascii="Arial Narrow" w:hAnsi="Arial Narrow" w:cs="Arial"/>
                <w:b/>
                <w:bCs/>
                <w:color w:val="000000"/>
                <w:sz w:val="20"/>
                <w:szCs w:val="20"/>
                <w:lang w:eastAsia="en-NZ"/>
              </w:rPr>
              <w:t>Growth:</w:t>
            </w:r>
            <w:r w:rsidRPr="004F7453">
              <w:rPr>
                <w:rFonts w:ascii="Arial Narrow" w:hAnsi="Arial Narrow" w:cs="Arial"/>
                <w:bCs/>
                <w:color w:val="000000"/>
                <w:sz w:val="20"/>
                <w:szCs w:val="20"/>
                <w:lang w:eastAsia="en-NZ"/>
              </w:rPr>
              <w:t xml:space="preserve"> / Stable; + Growing; - Decreasing</w:t>
            </w:r>
          </w:p>
          <w:p w:rsidR="008C2DFF" w:rsidRPr="004F7453" w:rsidRDefault="008C2DFF" w:rsidP="00915B9A">
            <w:pPr>
              <w:spacing w:after="0" w:line="240" w:lineRule="auto"/>
              <w:rPr>
                <w:rFonts w:ascii="Arial Narrow" w:hAnsi="Arial Narrow" w:cs="Arial"/>
                <w:b/>
                <w:bCs/>
                <w:color w:val="000000"/>
                <w:sz w:val="20"/>
                <w:szCs w:val="20"/>
                <w:lang w:eastAsia="en-NZ"/>
              </w:rPr>
            </w:pPr>
            <w:r w:rsidRPr="004F7453">
              <w:rPr>
                <w:rFonts w:ascii="Arial Narrow" w:hAnsi="Arial Narrow" w:cs="Arial"/>
                <w:bCs/>
                <w:color w:val="000000"/>
                <w:sz w:val="20"/>
                <w:szCs w:val="20"/>
                <w:lang w:eastAsia="en-NZ"/>
              </w:rPr>
              <w:t xml:space="preserve">c </w:t>
            </w:r>
            <w:r w:rsidRPr="004F7453">
              <w:rPr>
                <w:rFonts w:ascii="Arial Narrow" w:hAnsi="Arial Narrow" w:cs="Arial"/>
                <w:b/>
                <w:bCs/>
                <w:color w:val="000000"/>
                <w:sz w:val="20"/>
                <w:szCs w:val="20"/>
                <w:lang w:eastAsia="en-NZ"/>
              </w:rPr>
              <w:t>Value of NHC assessment</w:t>
            </w:r>
            <w:r w:rsidRPr="004F7453">
              <w:rPr>
                <w:rFonts w:ascii="Arial Narrow" w:hAnsi="Arial Narrow" w:cs="Arial"/>
                <w:bCs/>
                <w:color w:val="000000"/>
                <w:sz w:val="20"/>
                <w:szCs w:val="20"/>
                <w:lang w:eastAsia="en-NZ"/>
              </w:rPr>
              <w:t>: red (R)  = little value;  yellow (Y) = some value; green (G) = high value.</w:t>
            </w:r>
          </w:p>
        </w:tc>
      </w:tr>
    </w:tbl>
    <w:p w:rsidR="00915B9A" w:rsidRPr="00915B9A" w:rsidRDefault="00915B9A" w:rsidP="00915B9A">
      <w:pPr>
        <w:rPr>
          <w:lang w:val="en-GB" w:eastAsia="en-GB"/>
        </w:rPr>
      </w:pPr>
    </w:p>
    <w:p w:rsidR="009D13DE" w:rsidRDefault="009D13DE" w:rsidP="00C54A8A">
      <w:pPr>
        <w:jc w:val="both"/>
        <w:sectPr w:rsidR="009D13DE" w:rsidSect="00B9022E">
          <w:headerReference w:type="default" r:id="rId27"/>
          <w:footerReference w:type="default" r:id="rId28"/>
          <w:headerReference w:type="first" r:id="rId29"/>
          <w:pgSz w:w="23814" w:h="16839" w:orient="landscape" w:code="8"/>
          <w:pgMar w:top="0" w:right="720" w:bottom="0" w:left="720" w:header="425" w:footer="425" w:gutter="0"/>
          <w:cols w:space="708"/>
          <w:docGrid w:linePitch="360"/>
        </w:sectPr>
      </w:pPr>
    </w:p>
    <w:p w:rsidR="0029045E" w:rsidRDefault="0029045E" w:rsidP="00C54A8A">
      <w:pPr>
        <w:pStyle w:val="Heading1"/>
        <w:jc w:val="both"/>
      </w:pPr>
      <w:bookmarkStart w:id="117" w:name="_Toc382574744"/>
      <w:r>
        <w:t>Respiratory Working Group Commentary</w:t>
      </w:r>
      <w:bookmarkEnd w:id="117"/>
    </w:p>
    <w:p w:rsidR="0029045E" w:rsidRPr="00242418" w:rsidRDefault="0029045E" w:rsidP="00C54A8A">
      <w:pPr>
        <w:jc w:val="both"/>
      </w:pPr>
      <w:r>
        <w:rPr>
          <w:szCs w:val="22"/>
        </w:rPr>
        <w:t xml:space="preserve">On 29 January 2014, the </w:t>
      </w:r>
      <w:r w:rsidR="00E222C2">
        <w:rPr>
          <w:szCs w:val="22"/>
        </w:rPr>
        <w:t>RWG</w:t>
      </w:r>
      <w:r w:rsidR="00F74054">
        <w:rPr>
          <w:szCs w:val="22"/>
        </w:rPr>
        <w:t xml:space="preserve"> </w:t>
      </w:r>
      <w:r>
        <w:rPr>
          <w:szCs w:val="22"/>
        </w:rPr>
        <w:t xml:space="preserve">met in Auckland to discuss which areas along the COPD pathway of care had potential for improvement in both health gain and reduced expenditure.  The discussions from this meeting are contained in Appendix 4.  </w:t>
      </w:r>
      <w:r w:rsidRPr="00242418">
        <w:t>Aft</w:t>
      </w:r>
      <w:r>
        <w:t>er discussion with the RWG, the list of</w:t>
      </w:r>
      <w:r w:rsidRPr="00242418">
        <w:t xml:space="preserve"> </w:t>
      </w:r>
      <w:r>
        <w:t xml:space="preserve">proposed </w:t>
      </w:r>
      <w:r w:rsidRPr="00242418">
        <w:t xml:space="preserve">interventions </w:t>
      </w:r>
      <w:r>
        <w:t xml:space="preserve">in </w:t>
      </w:r>
      <w:r w:rsidR="00E222C2">
        <w:t xml:space="preserve">Section </w:t>
      </w:r>
      <w:r w:rsidR="00E222C2">
        <w:fldChar w:fldCharType="begin"/>
      </w:r>
      <w:r w:rsidR="00E222C2">
        <w:instrText xml:space="preserve"> REF _Ref382488412 \r \h </w:instrText>
      </w:r>
      <w:r w:rsidR="00C54A8A">
        <w:instrText xml:space="preserve"> \* MERGEFORMAT </w:instrText>
      </w:r>
      <w:r w:rsidR="00E222C2">
        <w:fldChar w:fldCharType="separate"/>
      </w:r>
      <w:r w:rsidR="000B70CE">
        <w:t>7</w:t>
      </w:r>
      <w:r w:rsidR="00E222C2">
        <w:fldChar w:fldCharType="end"/>
      </w:r>
      <w:r>
        <w:t xml:space="preserve"> </w:t>
      </w:r>
      <w:r w:rsidRPr="00242418">
        <w:t>was narrowed d</w:t>
      </w:r>
      <w:r>
        <w:t>own to 7 possible interventions:</w:t>
      </w:r>
    </w:p>
    <w:p w:rsidR="0029045E" w:rsidRPr="00242418" w:rsidRDefault="0029045E" w:rsidP="00C54A8A">
      <w:pPr>
        <w:pStyle w:val="ListParagraph"/>
        <w:numPr>
          <w:ilvl w:val="0"/>
          <w:numId w:val="26"/>
        </w:numPr>
        <w:jc w:val="both"/>
      </w:pPr>
      <w:r w:rsidRPr="00242418">
        <w:t>Earlier diagnosis through targeted case finding</w:t>
      </w:r>
    </w:p>
    <w:p w:rsidR="0029045E" w:rsidRPr="00242418" w:rsidRDefault="0029045E" w:rsidP="00C54A8A">
      <w:pPr>
        <w:pStyle w:val="ListParagraph"/>
        <w:numPr>
          <w:ilvl w:val="0"/>
          <w:numId w:val="26"/>
        </w:numPr>
        <w:jc w:val="both"/>
      </w:pPr>
      <w:r w:rsidRPr="00242418">
        <w:t xml:space="preserve">Pulmonary rehabilitation </w:t>
      </w:r>
      <w:r w:rsidR="00E222C2">
        <w:t xml:space="preserve">(PR) </w:t>
      </w:r>
      <w:r w:rsidRPr="00242418">
        <w:t>(2 scenarios)</w:t>
      </w:r>
    </w:p>
    <w:p w:rsidR="0029045E" w:rsidRPr="00242418" w:rsidRDefault="0029045E" w:rsidP="00C54A8A">
      <w:pPr>
        <w:pStyle w:val="ListParagraph"/>
        <w:numPr>
          <w:ilvl w:val="0"/>
          <w:numId w:val="26"/>
        </w:numPr>
        <w:jc w:val="both"/>
      </w:pPr>
      <w:r w:rsidRPr="00242418">
        <w:t>Non-</w:t>
      </w:r>
      <w:r w:rsidR="00E222C2">
        <w:t>i</w:t>
      </w:r>
      <w:r w:rsidRPr="00242418">
        <w:t>nvasive ventilation (NIV) variation</w:t>
      </w:r>
    </w:p>
    <w:p w:rsidR="0029045E" w:rsidRPr="00242418" w:rsidRDefault="0029045E" w:rsidP="00C54A8A">
      <w:pPr>
        <w:pStyle w:val="ListParagraph"/>
        <w:numPr>
          <w:ilvl w:val="0"/>
          <w:numId w:val="26"/>
        </w:numPr>
        <w:jc w:val="both"/>
      </w:pPr>
      <w:r w:rsidRPr="00242418">
        <w:t>Long-term oxygen therapy variation</w:t>
      </w:r>
    </w:p>
    <w:p w:rsidR="0029045E" w:rsidRPr="00242418" w:rsidRDefault="0029045E" w:rsidP="00C54A8A">
      <w:pPr>
        <w:pStyle w:val="ListParagraph"/>
        <w:numPr>
          <w:ilvl w:val="0"/>
          <w:numId w:val="26"/>
        </w:numPr>
        <w:jc w:val="both"/>
      </w:pPr>
      <w:r w:rsidRPr="00242418">
        <w:t>Case management</w:t>
      </w:r>
    </w:p>
    <w:p w:rsidR="0029045E" w:rsidRPr="00242418" w:rsidRDefault="001E007B" w:rsidP="00C54A8A">
      <w:pPr>
        <w:pStyle w:val="ListParagraph"/>
        <w:numPr>
          <w:ilvl w:val="0"/>
          <w:numId w:val="26"/>
        </w:numPr>
        <w:jc w:val="both"/>
      </w:pPr>
      <w:r>
        <w:t>Advance care planning (ACP)</w:t>
      </w:r>
    </w:p>
    <w:p w:rsidR="0029045E" w:rsidRPr="00242418" w:rsidRDefault="0029045E" w:rsidP="00C54A8A">
      <w:pPr>
        <w:pStyle w:val="ListParagraph"/>
        <w:numPr>
          <w:ilvl w:val="0"/>
          <w:numId w:val="26"/>
        </w:numPr>
        <w:jc w:val="both"/>
      </w:pPr>
      <w:r w:rsidRPr="00242418">
        <w:t>Clinical monitoring of symptoms</w:t>
      </w:r>
    </w:p>
    <w:p w:rsidR="0029045E" w:rsidRDefault="0029045E" w:rsidP="00C54A8A">
      <w:pPr>
        <w:jc w:val="both"/>
      </w:pPr>
      <w:r>
        <w:t xml:space="preserve">The RWG did not refer any interventions to HIP.  </w:t>
      </w:r>
      <w:r w:rsidRPr="00242418">
        <w:t xml:space="preserve">The RWG also reiterated that they would like to see services moved from hospital into the community where possible and that care should be integrated throughout the patient journey.  Some of the proposed changes are more material and feasible to implement than others.  </w:t>
      </w:r>
    </w:p>
    <w:p w:rsidR="000B1B60" w:rsidRDefault="0059413C" w:rsidP="00C54A8A">
      <w:pPr>
        <w:pStyle w:val="Heading1"/>
        <w:jc w:val="both"/>
      </w:pPr>
      <w:bookmarkStart w:id="118" w:name="_Toc382574745"/>
      <w:r>
        <w:t>NHC Executive Perspective</w:t>
      </w:r>
      <w:bookmarkEnd w:id="118"/>
    </w:p>
    <w:p w:rsidR="0059413C" w:rsidRDefault="0059413C" w:rsidP="00C54A8A">
      <w:pPr>
        <w:jc w:val="both"/>
        <w:rPr>
          <w:lang w:val="en-GB" w:eastAsia="en-GB"/>
        </w:rPr>
      </w:pPr>
      <w:r>
        <w:rPr>
          <w:lang w:val="en-GB" w:eastAsia="en-GB"/>
        </w:rPr>
        <w:t>The purpose of this section is to highlight areas we think are material enough to warrant further work.  It is based on data as well as con</w:t>
      </w:r>
      <w:r w:rsidR="0029045E">
        <w:rPr>
          <w:lang w:val="en-GB" w:eastAsia="en-GB"/>
        </w:rPr>
        <w:t xml:space="preserve">sultation with various DHBs, </w:t>
      </w:r>
      <w:r>
        <w:rPr>
          <w:lang w:val="en-GB" w:eastAsia="en-GB"/>
        </w:rPr>
        <w:t>clinicians</w:t>
      </w:r>
      <w:r w:rsidR="0029045E">
        <w:rPr>
          <w:lang w:val="en-GB" w:eastAsia="en-GB"/>
        </w:rPr>
        <w:t xml:space="preserve"> and the RWG</w:t>
      </w:r>
      <w:r>
        <w:rPr>
          <w:lang w:val="en-GB" w:eastAsia="en-GB"/>
        </w:rPr>
        <w:t xml:space="preserve">.  It is one way of looking at the evidence and is not intended as a final conclusion or recommendation.  </w:t>
      </w:r>
    </w:p>
    <w:p w:rsidR="002A39E3" w:rsidRDefault="002A39E3" w:rsidP="00C54A8A">
      <w:pPr>
        <w:jc w:val="both"/>
        <w:rPr>
          <w:lang w:val="en-GB" w:eastAsia="en-GB"/>
        </w:rPr>
      </w:pPr>
      <w:r>
        <w:rPr>
          <w:lang w:val="en-GB" w:eastAsia="en-GB"/>
        </w:rPr>
        <w:t xml:space="preserve">This report highlights a few key </w:t>
      </w:r>
      <w:r w:rsidR="0095238C">
        <w:rPr>
          <w:lang w:val="en-GB" w:eastAsia="en-GB"/>
        </w:rPr>
        <w:t>findings</w:t>
      </w:r>
      <w:r>
        <w:rPr>
          <w:lang w:val="en-GB" w:eastAsia="en-GB"/>
        </w:rPr>
        <w:t xml:space="preserve"> regarding COPD in New Zealand that may help to improve the pathway of care.  First, although moderate-severe</w:t>
      </w:r>
      <w:r w:rsidR="00315AE4">
        <w:rPr>
          <w:lang w:val="en-GB" w:eastAsia="en-GB"/>
        </w:rPr>
        <w:t xml:space="preserve"> exacerbations</w:t>
      </w:r>
      <w:r>
        <w:rPr>
          <w:lang w:val="en-GB" w:eastAsia="en-GB"/>
        </w:rPr>
        <w:t xml:space="preserve"> and end</w:t>
      </w:r>
      <w:r w:rsidR="00315AE4">
        <w:rPr>
          <w:lang w:val="en-GB" w:eastAsia="en-GB"/>
        </w:rPr>
        <w:t>-</w:t>
      </w:r>
      <w:r>
        <w:rPr>
          <w:lang w:val="en-GB" w:eastAsia="en-GB"/>
        </w:rPr>
        <w:t xml:space="preserve">stage </w:t>
      </w:r>
      <w:r w:rsidR="00315AE4">
        <w:rPr>
          <w:lang w:val="en-GB" w:eastAsia="en-GB"/>
        </w:rPr>
        <w:t xml:space="preserve">COPD </w:t>
      </w:r>
      <w:r w:rsidR="0029045E">
        <w:rPr>
          <w:lang w:val="en-GB" w:eastAsia="en-GB"/>
        </w:rPr>
        <w:t>account for only about 6</w:t>
      </w:r>
      <w:r>
        <w:rPr>
          <w:lang w:val="en-GB" w:eastAsia="en-GB"/>
        </w:rPr>
        <w:t>% of COPD patients</w:t>
      </w:r>
      <w:r w:rsidR="00402750">
        <w:rPr>
          <w:lang w:val="en-GB" w:eastAsia="en-GB"/>
        </w:rPr>
        <w:t xml:space="preserve">, they account for </w:t>
      </w:r>
      <w:r w:rsidR="00315AE4">
        <w:rPr>
          <w:lang w:val="en-GB" w:eastAsia="en-GB"/>
        </w:rPr>
        <w:t>nearly half</w:t>
      </w:r>
      <w:r>
        <w:rPr>
          <w:lang w:val="en-GB" w:eastAsia="en-GB"/>
        </w:rPr>
        <w:t xml:space="preserve"> of </w:t>
      </w:r>
      <w:r w:rsidR="00315AE4">
        <w:rPr>
          <w:lang w:val="en-GB" w:eastAsia="en-GB"/>
        </w:rPr>
        <w:t xml:space="preserve">all the </w:t>
      </w:r>
      <w:r w:rsidR="0029045E">
        <w:rPr>
          <w:lang w:val="en-GB" w:eastAsia="en-GB"/>
        </w:rPr>
        <w:t>costs.  Within this 6</w:t>
      </w:r>
      <w:r>
        <w:rPr>
          <w:lang w:val="en-GB" w:eastAsia="en-GB"/>
        </w:rPr>
        <w:t xml:space="preserve">%, </w:t>
      </w:r>
      <w:r w:rsidR="00402750">
        <w:rPr>
          <w:lang w:val="en-GB" w:eastAsia="en-GB"/>
        </w:rPr>
        <w:t>high-deprivation</w:t>
      </w:r>
      <w:r>
        <w:rPr>
          <w:lang w:val="en-GB" w:eastAsia="en-GB"/>
        </w:rPr>
        <w:t xml:space="preserve"> </w:t>
      </w:r>
      <w:r w:rsidR="00402750">
        <w:rPr>
          <w:lang w:val="en-GB" w:eastAsia="en-GB"/>
        </w:rPr>
        <w:t>Māori</w:t>
      </w:r>
      <w:r>
        <w:rPr>
          <w:lang w:val="en-GB" w:eastAsia="en-GB"/>
        </w:rPr>
        <w:t xml:space="preserve"> patients have the highest average cost.  This is especially true for end</w:t>
      </w:r>
      <w:r w:rsidR="00315AE4">
        <w:rPr>
          <w:lang w:val="en-GB" w:eastAsia="en-GB"/>
        </w:rPr>
        <w:t>-</w:t>
      </w:r>
      <w:r>
        <w:rPr>
          <w:lang w:val="en-GB" w:eastAsia="en-GB"/>
        </w:rPr>
        <w:t xml:space="preserve">stage disease care.  Adjusting the pathway of care to address </w:t>
      </w:r>
      <w:r w:rsidR="00402750">
        <w:rPr>
          <w:lang w:val="en-GB" w:eastAsia="en-GB"/>
        </w:rPr>
        <w:t>Māori</w:t>
      </w:r>
      <w:r>
        <w:rPr>
          <w:lang w:val="en-GB" w:eastAsia="en-GB"/>
        </w:rPr>
        <w:t xml:space="preserve"> and high-deprivation health needs would likely lead to health savings through fewer moderate-severe exacerbations and </w:t>
      </w:r>
      <w:r w:rsidR="00DD7A52">
        <w:rPr>
          <w:lang w:val="en-GB" w:eastAsia="en-GB"/>
        </w:rPr>
        <w:t xml:space="preserve">better use </w:t>
      </w:r>
      <w:r>
        <w:rPr>
          <w:lang w:val="en-GB" w:eastAsia="en-GB"/>
        </w:rPr>
        <w:t>of end</w:t>
      </w:r>
      <w:r w:rsidR="00315AE4">
        <w:rPr>
          <w:lang w:val="en-GB" w:eastAsia="en-GB"/>
        </w:rPr>
        <w:t>-</w:t>
      </w:r>
      <w:r>
        <w:rPr>
          <w:lang w:val="en-GB" w:eastAsia="en-GB"/>
        </w:rPr>
        <w:t>stage care.</w:t>
      </w:r>
    </w:p>
    <w:p w:rsidR="002A39E3" w:rsidRDefault="002A39E3" w:rsidP="00C54A8A">
      <w:pPr>
        <w:jc w:val="both"/>
        <w:rPr>
          <w:lang w:val="en-GB" w:eastAsia="en-GB"/>
        </w:rPr>
      </w:pPr>
      <w:r>
        <w:rPr>
          <w:lang w:val="en-GB" w:eastAsia="en-GB"/>
        </w:rPr>
        <w:t xml:space="preserve">Across DHBs, there exists disparity with regards to </w:t>
      </w:r>
      <w:r w:rsidR="00315AE4">
        <w:rPr>
          <w:lang w:val="en-GB" w:eastAsia="en-GB"/>
        </w:rPr>
        <w:t xml:space="preserve">hospital </w:t>
      </w:r>
      <w:r>
        <w:rPr>
          <w:lang w:val="en-GB" w:eastAsia="en-GB"/>
        </w:rPr>
        <w:t xml:space="preserve">discharge, non-admitted ED and readmission rates for high-deprivation </w:t>
      </w:r>
      <w:r w:rsidR="00402750">
        <w:rPr>
          <w:lang w:val="en-GB" w:eastAsia="en-GB"/>
        </w:rPr>
        <w:t>Māori</w:t>
      </w:r>
      <w:r>
        <w:rPr>
          <w:lang w:val="en-GB" w:eastAsia="en-GB"/>
        </w:rPr>
        <w:t xml:space="preserve"> COPD patients.  Although</w:t>
      </w:r>
      <w:r w:rsidR="0095238C">
        <w:rPr>
          <w:lang w:val="en-GB" w:eastAsia="en-GB"/>
        </w:rPr>
        <w:t xml:space="preserve"> the driving factors behind these disparities</w:t>
      </w:r>
      <w:r>
        <w:rPr>
          <w:lang w:val="en-GB" w:eastAsia="en-GB"/>
        </w:rPr>
        <w:t xml:space="preserve"> are unclear,</w:t>
      </w:r>
      <w:r w:rsidR="0095238C">
        <w:rPr>
          <w:lang w:val="en-GB" w:eastAsia="en-GB"/>
        </w:rPr>
        <w:t xml:space="preserve"> these </w:t>
      </w:r>
      <w:r>
        <w:rPr>
          <w:lang w:val="en-GB" w:eastAsia="en-GB"/>
        </w:rPr>
        <w:t>finding</w:t>
      </w:r>
      <w:r w:rsidR="0095238C">
        <w:rPr>
          <w:lang w:val="en-GB" w:eastAsia="en-GB"/>
        </w:rPr>
        <w:t>s indicate</w:t>
      </w:r>
      <w:r>
        <w:rPr>
          <w:lang w:val="en-GB" w:eastAsia="en-GB"/>
        </w:rPr>
        <w:t xml:space="preserve"> that there is potential</w:t>
      </w:r>
      <w:r w:rsidR="00315AE4">
        <w:rPr>
          <w:lang w:val="en-GB" w:eastAsia="en-GB"/>
        </w:rPr>
        <w:t xml:space="preserve"> for more efficacious</w:t>
      </w:r>
      <w:r w:rsidR="00DD7A52">
        <w:rPr>
          <w:lang w:val="en-GB" w:eastAsia="en-GB"/>
        </w:rPr>
        <w:t xml:space="preserve"> regional</w:t>
      </w:r>
      <w:r w:rsidR="00315AE4">
        <w:rPr>
          <w:lang w:val="en-GB" w:eastAsia="en-GB"/>
        </w:rPr>
        <w:t xml:space="preserve"> service del</w:t>
      </w:r>
      <w:r w:rsidR="00DD7A52">
        <w:rPr>
          <w:lang w:val="en-GB" w:eastAsia="en-GB"/>
        </w:rPr>
        <w:t>ivery</w:t>
      </w:r>
      <w:r>
        <w:rPr>
          <w:lang w:val="en-GB" w:eastAsia="en-GB"/>
        </w:rPr>
        <w:t xml:space="preserve"> that would improve health outcomes for </w:t>
      </w:r>
      <w:r w:rsidR="00402750">
        <w:rPr>
          <w:lang w:val="en-GB" w:eastAsia="en-GB"/>
        </w:rPr>
        <w:t>high-deprivation</w:t>
      </w:r>
      <w:r>
        <w:rPr>
          <w:lang w:val="en-GB" w:eastAsia="en-GB"/>
        </w:rPr>
        <w:t xml:space="preserve"> </w:t>
      </w:r>
      <w:r w:rsidR="00402750">
        <w:rPr>
          <w:lang w:val="en-GB" w:eastAsia="en-GB"/>
        </w:rPr>
        <w:t>Māori</w:t>
      </w:r>
      <w:r w:rsidR="0095238C">
        <w:rPr>
          <w:lang w:val="en-GB" w:eastAsia="en-GB"/>
        </w:rPr>
        <w:t>, in particular,</w:t>
      </w:r>
      <w:r>
        <w:rPr>
          <w:lang w:val="en-GB" w:eastAsia="en-GB"/>
        </w:rPr>
        <w:t xml:space="preserve"> and reduce health expenditure</w:t>
      </w:r>
      <w:r w:rsidR="00315AE4">
        <w:rPr>
          <w:lang w:val="en-GB" w:eastAsia="en-GB"/>
        </w:rPr>
        <w:t xml:space="preserve"> nationally</w:t>
      </w:r>
      <w:r>
        <w:rPr>
          <w:lang w:val="en-GB" w:eastAsia="en-GB"/>
        </w:rPr>
        <w:t>.</w:t>
      </w:r>
    </w:p>
    <w:p w:rsidR="002A39E3" w:rsidRDefault="0095238C" w:rsidP="00C54A8A">
      <w:pPr>
        <w:jc w:val="both"/>
        <w:rPr>
          <w:lang w:val="en-GB" w:eastAsia="en-GB"/>
        </w:rPr>
      </w:pPr>
      <w:r>
        <w:rPr>
          <w:lang w:val="en-GB" w:eastAsia="en-GB"/>
        </w:rPr>
        <w:t>Generally speaking, there are</w:t>
      </w:r>
      <w:r w:rsidR="002A39E3">
        <w:rPr>
          <w:lang w:val="en-GB" w:eastAsia="en-GB"/>
        </w:rPr>
        <w:t xml:space="preserve"> barriers within COPD care provision that </w:t>
      </w:r>
      <w:r w:rsidR="0029045E">
        <w:rPr>
          <w:lang w:val="en-GB" w:eastAsia="en-GB"/>
        </w:rPr>
        <w:t xml:space="preserve">may </w:t>
      </w:r>
      <w:r w:rsidR="002A39E3">
        <w:rPr>
          <w:lang w:val="en-GB" w:eastAsia="en-GB"/>
        </w:rPr>
        <w:t xml:space="preserve">prevent patients from receiving proper medical management.  These barriers </w:t>
      </w:r>
      <w:r w:rsidR="00315AE4">
        <w:rPr>
          <w:lang w:val="en-GB" w:eastAsia="en-GB"/>
        </w:rPr>
        <w:t>a</w:t>
      </w:r>
      <w:r w:rsidR="002A39E3">
        <w:rPr>
          <w:lang w:val="en-GB" w:eastAsia="en-GB"/>
        </w:rPr>
        <w:t xml:space="preserve">ffect all COPD patients but have a magnified impact on </w:t>
      </w:r>
      <w:r w:rsidR="00402750">
        <w:rPr>
          <w:lang w:val="en-GB" w:eastAsia="en-GB"/>
        </w:rPr>
        <w:t>Māori</w:t>
      </w:r>
      <w:r w:rsidR="002A39E3">
        <w:rPr>
          <w:lang w:val="en-GB" w:eastAsia="en-GB"/>
        </w:rPr>
        <w:t xml:space="preserve"> and </w:t>
      </w:r>
      <w:r w:rsidR="00402750">
        <w:rPr>
          <w:lang w:val="en-GB" w:eastAsia="en-GB"/>
        </w:rPr>
        <w:t>high-deprivation</w:t>
      </w:r>
      <w:r w:rsidR="002A39E3">
        <w:rPr>
          <w:lang w:val="en-GB" w:eastAsia="en-GB"/>
        </w:rPr>
        <w:t xml:space="preserve"> patients.  Firstly, COPD is thought to be underdiagnosed</w:t>
      </w:r>
      <w:r w:rsidR="008620B0">
        <w:rPr>
          <w:lang w:val="en-GB" w:eastAsia="en-GB"/>
        </w:rPr>
        <w:t xml:space="preserve">.  </w:t>
      </w:r>
      <w:r w:rsidR="002A39E3">
        <w:rPr>
          <w:lang w:val="en-GB" w:eastAsia="en-GB"/>
        </w:rPr>
        <w:t xml:space="preserve">This may be due to a combination of factors including manifestation of symptoms later in the disease, issues with </w:t>
      </w:r>
      <w:r w:rsidR="00E7059A">
        <w:rPr>
          <w:lang w:val="en-GB" w:eastAsia="en-GB"/>
        </w:rPr>
        <w:t>access to spirometry</w:t>
      </w:r>
      <w:r w:rsidR="002A39E3">
        <w:rPr>
          <w:lang w:val="en-GB" w:eastAsia="en-GB"/>
        </w:rPr>
        <w:t xml:space="preserve"> and difficulty targeting/tracking COPD patients.  Under</w:t>
      </w:r>
      <w:r w:rsidR="0029045E">
        <w:rPr>
          <w:lang w:val="en-GB" w:eastAsia="en-GB"/>
        </w:rPr>
        <w:t>-</w:t>
      </w:r>
      <w:r w:rsidR="002A39E3">
        <w:rPr>
          <w:lang w:val="en-GB" w:eastAsia="en-GB"/>
        </w:rPr>
        <w:t>diagnosis has a flow-on effect of further skewing the primary/secondary care interface to ensure continuity of care.</w:t>
      </w:r>
      <w:r w:rsidR="00F25F63">
        <w:rPr>
          <w:lang w:val="en-GB" w:eastAsia="en-GB"/>
        </w:rPr>
        <w:t xml:space="preserve">  </w:t>
      </w:r>
      <w:r w:rsidR="0059413C">
        <w:rPr>
          <w:lang w:val="en-GB" w:eastAsia="en-GB"/>
        </w:rPr>
        <w:t xml:space="preserve">It may also partly explain what is driving exacerbation rates since many COPD patients are diagnosed late in the disease when treatment costs are higher.  </w:t>
      </w:r>
      <w:r w:rsidR="00F25F63">
        <w:rPr>
          <w:lang w:val="en-GB" w:eastAsia="en-GB"/>
        </w:rPr>
        <w:t xml:space="preserve">Spirometry, though, is just one aspect of diagnosis.  </w:t>
      </w:r>
      <w:r w:rsidR="0029045E">
        <w:rPr>
          <w:lang w:val="en-GB" w:eastAsia="en-GB"/>
        </w:rPr>
        <w:t>A combined assessment of targeted case-finding</w:t>
      </w:r>
      <w:r w:rsidR="008620B0">
        <w:rPr>
          <w:lang w:val="en-GB" w:eastAsia="en-GB"/>
        </w:rPr>
        <w:t xml:space="preserve"> (of smokers with a chronic cough)</w:t>
      </w:r>
      <w:r w:rsidR="0029045E">
        <w:rPr>
          <w:lang w:val="en-GB" w:eastAsia="en-GB"/>
        </w:rPr>
        <w:t xml:space="preserve"> and</w:t>
      </w:r>
      <w:r w:rsidR="00F25F63">
        <w:rPr>
          <w:lang w:val="en-GB" w:eastAsia="en-GB"/>
        </w:rPr>
        <w:t xml:space="preserve"> spirometry </w:t>
      </w:r>
      <w:r w:rsidR="0029045E">
        <w:rPr>
          <w:lang w:val="en-GB" w:eastAsia="en-GB"/>
        </w:rPr>
        <w:t>could help to improve health outcomes</w:t>
      </w:r>
      <w:r w:rsidR="008620B0">
        <w:rPr>
          <w:lang w:val="en-GB" w:eastAsia="en-GB"/>
        </w:rPr>
        <w:t xml:space="preserve"> by increasing diagnosis rates by 12.5%-25%</w:t>
      </w:r>
      <w:r w:rsidR="008620B0">
        <w:rPr>
          <w:rStyle w:val="FootnoteReference"/>
          <w:lang w:val="en-GB" w:eastAsia="en-GB"/>
        </w:rPr>
        <w:footnoteReference w:id="4"/>
      </w:r>
      <w:r w:rsidR="008620B0">
        <w:rPr>
          <w:lang w:val="en-GB" w:eastAsia="en-GB"/>
        </w:rPr>
        <w:t xml:space="preserve"> over current levels</w:t>
      </w:r>
      <w:r w:rsidR="008620B0">
        <w:rPr>
          <w:lang w:val="en-GB" w:eastAsia="en-GB"/>
        </w:rPr>
        <w:fldChar w:fldCharType="begin"/>
      </w:r>
      <w:r w:rsidR="00937FCB">
        <w:rPr>
          <w:lang w:val="en-GB" w:eastAsia="en-GB"/>
        </w:rPr>
        <w:instrText xml:space="preserve"> ADDIN EN.CITE &lt;EndNote&gt;&lt;Cite&gt;&lt;Author&gt;Van Schayck&lt;/Author&gt;&lt;Year&gt;2002&lt;/Year&gt;&lt;RecNum&gt;840&lt;/RecNum&gt;&lt;DisplayText&gt;&lt;style face="superscript"&gt;(24)&lt;/style&gt;&lt;/DisplayText&gt;&lt;record&gt;&lt;rec-number&gt;840&lt;/rec-number&gt;&lt;foreign-keys&gt;&lt;key app="EN" db-id="paxef0v91tx5e7eaev8xxf2xd92zvrfrv592"&gt;840&lt;/key&gt;&lt;/foreign-keys&gt;&lt;ref-type name="Journal Article"&gt;17&lt;/ref-type&gt;&lt;contributors&gt;&lt;authors&gt;&lt;author&gt;Van Schayck, CP&lt;/author&gt;&lt;author&gt;Loozen, JMC&lt;/author&gt;&lt;author&gt;Wagena, E&lt;/author&gt;&lt;author&gt;Akkermans, RP&lt;/author&gt;&lt;author&gt;Wesseling, GJ&lt;/author&gt;&lt;/authors&gt;&lt;/contributors&gt;&lt;titles&gt;&lt;title&gt;Detecting patients at a high risk of developing chronic obstructive pulmonary disease in general practice: cross sectional case finding study&lt;/title&gt;&lt;secondary-title&gt;Bmj&lt;/secondary-title&gt;&lt;/titles&gt;&lt;periodical&gt;&lt;full-title&gt;BMJ&lt;/full-title&gt;&lt;/periodical&gt;&lt;pages&gt;1370&lt;/pages&gt;&lt;volume&gt;324&lt;/volume&gt;&lt;number&gt;7350&lt;/number&gt;&lt;dates&gt;&lt;year&gt;2002&lt;/year&gt;&lt;/dates&gt;&lt;isbn&gt;0959-8138&lt;/isbn&gt;&lt;urls&gt;&lt;/urls&gt;&lt;/record&gt;&lt;/Cite&gt;&lt;/EndNote&gt;</w:instrText>
      </w:r>
      <w:r w:rsidR="008620B0">
        <w:rPr>
          <w:lang w:val="en-GB" w:eastAsia="en-GB"/>
        </w:rPr>
        <w:fldChar w:fldCharType="separate"/>
      </w:r>
      <w:r w:rsidR="00937FCB" w:rsidRPr="00937FCB">
        <w:rPr>
          <w:noProof/>
          <w:vertAlign w:val="superscript"/>
          <w:lang w:val="en-GB" w:eastAsia="en-GB"/>
        </w:rPr>
        <w:t>(</w:t>
      </w:r>
      <w:hyperlink w:anchor="_ENREF_24" w:tooltip="Van Schayck, 2002 #840" w:history="1">
        <w:r w:rsidR="0029347A" w:rsidRPr="00937FCB">
          <w:rPr>
            <w:noProof/>
            <w:vertAlign w:val="superscript"/>
            <w:lang w:val="en-GB" w:eastAsia="en-GB"/>
          </w:rPr>
          <w:t>24</w:t>
        </w:r>
      </w:hyperlink>
      <w:r w:rsidR="00937FCB" w:rsidRPr="00937FCB">
        <w:rPr>
          <w:noProof/>
          <w:vertAlign w:val="superscript"/>
          <w:lang w:val="en-GB" w:eastAsia="en-GB"/>
        </w:rPr>
        <w:t>)</w:t>
      </w:r>
      <w:r w:rsidR="008620B0">
        <w:rPr>
          <w:lang w:val="en-GB" w:eastAsia="en-GB"/>
        </w:rPr>
        <w:fldChar w:fldCharType="end"/>
      </w:r>
      <w:r w:rsidR="008620B0">
        <w:rPr>
          <w:lang w:val="en-GB" w:eastAsia="en-GB"/>
        </w:rPr>
        <w:t xml:space="preserve">. </w:t>
      </w:r>
    </w:p>
    <w:p w:rsidR="002A39E3" w:rsidRPr="0029045E" w:rsidRDefault="002A39E3" w:rsidP="00C54A8A">
      <w:pPr>
        <w:jc w:val="both"/>
      </w:pPr>
      <w:r>
        <w:rPr>
          <w:lang w:val="en-GB" w:eastAsia="en-GB"/>
        </w:rPr>
        <w:t>Secondly, PR, whilst widely offered, is often underutilised</w:t>
      </w:r>
      <w:r w:rsidR="0029045E">
        <w:rPr>
          <w:lang w:val="en-GB" w:eastAsia="en-GB"/>
        </w:rPr>
        <w:t xml:space="preserve"> in patients discharged from an exacerbation of COPD</w:t>
      </w:r>
      <w:r>
        <w:rPr>
          <w:lang w:val="en-GB" w:eastAsia="en-GB"/>
        </w:rPr>
        <w:t xml:space="preserve">.  </w:t>
      </w:r>
      <w:r w:rsidR="0095238C">
        <w:t xml:space="preserve">According to a 2012 New Zealand-based study, 2569 individuals diagnosed with COPD in New Zealand were offered pulmonary rehabilitation (PR), 1786 started PR and 1378 completed a programme in 2009 </w:t>
      </w:r>
      <w:r w:rsidR="0095238C">
        <w:fldChar w:fldCharType="begin"/>
      </w:r>
      <w:r w:rsidR="00CA3202">
        <w:instrText xml:space="preserve"> ADDIN EN.CITE &lt;EndNote&gt;&lt;Cite&gt;&lt;Author&gt;Levack&lt;/Author&gt;&lt;Year&gt;2012&lt;/Year&gt;&lt;RecNum&gt;769&lt;/RecNum&gt;&lt;DisplayText&gt;&lt;style face="superscript"&gt;(18)&lt;/style&gt;&lt;/DisplayText&gt;&lt;record&gt;&lt;rec-number&gt;769&lt;/rec-number&gt;&lt;foreign-keys&gt;&lt;key app="EN" db-id="paxef0v91tx5e7eaev8xxf2xd92zvrfrv592"&gt;769&lt;/key&gt;&lt;/foreign-keys&gt;&lt;ref-type name="Journal Article"&gt;17&lt;/ref-type&gt;&lt;contributors&gt;&lt;authors&gt;&lt;author&gt;Levack, William MM&lt;/author&gt;&lt;author&gt;Weatherall, Mark&lt;/author&gt;&lt;author&gt;Reeve, Julie C&lt;/author&gt;&lt;author&gt;Mans, Christina&lt;/author&gt;&lt;author&gt;Mauro, Antonia&lt;/author&gt;&lt;/authors&gt;&lt;/contributors&gt;&lt;titles&gt;&lt;title&gt;Uptake of pulmonary rehabilitation in New Zealand by people with chronic obstructive pulmonary disease in 2009&lt;/title&gt;&lt;secondary-title&gt;Clinical Correspondence&lt;/secondary-title&gt;&lt;/titles&gt;&lt;periodical&gt;&lt;full-title&gt;Clinical Correspondence&lt;/full-title&gt;&lt;/periodical&gt;&lt;dates&gt;&lt;year&gt;2012&lt;/year&gt;&lt;/dates&gt;&lt;urls&gt;&lt;/urls&gt;&lt;/record&gt;&lt;/Cite&gt;&lt;/EndNote&gt;</w:instrText>
      </w:r>
      <w:r w:rsidR="0095238C">
        <w:fldChar w:fldCharType="separate"/>
      </w:r>
      <w:r w:rsidR="00CA3202" w:rsidRPr="00CA3202">
        <w:rPr>
          <w:noProof/>
          <w:vertAlign w:val="superscript"/>
        </w:rPr>
        <w:t>(</w:t>
      </w:r>
      <w:hyperlink w:anchor="_ENREF_18" w:tooltip="Levack, 2012 #769" w:history="1">
        <w:r w:rsidR="0029347A" w:rsidRPr="00CA3202">
          <w:rPr>
            <w:noProof/>
            <w:vertAlign w:val="superscript"/>
          </w:rPr>
          <w:t>18</w:t>
        </w:r>
      </w:hyperlink>
      <w:r w:rsidR="00CA3202" w:rsidRPr="00CA3202">
        <w:rPr>
          <w:noProof/>
          <w:vertAlign w:val="superscript"/>
        </w:rPr>
        <w:t>)</w:t>
      </w:r>
      <w:r w:rsidR="0095238C">
        <w:fldChar w:fldCharType="end"/>
      </w:r>
      <w:r w:rsidR="0095238C">
        <w:t>.  Using the prevalence rates presented in this report, about 1.</w:t>
      </w:r>
      <w:r w:rsidR="00E7059A">
        <w:t>8</w:t>
      </w:r>
      <w:r w:rsidR="0095238C">
        <w:t xml:space="preserve">% of COPD patients were offered PR.  </w:t>
      </w:r>
      <w:r w:rsidR="0029045E">
        <w:t xml:space="preserve">Among discharged COPD patients, a Waitemata </w:t>
      </w:r>
      <w:r w:rsidR="008620B0">
        <w:t xml:space="preserve">DHB </w:t>
      </w:r>
      <w:r w:rsidR="0029045E">
        <w:t>audit found the referral rate to be only 7%</w:t>
      </w:r>
      <w:r w:rsidR="0029045E">
        <w:fldChar w:fldCharType="begin"/>
      </w:r>
      <w:r w:rsidR="00937FCB">
        <w:instrText xml:space="preserve"> ADDIN EN.CITE &lt;EndNote&gt;&lt;Cite&gt;&lt;Author&gt;Johnson&lt;/Author&gt;&lt;Year&gt;2012&lt;/Year&gt;&lt;RecNum&gt;837&lt;/RecNum&gt;&lt;DisplayText&gt;&lt;style face="superscript"&gt;(25)&lt;/style&gt;&lt;/DisplayText&gt;&lt;record&gt;&lt;rec-number&gt;837&lt;/rec-number&gt;&lt;foreign-keys&gt;&lt;key app="EN" db-id="paxef0v91tx5e7eaev8xxf2xd92zvrfrv592"&gt;837&lt;/key&gt;&lt;/foreign-keys&gt;&lt;ref-type name="Journal Article"&gt;17&lt;/ref-type&gt;&lt;contributors&gt;&lt;authors&gt;&lt;author&gt;Johnson, C&lt;/author&gt;&lt;author&gt;Connolly, MJ&lt;/author&gt;&lt;author&gt;Clover, S&lt;/author&gt;&lt;author&gt;Campbell, L&lt;/author&gt;&lt;author&gt;Goonan, R&lt;/author&gt;&lt;author&gt;Salmon, E&lt;/author&gt;&lt;author&gt;Hopley, M&lt;/author&gt;&lt;author&gt;Phillips, M&lt;/author&gt;&lt;author&gt;Sood, J&lt;/author&gt;&lt;/authors&gt;&lt;/contributors&gt;&lt;titles&gt;&lt;title&gt;Audit of acute exacerbations of chronic obstructive pulmonary disease at Waitemata District Health Board, New Zealand&lt;/title&gt;&lt;secondary-title&gt;The New Zealand medical journal&lt;/secondary-title&gt;&lt;/titles&gt;&lt;periodical&gt;&lt;full-title&gt;The New Zealand Medical Journal&lt;/full-title&gt;&lt;/periodical&gt;&lt;pages&gt;15-25&lt;/pages&gt;&lt;volume&gt;126&lt;/volume&gt;&lt;number&gt;1378&lt;/number&gt;&lt;dates&gt;&lt;year&gt;2012&lt;/year&gt;&lt;/dates&gt;&lt;isbn&gt;0028-8446&lt;/isbn&gt;&lt;urls&gt;&lt;/urls&gt;&lt;/record&gt;&lt;/Cite&gt;&lt;/EndNote&gt;</w:instrText>
      </w:r>
      <w:r w:rsidR="0029045E">
        <w:fldChar w:fldCharType="separate"/>
      </w:r>
      <w:r w:rsidR="00937FCB" w:rsidRPr="00937FCB">
        <w:rPr>
          <w:noProof/>
          <w:vertAlign w:val="superscript"/>
        </w:rPr>
        <w:t>(</w:t>
      </w:r>
      <w:hyperlink w:anchor="_ENREF_25" w:tooltip="Johnson, 2012 #837" w:history="1">
        <w:r w:rsidR="0029347A" w:rsidRPr="00937FCB">
          <w:rPr>
            <w:noProof/>
            <w:vertAlign w:val="superscript"/>
          </w:rPr>
          <w:t>25</w:t>
        </w:r>
      </w:hyperlink>
      <w:r w:rsidR="00937FCB" w:rsidRPr="00937FCB">
        <w:rPr>
          <w:noProof/>
          <w:vertAlign w:val="superscript"/>
        </w:rPr>
        <w:t>)</w:t>
      </w:r>
      <w:r w:rsidR="0029045E">
        <w:fldChar w:fldCharType="end"/>
      </w:r>
      <w:r w:rsidR="0095238C">
        <w:t>.  This</w:t>
      </w:r>
      <w:r w:rsidR="0029045E">
        <w:t xml:space="preserve"> underuse of referrals</w:t>
      </w:r>
      <w:r w:rsidR="0095238C">
        <w:t xml:space="preserve"> is further compounded by the nearly 50% non-completion rate.</w:t>
      </w:r>
      <w:r w:rsidR="00F25F63">
        <w:t xml:space="preserve">  </w:t>
      </w:r>
      <w:r w:rsidR="00F25F63">
        <w:rPr>
          <w:lang w:val="en-GB" w:eastAsia="en-GB"/>
        </w:rPr>
        <w:t xml:space="preserve">NHC assessment would add value to the health sector by evaluating the </w:t>
      </w:r>
      <w:r w:rsidR="0029045E">
        <w:rPr>
          <w:lang w:val="en-GB" w:eastAsia="en-GB"/>
        </w:rPr>
        <w:t>effectiveness of increasing referral, uptake and completion rates for discharged COPD patients</w:t>
      </w:r>
      <w:r w:rsidR="00F25F63">
        <w:rPr>
          <w:lang w:val="en-GB" w:eastAsia="en-GB"/>
        </w:rPr>
        <w:t>.</w:t>
      </w:r>
    </w:p>
    <w:p w:rsidR="0029045E" w:rsidRPr="00F25F63" w:rsidRDefault="0029045E" w:rsidP="00C54A8A">
      <w:pPr>
        <w:jc w:val="both"/>
      </w:pPr>
      <w:r>
        <w:rPr>
          <w:lang w:val="en-GB" w:eastAsia="en-GB"/>
        </w:rPr>
        <w:t>Also underutilised is acute non-invasive ventilation (NIV).  Whilst all DHBs provide NIV access, not all DHBs provide access to NIV on a general ward.  A UK audit showed only 12% of patients admitted to hospital with an exacerbation of COPD received NIV, which is about 50% below the number of patients eligible to benefit from NIV</w:t>
      </w:r>
      <w:r>
        <w:rPr>
          <w:lang w:val="en-GB" w:eastAsia="en-GB"/>
        </w:rPr>
        <w:fldChar w:fldCharType="begin"/>
      </w:r>
      <w:r w:rsidR="00937FCB">
        <w:rPr>
          <w:lang w:val="en-GB" w:eastAsia="en-GB"/>
        </w:rPr>
        <w:instrText xml:space="preserve"> ADDIN EN.CITE &lt;EndNote&gt;&lt;Cite&gt;&lt;Author&gt;Roberts&lt;/Author&gt;&lt;Year&gt;2011&lt;/Year&gt;&lt;RecNum&gt;838&lt;/RecNum&gt;&lt;DisplayText&gt;&lt;style face="superscript"&gt;(26)&lt;/style&gt;&lt;/DisplayText&gt;&lt;record&gt;&lt;rec-number&gt;838&lt;/rec-number&gt;&lt;foreign-keys&gt;&lt;key app="EN" db-id="paxef0v91tx5e7eaev8xxf2xd92zvrfrv592"&gt;838&lt;/key&gt;&lt;/foreign-keys&gt;&lt;ref-type name="Journal Article"&gt;17&lt;/ref-type&gt;&lt;contributors&gt;&lt;authors&gt;&lt;author&gt;Roberts, CM&lt;/author&gt;&lt;author&gt;Stone, RA&lt;/author&gt;&lt;author&gt;Buckingham, RJ&lt;/author&gt;&lt;author&gt;Pursey, NA&lt;/author&gt;&lt;author&gt;Lowe, D&lt;/author&gt;&lt;/authors&gt;&lt;/contributors&gt;&lt;titles&gt;&lt;title&gt;Acidosis, non-invasive ventilation and mortality in hospitalised COPD exacerbations&lt;/title&gt;&lt;secondary-title&gt;Thorax&lt;/secondary-title&gt;&lt;/titles&gt;&lt;periodical&gt;&lt;full-title&gt;Thorax&lt;/full-title&gt;&lt;/periodical&gt;&lt;pages&gt;43-48&lt;/pages&gt;&lt;volume&gt;66&lt;/volume&gt;&lt;number&gt;1&lt;/number&gt;&lt;dates&gt;&lt;year&gt;2011&lt;/year&gt;&lt;/dates&gt;&lt;isbn&gt;1468-3296&lt;/isbn&gt;&lt;urls&gt;&lt;/urls&gt;&lt;/record&gt;&lt;/Cite&gt;&lt;/EndNote&gt;</w:instrText>
      </w:r>
      <w:r>
        <w:rPr>
          <w:lang w:val="en-GB" w:eastAsia="en-GB"/>
        </w:rPr>
        <w:fldChar w:fldCharType="separate"/>
      </w:r>
      <w:r w:rsidR="00937FCB" w:rsidRPr="00937FCB">
        <w:rPr>
          <w:noProof/>
          <w:vertAlign w:val="superscript"/>
          <w:lang w:val="en-GB" w:eastAsia="en-GB"/>
        </w:rPr>
        <w:t>(</w:t>
      </w:r>
      <w:hyperlink w:anchor="_ENREF_26" w:tooltip="Roberts, 2011 #838" w:history="1">
        <w:r w:rsidR="0029347A" w:rsidRPr="00937FCB">
          <w:rPr>
            <w:noProof/>
            <w:vertAlign w:val="superscript"/>
            <w:lang w:val="en-GB" w:eastAsia="en-GB"/>
          </w:rPr>
          <w:t>26</w:t>
        </w:r>
      </w:hyperlink>
      <w:r w:rsidR="00937FCB" w:rsidRPr="00937FCB">
        <w:rPr>
          <w:noProof/>
          <w:vertAlign w:val="superscript"/>
          <w:lang w:val="en-GB" w:eastAsia="en-GB"/>
        </w:rPr>
        <w:t>)</w:t>
      </w:r>
      <w:r>
        <w:rPr>
          <w:lang w:val="en-GB" w:eastAsia="en-GB"/>
        </w:rPr>
        <w:fldChar w:fldCharType="end"/>
      </w:r>
      <w:r>
        <w:rPr>
          <w:lang w:val="en-GB" w:eastAsia="en-GB"/>
        </w:rPr>
        <w:t>.  A NHC assessment could see increased use of NIV as well as the possible introduction of NIV to general wards.</w:t>
      </w:r>
    </w:p>
    <w:p w:rsidR="0029045E" w:rsidRDefault="0029045E" w:rsidP="00C54A8A">
      <w:pPr>
        <w:jc w:val="both"/>
        <w:rPr>
          <w:lang w:val="en-GB" w:eastAsia="en-GB"/>
        </w:rPr>
      </w:pPr>
      <w:r>
        <w:rPr>
          <w:lang w:val="en-GB" w:eastAsia="en-GB"/>
        </w:rPr>
        <w:t>Long-term oxygen therapy (LTOT) is thought to be over-utilised in some DHBs and under-utilised in other DHBs based on best practice guidelines.  About 300 patients were being unnecessarily prescribed LTOT whilst about 90 patients who could have benefited from LTOT were not receiving treatment in 2004</w:t>
      </w:r>
      <w:r>
        <w:rPr>
          <w:lang w:val="en-GB" w:eastAsia="en-GB"/>
        </w:rPr>
        <w:fldChar w:fldCharType="begin"/>
      </w:r>
      <w:r w:rsidR="0029347A">
        <w:rPr>
          <w:lang w:val="en-GB" w:eastAsia="en-GB"/>
        </w:rPr>
        <w:instrText xml:space="preserve"> ADDIN EN.CITE &lt;EndNote&gt;&lt;Cite&gt;&lt;Author&gt;Garrett&lt;/Author&gt;&lt;Year&gt;2009&lt;/Year&gt;&lt;RecNum&gt;665&lt;/RecNum&gt;&lt;DisplayText&gt;&lt;style face="superscript"&gt;(27)&lt;/style&gt;&lt;/DisplayText&gt;&lt;record&gt;&lt;rec-number&gt;665&lt;/rec-number&gt;&lt;foreign-keys&gt;&lt;key app="EN" db-id="paxef0v91tx5e7eaev8xxf2xd92zvrfrv592"&gt;665&lt;/key&gt;&lt;/foreign-keys&gt;&lt;ref-type name="Journal Article"&gt;17&lt;/ref-type&gt;&lt;contributors&gt;&lt;authors&gt;&lt;author&gt;Garrett, Jeffrey&lt;/author&gt;&lt;author&gt;Chen, Bob&lt;/author&gt;&lt;author&gt;Taylor, D Robin&lt;/author&gt;&lt;/authors&gt;&lt;/contributors&gt;&lt;titles&gt;&lt;title&gt;A survey of respiratory and sleep services in New Zealand undertaken by the Thoracic Society of Australia and New Zealand (TSANZ)&lt;/title&gt;&lt;secondary-title&gt;The New Zealand Medical Journal&lt;/secondary-title&gt;&lt;/titles&gt;&lt;periodical&gt;&lt;full-title&gt;The New Zealand Medical Journal&lt;/full-title&gt;&lt;/periodical&gt;&lt;volume&gt;122&lt;/volume&gt;&lt;number&gt;1289&lt;/number&gt;&lt;dates&gt;&lt;year&gt;2009&lt;/year&gt;&lt;pub-dates&gt;&lt;date&gt;13 February 2009&lt;/date&gt;&lt;/pub-dates&gt;&lt;/dates&gt;&lt;urls&gt;&lt;/urls&gt;&lt;/record&gt;&lt;/Cite&gt;&lt;/EndNote&gt;</w:instrText>
      </w:r>
      <w:r>
        <w:rPr>
          <w:lang w:val="en-GB" w:eastAsia="en-GB"/>
        </w:rPr>
        <w:fldChar w:fldCharType="separate"/>
      </w:r>
      <w:r w:rsidR="00937FCB" w:rsidRPr="00937FCB">
        <w:rPr>
          <w:noProof/>
          <w:vertAlign w:val="superscript"/>
          <w:lang w:val="en-GB" w:eastAsia="en-GB"/>
        </w:rPr>
        <w:t>(</w:t>
      </w:r>
      <w:hyperlink w:anchor="_ENREF_27" w:tooltip="Garrett, 2009 #665" w:history="1">
        <w:r w:rsidR="0029347A" w:rsidRPr="00937FCB">
          <w:rPr>
            <w:noProof/>
            <w:vertAlign w:val="superscript"/>
            <w:lang w:val="en-GB" w:eastAsia="en-GB"/>
          </w:rPr>
          <w:t>27</w:t>
        </w:r>
      </w:hyperlink>
      <w:r w:rsidR="00937FCB" w:rsidRPr="00937FCB">
        <w:rPr>
          <w:noProof/>
          <w:vertAlign w:val="superscript"/>
          <w:lang w:val="en-GB" w:eastAsia="en-GB"/>
        </w:rPr>
        <w:t>)</w:t>
      </w:r>
      <w:r>
        <w:rPr>
          <w:lang w:val="en-GB" w:eastAsia="en-GB"/>
        </w:rPr>
        <w:fldChar w:fldCharType="end"/>
      </w:r>
      <w:r>
        <w:rPr>
          <w:lang w:val="en-GB" w:eastAsia="en-GB"/>
        </w:rPr>
        <w:t>.  The NHC has the potential to reduce this variation and improve adherence to best practice through an assessment.</w:t>
      </w:r>
    </w:p>
    <w:p w:rsidR="00F25F63" w:rsidRDefault="002A39E3" w:rsidP="00C54A8A">
      <w:pPr>
        <w:jc w:val="both"/>
        <w:rPr>
          <w:lang w:val="en-GB" w:eastAsia="en-GB"/>
        </w:rPr>
      </w:pPr>
      <w:r>
        <w:rPr>
          <w:lang w:val="en-GB" w:eastAsia="en-GB"/>
        </w:rPr>
        <w:t xml:space="preserve">Lastly, </w:t>
      </w:r>
      <w:r w:rsidR="00242418">
        <w:rPr>
          <w:lang w:val="en-GB" w:eastAsia="en-GB"/>
        </w:rPr>
        <w:t>advance</w:t>
      </w:r>
      <w:r>
        <w:rPr>
          <w:lang w:val="en-GB" w:eastAsia="en-GB"/>
        </w:rPr>
        <w:t xml:space="preserve"> care</w:t>
      </w:r>
      <w:r w:rsidR="00242418">
        <w:rPr>
          <w:lang w:val="en-GB" w:eastAsia="en-GB"/>
        </w:rPr>
        <w:t xml:space="preserve"> planning (ACP) is</w:t>
      </w:r>
      <w:r>
        <w:rPr>
          <w:lang w:val="en-GB" w:eastAsia="en-GB"/>
        </w:rPr>
        <w:t xml:space="preserve"> lacking for COPD patients.  </w:t>
      </w:r>
      <w:r w:rsidR="00242418">
        <w:rPr>
          <w:lang w:val="en-GB" w:eastAsia="en-GB"/>
        </w:rPr>
        <w:t>ACP</w:t>
      </w:r>
      <w:r>
        <w:rPr>
          <w:lang w:val="en-GB" w:eastAsia="en-GB"/>
        </w:rPr>
        <w:t xml:space="preserve"> may </w:t>
      </w:r>
      <w:r w:rsidR="00242418">
        <w:rPr>
          <w:lang w:val="en-GB" w:eastAsia="en-GB"/>
        </w:rPr>
        <w:t>help to improve patient outcomes at the end of life provided there are services in place to meet the needs of end of life patients</w:t>
      </w:r>
      <w:r>
        <w:rPr>
          <w:lang w:val="en-GB" w:eastAsia="en-GB"/>
        </w:rPr>
        <w:t xml:space="preserve">.  </w:t>
      </w:r>
      <w:r w:rsidR="00F25F63">
        <w:rPr>
          <w:lang w:val="en-GB" w:eastAsia="en-GB"/>
        </w:rPr>
        <w:t>Without proper community services</w:t>
      </w:r>
      <w:r w:rsidR="00242418">
        <w:rPr>
          <w:lang w:val="en-GB" w:eastAsia="en-GB"/>
        </w:rPr>
        <w:t xml:space="preserve"> and an early ongoing conversation</w:t>
      </w:r>
      <w:r w:rsidR="00F25F63">
        <w:rPr>
          <w:lang w:val="en-GB" w:eastAsia="en-GB"/>
        </w:rPr>
        <w:t xml:space="preserve">, </w:t>
      </w:r>
      <w:r w:rsidR="00242418">
        <w:rPr>
          <w:lang w:val="en-GB" w:eastAsia="en-GB"/>
        </w:rPr>
        <w:t>ACP is less effective</w:t>
      </w:r>
      <w:r w:rsidR="00F25F63">
        <w:rPr>
          <w:lang w:val="en-GB" w:eastAsia="en-GB"/>
        </w:rPr>
        <w:t>.</w:t>
      </w:r>
    </w:p>
    <w:p w:rsidR="0029045E" w:rsidRDefault="0029045E" w:rsidP="00C54A8A">
      <w:pPr>
        <w:jc w:val="both"/>
        <w:rPr>
          <w:lang w:val="en-GB" w:eastAsia="en-GB"/>
        </w:rPr>
      </w:pPr>
      <w:r>
        <w:rPr>
          <w:lang w:val="en-GB" w:eastAsia="en-GB"/>
        </w:rPr>
        <w:t xml:space="preserve">Increasing </w:t>
      </w:r>
      <w:r w:rsidR="00E222C2">
        <w:rPr>
          <w:lang w:val="en-GB" w:eastAsia="en-GB"/>
        </w:rPr>
        <w:t>PR</w:t>
      </w:r>
      <w:r>
        <w:rPr>
          <w:lang w:val="en-GB" w:eastAsia="en-GB"/>
        </w:rPr>
        <w:t xml:space="preserve"> for all COPD patients would likely have large budget implications and be less effective clinically than a more targeted approach.  Case management may also have merit, but there is limited evidence to show that it is as cost effective as some of the alternative assessments under consideration.  Lastly, clinical monitoring already occurs and it is unclear what the benefits would be from an assessment.  </w:t>
      </w:r>
      <w:r w:rsidR="00DD7A52">
        <w:rPr>
          <w:lang w:val="en-GB" w:eastAsia="en-GB"/>
        </w:rPr>
        <w:fldChar w:fldCharType="begin"/>
      </w:r>
      <w:r w:rsidR="00DD7A52">
        <w:rPr>
          <w:lang w:val="en-GB" w:eastAsia="en-GB"/>
        </w:rPr>
        <w:instrText xml:space="preserve"> REF _Ref370475667 \h </w:instrText>
      </w:r>
      <w:r w:rsidR="00C54A8A">
        <w:rPr>
          <w:lang w:val="en-GB" w:eastAsia="en-GB"/>
        </w:rPr>
        <w:instrText xml:space="preserve"> \* MERGEFORMAT </w:instrText>
      </w:r>
      <w:r w:rsidR="00DD7A52">
        <w:rPr>
          <w:lang w:val="en-GB" w:eastAsia="en-GB"/>
        </w:rPr>
      </w:r>
      <w:r w:rsidR="00DD7A52">
        <w:rPr>
          <w:lang w:val="en-GB" w:eastAsia="en-GB"/>
        </w:rPr>
        <w:fldChar w:fldCharType="separate"/>
      </w:r>
      <w:r w:rsidR="000B70CE">
        <w:t xml:space="preserve">Figure </w:t>
      </w:r>
      <w:r w:rsidR="000B70CE">
        <w:rPr>
          <w:noProof/>
        </w:rPr>
        <w:t>11</w:t>
      </w:r>
      <w:r w:rsidR="00DD7A52">
        <w:rPr>
          <w:lang w:val="en-GB" w:eastAsia="en-GB"/>
        </w:rPr>
        <w:fldChar w:fldCharType="end"/>
      </w:r>
      <w:r w:rsidR="00DD7A52">
        <w:rPr>
          <w:lang w:val="en-GB" w:eastAsia="en-GB"/>
        </w:rPr>
        <w:t xml:space="preserve"> illustrates </w:t>
      </w:r>
      <w:r w:rsidR="00F25F63">
        <w:rPr>
          <w:lang w:val="en-GB" w:eastAsia="en-GB"/>
        </w:rPr>
        <w:t xml:space="preserve">where these </w:t>
      </w:r>
      <w:r w:rsidR="004F2D7B">
        <w:rPr>
          <w:lang w:val="en-GB" w:eastAsia="en-GB"/>
        </w:rPr>
        <w:t xml:space="preserve">potential assessments </w:t>
      </w:r>
      <w:r w:rsidR="00F25F63">
        <w:rPr>
          <w:lang w:val="en-GB" w:eastAsia="en-GB"/>
        </w:rPr>
        <w:t xml:space="preserve">would take place </w:t>
      </w:r>
      <w:r w:rsidR="00F73CCA">
        <w:rPr>
          <w:lang w:val="en-GB" w:eastAsia="en-GB"/>
        </w:rPr>
        <w:t>along a possible revised</w:t>
      </w:r>
      <w:r w:rsidR="00DD7A52">
        <w:rPr>
          <w:lang w:val="en-GB" w:eastAsia="en-GB"/>
        </w:rPr>
        <w:t xml:space="preserve"> pathway</w:t>
      </w:r>
      <w:r w:rsidR="00F25F63">
        <w:rPr>
          <w:lang w:val="en-GB" w:eastAsia="en-GB"/>
        </w:rPr>
        <w:t xml:space="preserve"> of care</w:t>
      </w:r>
      <w:r w:rsidR="00DD7A52">
        <w:rPr>
          <w:lang w:val="en-GB" w:eastAsia="en-GB"/>
        </w:rPr>
        <w:t>.</w:t>
      </w:r>
      <w:r>
        <w:rPr>
          <w:lang w:val="en-GB" w:eastAsia="en-GB"/>
        </w:rPr>
        <w:t xml:space="preserve">  The revised care pathway is not a complete pathway but shows where some of the assessments mentioned above would fit along the continuum of care.</w:t>
      </w:r>
    </w:p>
    <w:p w:rsidR="008620B0" w:rsidRDefault="008620B0" w:rsidP="00C54A8A">
      <w:pPr>
        <w:jc w:val="both"/>
        <w:rPr>
          <w:lang w:val="en-GB" w:eastAsia="en-GB"/>
        </w:rPr>
      </w:pPr>
    </w:p>
    <w:p w:rsidR="008620B0" w:rsidRDefault="008620B0" w:rsidP="00C54A8A">
      <w:pPr>
        <w:jc w:val="both"/>
        <w:rPr>
          <w:lang w:val="en-GB" w:eastAsia="en-GB"/>
        </w:rPr>
      </w:pPr>
    </w:p>
    <w:p w:rsidR="008620B0" w:rsidRDefault="008620B0" w:rsidP="00C54A8A">
      <w:pPr>
        <w:jc w:val="both"/>
        <w:rPr>
          <w:lang w:val="en-GB" w:eastAsia="en-GB"/>
        </w:rPr>
      </w:pPr>
    </w:p>
    <w:p w:rsidR="008620B0" w:rsidRDefault="008620B0" w:rsidP="00C54A8A">
      <w:pPr>
        <w:jc w:val="both"/>
        <w:rPr>
          <w:lang w:val="en-GB" w:eastAsia="en-GB"/>
        </w:rPr>
      </w:pPr>
    </w:p>
    <w:p w:rsidR="008620B0" w:rsidRDefault="008620B0" w:rsidP="00C54A8A">
      <w:pPr>
        <w:jc w:val="both"/>
        <w:rPr>
          <w:lang w:val="en-GB" w:eastAsia="en-GB"/>
        </w:rPr>
      </w:pPr>
    </w:p>
    <w:p w:rsidR="008620B0" w:rsidRDefault="008620B0" w:rsidP="00C54A8A">
      <w:pPr>
        <w:jc w:val="both"/>
        <w:rPr>
          <w:lang w:val="en-GB" w:eastAsia="en-GB"/>
        </w:rPr>
      </w:pPr>
    </w:p>
    <w:p w:rsidR="008620B0" w:rsidRDefault="008620B0" w:rsidP="00C54A8A">
      <w:pPr>
        <w:jc w:val="both"/>
        <w:rPr>
          <w:lang w:val="en-GB" w:eastAsia="en-GB"/>
        </w:rPr>
      </w:pPr>
    </w:p>
    <w:p w:rsidR="008620B0" w:rsidRDefault="008620B0" w:rsidP="00C54A8A">
      <w:pPr>
        <w:jc w:val="both"/>
        <w:rPr>
          <w:lang w:val="en-GB" w:eastAsia="en-GB"/>
        </w:rPr>
      </w:pPr>
    </w:p>
    <w:p w:rsidR="008620B0" w:rsidRDefault="008620B0" w:rsidP="00C54A8A">
      <w:pPr>
        <w:jc w:val="both"/>
        <w:rPr>
          <w:lang w:val="en-GB" w:eastAsia="en-GB"/>
        </w:rPr>
      </w:pPr>
    </w:p>
    <w:p w:rsidR="008620B0" w:rsidRDefault="008620B0" w:rsidP="00C54A8A">
      <w:pPr>
        <w:jc w:val="both"/>
        <w:rPr>
          <w:lang w:val="en-GB" w:eastAsia="en-GB"/>
        </w:rPr>
      </w:pPr>
    </w:p>
    <w:p w:rsidR="008620B0" w:rsidRDefault="008620B0" w:rsidP="00C54A8A">
      <w:pPr>
        <w:jc w:val="both"/>
        <w:rPr>
          <w:lang w:val="en-GB" w:eastAsia="en-GB"/>
        </w:rPr>
      </w:pPr>
    </w:p>
    <w:p w:rsidR="008620B0" w:rsidRDefault="008620B0" w:rsidP="00C54A8A">
      <w:pPr>
        <w:jc w:val="both"/>
        <w:rPr>
          <w:lang w:val="en-GB" w:eastAsia="en-GB"/>
        </w:rPr>
      </w:pPr>
    </w:p>
    <w:p w:rsidR="001E007B" w:rsidRDefault="001E007B" w:rsidP="00C54A8A">
      <w:pPr>
        <w:jc w:val="both"/>
        <w:rPr>
          <w:lang w:val="en-GB" w:eastAsia="en-GB"/>
        </w:rPr>
      </w:pPr>
    </w:p>
    <w:p w:rsidR="001E007B" w:rsidRDefault="001E007B" w:rsidP="00C54A8A">
      <w:pPr>
        <w:jc w:val="both"/>
        <w:rPr>
          <w:lang w:val="en-GB" w:eastAsia="en-GB"/>
        </w:rPr>
      </w:pPr>
    </w:p>
    <w:p w:rsidR="008620B0" w:rsidRDefault="008620B0" w:rsidP="00C54A8A">
      <w:pPr>
        <w:jc w:val="both"/>
        <w:rPr>
          <w:lang w:val="en-GB" w:eastAsia="en-GB"/>
        </w:rPr>
      </w:pPr>
    </w:p>
    <w:p w:rsidR="008620B0" w:rsidRDefault="008620B0" w:rsidP="00C54A8A">
      <w:pPr>
        <w:jc w:val="both"/>
        <w:rPr>
          <w:lang w:val="en-GB" w:eastAsia="en-GB"/>
        </w:rPr>
      </w:pPr>
    </w:p>
    <w:p w:rsidR="00DD7A52" w:rsidRDefault="00DD7A52" w:rsidP="00C54A8A">
      <w:pPr>
        <w:pStyle w:val="Caption"/>
        <w:jc w:val="both"/>
      </w:pPr>
      <w:bookmarkStart w:id="119" w:name="_Ref370475667"/>
      <w:r>
        <w:t xml:space="preserve">Figure </w:t>
      </w:r>
      <w:r>
        <w:fldChar w:fldCharType="begin"/>
      </w:r>
      <w:r>
        <w:instrText xml:space="preserve"> SEQ Figure \* ARABIC </w:instrText>
      </w:r>
      <w:r>
        <w:fldChar w:fldCharType="separate"/>
      </w:r>
      <w:r w:rsidR="000B70CE">
        <w:rPr>
          <w:noProof/>
        </w:rPr>
        <w:t>11</w:t>
      </w:r>
      <w:r>
        <w:fldChar w:fldCharType="end"/>
      </w:r>
      <w:bookmarkEnd w:id="119"/>
      <w:r>
        <w:t xml:space="preserve">: </w:t>
      </w:r>
      <w:r w:rsidR="004F2D7B">
        <w:t>Assessments along</w:t>
      </w:r>
      <w:r>
        <w:t xml:space="preserve"> care pathway</w:t>
      </w:r>
    </w:p>
    <w:p w:rsidR="00DD7A52" w:rsidRDefault="0029045E" w:rsidP="00C54A8A">
      <w:pPr>
        <w:jc w:val="both"/>
        <w:rPr>
          <w:lang w:val="en-GB" w:eastAsia="en-GB"/>
        </w:rPr>
      </w:pPr>
      <w:r>
        <w:rPr>
          <w:noProof/>
          <w:lang w:eastAsia="en-NZ"/>
        </w:rPr>
        <w:drawing>
          <wp:inline distT="0" distB="0" distL="0" distR="0" wp14:anchorId="75217B45" wp14:editId="20830320">
            <wp:extent cx="5915024" cy="7343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ernative Pathway 2.PNG"/>
                    <pic:cNvPicPr/>
                  </pic:nvPicPr>
                  <pic:blipFill>
                    <a:blip r:embed="rId30">
                      <a:extLst>
                        <a:ext uri="{28A0092B-C50C-407E-A947-70E740481C1C}">
                          <a14:useLocalDpi xmlns:a14="http://schemas.microsoft.com/office/drawing/2010/main" val="0"/>
                        </a:ext>
                      </a:extLst>
                    </a:blip>
                    <a:stretch>
                      <a:fillRect/>
                    </a:stretch>
                  </pic:blipFill>
                  <pic:spPr>
                    <a:xfrm>
                      <a:off x="0" y="0"/>
                      <a:ext cx="5922598" cy="7353178"/>
                    </a:xfrm>
                    <a:prstGeom prst="rect">
                      <a:avLst/>
                    </a:prstGeom>
                  </pic:spPr>
                </pic:pic>
              </a:graphicData>
            </a:graphic>
          </wp:inline>
        </w:drawing>
      </w:r>
    </w:p>
    <w:p w:rsidR="004F2D7B" w:rsidRDefault="004F2D7B" w:rsidP="00C54A8A">
      <w:pPr>
        <w:pStyle w:val="SourceCaption"/>
        <w:spacing w:line="276" w:lineRule="auto"/>
        <w:jc w:val="both"/>
        <w:rPr>
          <w:lang w:val="en-GB" w:eastAsia="en-GB"/>
        </w:rPr>
      </w:pPr>
      <w:r>
        <w:rPr>
          <w:lang w:val="en-GB" w:eastAsia="en-GB"/>
        </w:rPr>
        <w:t xml:space="preserve">Note: This figure shows a possible COPD pathway that combines relevant assessments from the intervention table.  </w:t>
      </w:r>
      <w:r w:rsidR="0029045E">
        <w:rPr>
          <w:lang w:val="en-GB" w:eastAsia="en-GB"/>
        </w:rPr>
        <w:t>It is not a complete pathway of care but rather shows how NHC assessments could impact the care pathway.</w:t>
      </w:r>
    </w:p>
    <w:p w:rsidR="00DD7A52" w:rsidRPr="00DD7A52" w:rsidRDefault="0029045E" w:rsidP="00C54A8A">
      <w:pPr>
        <w:pStyle w:val="SourceCaption"/>
        <w:jc w:val="both"/>
        <w:rPr>
          <w:lang w:val="en-GB" w:eastAsia="en-GB"/>
        </w:rPr>
      </w:pPr>
      <w:r>
        <w:rPr>
          <w:lang w:val="en-GB" w:eastAsia="en-GB"/>
        </w:rPr>
        <w:t>Source: NHC, 2014</w:t>
      </w:r>
    </w:p>
    <w:p w:rsidR="004F2D7B" w:rsidRPr="004F2D7B" w:rsidRDefault="004F2D7B" w:rsidP="00C54A8A">
      <w:pPr>
        <w:jc w:val="both"/>
        <w:rPr>
          <w:lang w:val="en-GB" w:eastAsia="en-GB"/>
        </w:rPr>
      </w:pPr>
    </w:p>
    <w:p w:rsidR="00242418" w:rsidRDefault="00242418" w:rsidP="00C54A8A">
      <w:pPr>
        <w:pStyle w:val="Heading1"/>
        <w:jc w:val="both"/>
      </w:pPr>
      <w:bookmarkStart w:id="120" w:name="_Toc382574746"/>
      <w:r>
        <w:t>Health Innovation Partnership</w:t>
      </w:r>
      <w:bookmarkEnd w:id="120"/>
      <w:r w:rsidR="0029045E">
        <w:t xml:space="preserve"> </w:t>
      </w:r>
    </w:p>
    <w:p w:rsidR="00402750" w:rsidRDefault="00242418" w:rsidP="00C54A8A">
      <w:pPr>
        <w:jc w:val="both"/>
      </w:pPr>
      <w:r>
        <w:t>In addition to NHC assessments, some proposals were sought from the sector for field trial research during an open request for proposal (RFP) round.  Of the 11 RFP applications received, 6 were selected to proceed to the next stage of the application process.  The applications came from a variety of sources across the health sector and cover an eclectic array of topics.</w:t>
      </w:r>
    </w:p>
    <w:p w:rsidR="00242418" w:rsidRDefault="00242418" w:rsidP="00C54A8A">
      <w:pPr>
        <w:jc w:val="both"/>
      </w:pPr>
      <w:r>
        <w:t>These trials, if selected, will look at telehealth, new integrated models of care as well as emerging technology in the space of COPD care.  Trials are expected to last for 2 years with the final projects selected for funding in mid-2014.</w:t>
      </w:r>
    </w:p>
    <w:p w:rsidR="00242418" w:rsidRDefault="00242418" w:rsidP="00C54A8A">
      <w:pPr>
        <w:pStyle w:val="Heading1"/>
        <w:jc w:val="both"/>
      </w:pPr>
      <w:bookmarkStart w:id="121" w:name="_Toc382574747"/>
      <w:r>
        <w:t>Limitations</w:t>
      </w:r>
      <w:bookmarkEnd w:id="121"/>
    </w:p>
    <w:p w:rsidR="00242418" w:rsidRDefault="00242418" w:rsidP="00C54A8A">
      <w:pPr>
        <w:jc w:val="both"/>
      </w:pPr>
      <w:r>
        <w:t>Whilst this report offers a relatively comprehensive picture of COPD in New Zealand, there are some inherent limitations in the methodology.  By limiting our pathway of care analysis to only two guidance documents, there is the possibility that there are aspects of the pathway of care not mentioned in this document.  This is unlikely, as most guidelines tend to only differ marginally.  Moreover, guidelines are not rigid protocols for treatment and should be viewed as a guide for informing best practice.  The two guidelines selected, COPD-X and NICE, were chosen for their regional relevance (COPD-X) and evidence-based advice (NICE).  As such, they represent a robust baseline on which to base our own pathway of care.</w:t>
      </w:r>
    </w:p>
    <w:p w:rsidR="00242418" w:rsidRDefault="00242418" w:rsidP="00C54A8A">
      <w:pPr>
        <w:jc w:val="both"/>
      </w:pPr>
      <w:r>
        <w:t>Another limitation of this report was the incomplete picture of COPD services offered by DHBs.  Whilst high-level information about service provision was available from the ABCC study, its results were not always applicable to every DHB as was apparent with the pulmonary rehabilitation example.  Efforts were made to research and contact individual DHBs to uncover the services they provide, but it was infeasible to contact every DHB and discover each individualised COPD service plan.  To mitigate this limitation, DHBs with established regional plans were contacted directly and their insight into local service provision was cited.  These DHBs were identified as Auckland, Waitemata, Counties Manukau and Canterbury DHBs.  To capture perspectives outside of the larger urban centres, various clinicians were contacted through the Royal Australasian College of Physicians to provide informal feedback on this report.</w:t>
      </w:r>
    </w:p>
    <w:p w:rsidR="00242418" w:rsidRDefault="00242418" w:rsidP="00C54A8A">
      <w:pPr>
        <w:jc w:val="both"/>
      </w:pPr>
      <w:r>
        <w:t>Both the greatest strength and limitation in this report was in the data methodology.  By using Health Tracker, we were limited in how we could define COPD patients along the pathway of care.  Because we relied on patients having an interaction with the health system and, thus, a diagnosis, our prevalence estimate is likely below the actual COPD prevalence since many COPD patients are undiagnosed. However, there is also a chance we may have captured patients who do not have COPD but were prescribed one of the pharmaceuticals for another condition or that a patient had been given a comorbid diagnosis of COPD in a hospital without a full investigation. The method we have used is simplistic but thorough so it should be closer to the true COPD prevalence than survey methods.</w:t>
      </w:r>
    </w:p>
    <w:p w:rsidR="00242418" w:rsidRDefault="00242418" w:rsidP="00C54A8A">
      <w:pPr>
        <w:jc w:val="both"/>
      </w:pPr>
      <w:r>
        <w:t>The incidence of COPD ED rates probably over-counts the true incidence of COPD-related ED presentations since many COPD patients have other co-morbidities which could have brought them to ED.  This is also true of the estimated GP presentations, although it is likely that a GP will enquire about a patient’s COPD regardless of the purpose of the consult.   As mentioned above there are other costs associated with COPD</w:t>
      </w:r>
      <w:r w:rsidR="00E222C2">
        <w:t>,</w:t>
      </w:r>
      <w:r>
        <w:t xml:space="preserve"> including sector support groups that receive funding and aged care</w:t>
      </w:r>
      <w:r w:rsidR="00E222C2">
        <w:t>,</w:t>
      </w:r>
      <w:r>
        <w:t xml:space="preserve"> that have not been accounted for here; however the overall ‘picture’ and conclusions would likely be the same. Because our patient cohorts are defined by their service utilisation, they should not be viewed as clinically grouped cohorts but rather service-use cohorts.</w:t>
      </w:r>
    </w:p>
    <w:p w:rsidR="00402750" w:rsidRDefault="00402750" w:rsidP="00C54A8A">
      <w:pPr>
        <w:jc w:val="both"/>
      </w:pPr>
    </w:p>
    <w:p w:rsidR="00402750" w:rsidRDefault="00402750" w:rsidP="00C54A8A">
      <w:pPr>
        <w:jc w:val="both"/>
      </w:pPr>
    </w:p>
    <w:p w:rsidR="00402750" w:rsidRDefault="00402750" w:rsidP="00C54A8A">
      <w:pPr>
        <w:jc w:val="both"/>
      </w:pPr>
    </w:p>
    <w:p w:rsidR="00402750" w:rsidRDefault="00402750" w:rsidP="00C54A8A">
      <w:pPr>
        <w:jc w:val="both"/>
      </w:pPr>
    </w:p>
    <w:p w:rsidR="00402750" w:rsidRDefault="00402750" w:rsidP="00C54A8A">
      <w:pPr>
        <w:jc w:val="both"/>
      </w:pPr>
    </w:p>
    <w:p w:rsidR="00402750" w:rsidRDefault="00402750" w:rsidP="00C54A8A">
      <w:pPr>
        <w:jc w:val="both"/>
      </w:pPr>
    </w:p>
    <w:p w:rsidR="00402750" w:rsidRDefault="00402750" w:rsidP="00C54A8A">
      <w:pPr>
        <w:jc w:val="both"/>
      </w:pPr>
    </w:p>
    <w:p w:rsidR="00402750" w:rsidRDefault="00402750" w:rsidP="00C54A8A">
      <w:pPr>
        <w:jc w:val="both"/>
      </w:pPr>
    </w:p>
    <w:p w:rsidR="00402750" w:rsidRDefault="00402750" w:rsidP="00C54A8A">
      <w:pPr>
        <w:jc w:val="both"/>
      </w:pPr>
    </w:p>
    <w:p w:rsidR="00402750" w:rsidRDefault="00402750" w:rsidP="00C54A8A">
      <w:pPr>
        <w:jc w:val="both"/>
      </w:pPr>
    </w:p>
    <w:p w:rsidR="00402750" w:rsidRDefault="00402750" w:rsidP="00C54A8A">
      <w:pPr>
        <w:jc w:val="both"/>
      </w:pPr>
    </w:p>
    <w:p w:rsidR="00402750" w:rsidRDefault="00402750" w:rsidP="00C54A8A">
      <w:pPr>
        <w:jc w:val="both"/>
      </w:pPr>
    </w:p>
    <w:p w:rsidR="00402750" w:rsidRDefault="00402750" w:rsidP="00C54A8A">
      <w:pPr>
        <w:jc w:val="both"/>
      </w:pPr>
    </w:p>
    <w:p w:rsidR="00DD7A52" w:rsidRDefault="00DD7A52" w:rsidP="00C54A8A">
      <w:pPr>
        <w:jc w:val="both"/>
      </w:pPr>
    </w:p>
    <w:p w:rsidR="00242418" w:rsidRPr="00766C54" w:rsidRDefault="00242418" w:rsidP="00C54A8A">
      <w:pPr>
        <w:jc w:val="both"/>
      </w:pPr>
    </w:p>
    <w:p w:rsidR="000B1B60" w:rsidRPr="008952DA" w:rsidRDefault="000B1B60" w:rsidP="00C54A8A">
      <w:pPr>
        <w:pStyle w:val="Head1-nonumber"/>
        <w:jc w:val="both"/>
      </w:pPr>
      <w:bookmarkStart w:id="122" w:name="_Toc382574748"/>
      <w:r w:rsidRPr="008952DA">
        <w:t>References</w:t>
      </w:r>
      <w:bookmarkEnd w:id="122"/>
    </w:p>
    <w:p w:rsidR="0029347A" w:rsidRPr="0029347A" w:rsidRDefault="000B1B60" w:rsidP="0029347A">
      <w:pPr>
        <w:spacing w:after="0" w:line="240" w:lineRule="auto"/>
        <w:jc w:val="both"/>
        <w:rPr>
          <w:rFonts w:cs="Arial"/>
          <w:noProof/>
        </w:rPr>
      </w:pPr>
      <w:r w:rsidRPr="001116D8">
        <w:rPr>
          <w:sz w:val="20"/>
          <w:lang w:val="en-GB" w:eastAsia="en-GB"/>
        </w:rPr>
        <w:fldChar w:fldCharType="begin"/>
      </w:r>
      <w:r w:rsidRPr="001116D8">
        <w:instrText xml:space="preserve"> ADDIN EN.REFLIST </w:instrText>
      </w:r>
      <w:r w:rsidRPr="001116D8">
        <w:rPr>
          <w:sz w:val="20"/>
          <w:lang w:val="en-GB" w:eastAsia="en-GB"/>
        </w:rPr>
        <w:fldChar w:fldCharType="separate"/>
      </w:r>
      <w:bookmarkStart w:id="123" w:name="_ENREF_1"/>
      <w:r w:rsidR="0029347A" w:rsidRPr="0029347A">
        <w:rPr>
          <w:rFonts w:cs="Arial"/>
          <w:noProof/>
        </w:rPr>
        <w:t>1.</w:t>
      </w:r>
      <w:r w:rsidR="0029347A" w:rsidRPr="0029347A">
        <w:rPr>
          <w:rFonts w:cs="Arial"/>
          <w:noProof/>
        </w:rPr>
        <w:tab/>
        <w:t>Pauwels RA, Buist AS, Calverley PM, Jenkins CR, Hurd SS. Global Strategy for the Diagnosis, Management, and Prevention of Chronic Obstructive Pulmonary Disease Nhlbi/Who Global Initiative for Chronic Obstructive Lung Disease (Gold) Workshop Summary. American Journal of Respiratory and Critical Care Medicine. 2001;163(5):1256-76.</w:t>
      </w:r>
      <w:bookmarkEnd w:id="123"/>
    </w:p>
    <w:p w:rsidR="0029347A" w:rsidRPr="0029347A" w:rsidRDefault="0029347A" w:rsidP="0029347A">
      <w:pPr>
        <w:spacing w:after="0" w:line="240" w:lineRule="auto"/>
        <w:jc w:val="both"/>
        <w:rPr>
          <w:rFonts w:cs="Arial"/>
          <w:noProof/>
        </w:rPr>
      </w:pPr>
      <w:bookmarkStart w:id="124" w:name="_ENREF_2"/>
      <w:r w:rsidRPr="0029347A">
        <w:rPr>
          <w:rFonts w:cs="Arial"/>
          <w:noProof/>
        </w:rPr>
        <w:t>2.</w:t>
      </w:r>
      <w:r w:rsidRPr="0029347A">
        <w:rPr>
          <w:rFonts w:cs="Arial"/>
          <w:noProof/>
        </w:rPr>
        <w:tab/>
        <w:t>Barnes PJ, Drazen JM, Rennard SI, Thomson NC. Asthma and Copd: Basic Mechanisms and Clinical Management: Academic Press; 2009.</w:t>
      </w:r>
      <w:bookmarkEnd w:id="124"/>
    </w:p>
    <w:p w:rsidR="0029347A" w:rsidRPr="0029347A" w:rsidRDefault="0029347A" w:rsidP="0029347A">
      <w:pPr>
        <w:spacing w:after="0" w:line="240" w:lineRule="auto"/>
        <w:jc w:val="both"/>
        <w:rPr>
          <w:rFonts w:cs="Arial"/>
          <w:noProof/>
        </w:rPr>
      </w:pPr>
      <w:bookmarkStart w:id="125" w:name="_ENREF_3"/>
      <w:r w:rsidRPr="0029347A">
        <w:rPr>
          <w:rFonts w:cs="Arial"/>
          <w:noProof/>
        </w:rPr>
        <w:t>3.</w:t>
      </w:r>
      <w:r w:rsidRPr="0029347A">
        <w:rPr>
          <w:rFonts w:cs="Arial"/>
          <w:noProof/>
        </w:rPr>
        <w:tab/>
        <w:t>Fauci AS, Longo DL, Kasper DL, Hauser SL, Jameson JL, Loscalzo J, et al. Harrison's Principles of Internal Medicine: McGraw-Hill Medical New York; 2008.</w:t>
      </w:r>
      <w:bookmarkEnd w:id="125"/>
    </w:p>
    <w:p w:rsidR="0029347A" w:rsidRPr="0029347A" w:rsidRDefault="0029347A" w:rsidP="0029347A">
      <w:pPr>
        <w:spacing w:after="0" w:line="240" w:lineRule="auto"/>
        <w:jc w:val="both"/>
        <w:rPr>
          <w:rFonts w:cs="Arial"/>
          <w:noProof/>
        </w:rPr>
      </w:pPr>
      <w:bookmarkStart w:id="126" w:name="_ENREF_4"/>
      <w:r w:rsidRPr="0029347A">
        <w:rPr>
          <w:rFonts w:cs="Arial"/>
          <w:noProof/>
        </w:rPr>
        <w:t>4.</w:t>
      </w:r>
      <w:r w:rsidRPr="0029347A">
        <w:rPr>
          <w:rFonts w:cs="Arial"/>
          <w:noProof/>
        </w:rPr>
        <w:tab/>
        <w:t>Tashkin DP, Murray RP. Smoking Cessation in Chronic Obstructive Pulmonary Disease. Respiratory Medicine. 2009;103(7):963-74.</w:t>
      </w:r>
      <w:bookmarkEnd w:id="126"/>
    </w:p>
    <w:p w:rsidR="0029347A" w:rsidRPr="0029347A" w:rsidRDefault="0029347A" w:rsidP="0029347A">
      <w:pPr>
        <w:spacing w:after="0" w:line="240" w:lineRule="auto"/>
        <w:jc w:val="both"/>
        <w:rPr>
          <w:rFonts w:cs="Arial"/>
          <w:noProof/>
        </w:rPr>
      </w:pPr>
      <w:bookmarkStart w:id="127" w:name="_ENREF_5"/>
      <w:r w:rsidRPr="0029347A">
        <w:rPr>
          <w:rFonts w:cs="Arial"/>
          <w:noProof/>
        </w:rPr>
        <w:t>5.</w:t>
      </w:r>
      <w:r w:rsidRPr="0029347A">
        <w:rPr>
          <w:rFonts w:cs="Arial"/>
          <w:noProof/>
        </w:rPr>
        <w:tab/>
        <w:t>Ministry of Health. A Portrait of Health: Key Results of the 2006/07 New Zealand Health Survey. Wellington: Ministry of Health; 2008.</w:t>
      </w:r>
      <w:bookmarkEnd w:id="127"/>
    </w:p>
    <w:p w:rsidR="0029347A" w:rsidRPr="0029347A" w:rsidRDefault="0029347A" w:rsidP="0029347A">
      <w:pPr>
        <w:spacing w:after="0" w:line="240" w:lineRule="auto"/>
        <w:jc w:val="both"/>
        <w:rPr>
          <w:rFonts w:cs="Arial"/>
          <w:noProof/>
        </w:rPr>
      </w:pPr>
      <w:bookmarkStart w:id="128" w:name="_ENREF_6"/>
      <w:r w:rsidRPr="0029347A">
        <w:rPr>
          <w:rFonts w:cs="Arial"/>
          <w:noProof/>
        </w:rPr>
        <w:t>6.</w:t>
      </w:r>
      <w:r w:rsidRPr="0029347A">
        <w:rPr>
          <w:rFonts w:cs="Arial"/>
          <w:noProof/>
        </w:rPr>
        <w:tab/>
        <w:t>National Health Committee. Strategic Overview: Respiratory Disease in New Zealand. Wellington: 2013.</w:t>
      </w:r>
      <w:bookmarkEnd w:id="128"/>
    </w:p>
    <w:p w:rsidR="0029347A" w:rsidRPr="0029347A" w:rsidRDefault="0029347A" w:rsidP="0029347A">
      <w:pPr>
        <w:spacing w:after="0" w:line="240" w:lineRule="auto"/>
        <w:jc w:val="both"/>
        <w:rPr>
          <w:rFonts w:cs="Arial"/>
          <w:noProof/>
        </w:rPr>
      </w:pPr>
      <w:bookmarkStart w:id="129" w:name="_ENREF_7"/>
      <w:r w:rsidRPr="0029347A">
        <w:rPr>
          <w:rFonts w:cs="Arial"/>
          <w:noProof/>
        </w:rPr>
        <w:t>7.</w:t>
      </w:r>
      <w:r w:rsidRPr="0029347A">
        <w:rPr>
          <w:rFonts w:cs="Arial"/>
          <w:noProof/>
        </w:rPr>
        <w:tab/>
        <w:t>Page A, Ambrose SJ, Glover JD, Hetzel D. Atlas of Avoidable Hospitalisations in Australia: Ambulatory Care-Sensitive Conditions: Commonwealth of Australia; 2007.</w:t>
      </w:r>
      <w:bookmarkEnd w:id="129"/>
    </w:p>
    <w:p w:rsidR="0029347A" w:rsidRPr="0029347A" w:rsidRDefault="0029347A" w:rsidP="0029347A">
      <w:pPr>
        <w:spacing w:after="0" w:line="240" w:lineRule="auto"/>
        <w:jc w:val="both"/>
        <w:rPr>
          <w:rFonts w:cs="Arial"/>
          <w:noProof/>
        </w:rPr>
      </w:pPr>
      <w:bookmarkStart w:id="130" w:name="_ENREF_8"/>
      <w:r w:rsidRPr="0029347A">
        <w:rPr>
          <w:rFonts w:cs="Arial"/>
          <w:noProof/>
        </w:rPr>
        <w:t>8.</w:t>
      </w:r>
      <w:r w:rsidRPr="0029347A">
        <w:rPr>
          <w:rFonts w:cs="Arial"/>
          <w:noProof/>
        </w:rPr>
        <w:tab/>
        <w:t>Technical Advisory Services Limited. Health Needs Assessment for the Central Region's District Health Boards. Central Region's Technical Advisory Services Limited, 2008.</w:t>
      </w:r>
      <w:bookmarkEnd w:id="130"/>
    </w:p>
    <w:p w:rsidR="0029347A" w:rsidRPr="0029347A" w:rsidRDefault="0029347A" w:rsidP="0029347A">
      <w:pPr>
        <w:spacing w:after="0" w:line="240" w:lineRule="auto"/>
        <w:jc w:val="both"/>
        <w:rPr>
          <w:rFonts w:cs="Arial"/>
          <w:noProof/>
        </w:rPr>
      </w:pPr>
      <w:bookmarkStart w:id="131" w:name="_ENREF_9"/>
      <w:r w:rsidRPr="0029347A">
        <w:rPr>
          <w:rFonts w:cs="Arial"/>
          <w:noProof/>
        </w:rPr>
        <w:t>9.</w:t>
      </w:r>
      <w:r w:rsidRPr="0029347A">
        <w:rPr>
          <w:rFonts w:cs="Arial"/>
          <w:noProof/>
        </w:rPr>
        <w:tab/>
        <w:t>Page A, Tobias M, Glover J, Wright C, Hetzel D, Fisher E. Australian and New Zealand Atlas of Avoidable Mortality. Adelaide: PHIDU, University of Adelaide; 2006.</w:t>
      </w:r>
      <w:bookmarkEnd w:id="131"/>
    </w:p>
    <w:p w:rsidR="0029347A" w:rsidRPr="0029347A" w:rsidRDefault="0029347A" w:rsidP="0029347A">
      <w:pPr>
        <w:spacing w:after="0" w:line="240" w:lineRule="auto"/>
        <w:jc w:val="both"/>
        <w:rPr>
          <w:rFonts w:cs="Arial"/>
          <w:noProof/>
        </w:rPr>
      </w:pPr>
      <w:bookmarkStart w:id="132" w:name="_ENREF_10"/>
      <w:r w:rsidRPr="0029347A">
        <w:rPr>
          <w:rFonts w:cs="Arial"/>
          <w:noProof/>
        </w:rPr>
        <w:t>10.</w:t>
      </w:r>
      <w:r w:rsidRPr="0029347A">
        <w:rPr>
          <w:rFonts w:cs="Arial"/>
          <w:noProof/>
        </w:rPr>
        <w:tab/>
        <w:t>Organization for Economic Cooperation Development. Health at a Glance 2011: Oecd Indicators: OECD; 2011.</w:t>
      </w:r>
      <w:bookmarkEnd w:id="132"/>
    </w:p>
    <w:p w:rsidR="0029347A" w:rsidRPr="0029347A" w:rsidRDefault="0029347A" w:rsidP="0029347A">
      <w:pPr>
        <w:spacing w:after="0" w:line="240" w:lineRule="auto"/>
        <w:jc w:val="both"/>
        <w:rPr>
          <w:rFonts w:cs="Arial"/>
          <w:noProof/>
        </w:rPr>
      </w:pPr>
      <w:bookmarkStart w:id="133" w:name="_ENREF_11"/>
      <w:r w:rsidRPr="0029347A">
        <w:rPr>
          <w:rFonts w:cs="Arial"/>
          <w:noProof/>
        </w:rPr>
        <w:t>11.</w:t>
      </w:r>
      <w:r w:rsidRPr="0029347A">
        <w:rPr>
          <w:rFonts w:cs="Arial"/>
          <w:noProof/>
        </w:rPr>
        <w:tab/>
        <w:t>Town I, Taylor R, Garrett J, Patterson J. The Burden of Copd in New Zealand. The Thoracic Society of Australia and New Zealand and The Asthma Respiratory Foundation of New Zealand, 2003.</w:t>
      </w:r>
      <w:bookmarkEnd w:id="133"/>
    </w:p>
    <w:p w:rsidR="0029347A" w:rsidRPr="0029347A" w:rsidRDefault="0029347A" w:rsidP="0029347A">
      <w:pPr>
        <w:spacing w:after="0" w:line="240" w:lineRule="auto"/>
        <w:jc w:val="both"/>
        <w:rPr>
          <w:rFonts w:cs="Arial"/>
          <w:noProof/>
        </w:rPr>
      </w:pPr>
      <w:bookmarkStart w:id="134" w:name="_ENREF_12"/>
      <w:r w:rsidRPr="0029347A">
        <w:rPr>
          <w:rFonts w:cs="Arial"/>
          <w:noProof/>
        </w:rPr>
        <w:t>12.</w:t>
      </w:r>
      <w:r w:rsidRPr="0029347A">
        <w:rPr>
          <w:rFonts w:cs="Arial"/>
          <w:noProof/>
        </w:rPr>
        <w:tab/>
        <w:t>Auckland DHB. Auckland District Health Board - Adult Health Services Charges for Patients Not Eligible for Publicly Funded Health Services Effective: 12 October 2010. 2010.</w:t>
      </w:r>
      <w:bookmarkEnd w:id="134"/>
    </w:p>
    <w:p w:rsidR="0029347A" w:rsidRPr="0029347A" w:rsidRDefault="0029347A" w:rsidP="0029347A">
      <w:pPr>
        <w:spacing w:after="0" w:line="240" w:lineRule="auto"/>
        <w:jc w:val="both"/>
        <w:rPr>
          <w:rFonts w:cs="Arial"/>
          <w:noProof/>
        </w:rPr>
      </w:pPr>
      <w:bookmarkStart w:id="135" w:name="_ENREF_13"/>
      <w:r w:rsidRPr="0029347A">
        <w:rPr>
          <w:rFonts w:cs="Arial"/>
          <w:noProof/>
        </w:rPr>
        <w:t>13.</w:t>
      </w:r>
      <w:r w:rsidRPr="0029347A">
        <w:rPr>
          <w:rFonts w:cs="Arial"/>
          <w:noProof/>
        </w:rPr>
        <w:tab/>
        <w:t>Foster R, Blakely T, Wilson N, O'Dea D. Protocol for Direct Costing of Health Sector Interventions for Economic Modelling (Including Event Pathways): Burden of Disease Epidemiology, Equity and Cost-Effectiveness Programme (Bode3). Wellington: Department of Public Health, University of Otago, 2013 12.</w:t>
      </w:r>
      <w:bookmarkEnd w:id="135"/>
    </w:p>
    <w:p w:rsidR="0029347A" w:rsidRPr="0029347A" w:rsidRDefault="0029347A" w:rsidP="0029347A">
      <w:pPr>
        <w:spacing w:after="0" w:line="240" w:lineRule="auto"/>
        <w:jc w:val="both"/>
        <w:rPr>
          <w:rFonts w:cs="Arial"/>
          <w:noProof/>
        </w:rPr>
      </w:pPr>
      <w:bookmarkStart w:id="136" w:name="_ENREF_14"/>
      <w:r w:rsidRPr="0029347A">
        <w:rPr>
          <w:rFonts w:cs="Arial"/>
          <w:noProof/>
        </w:rPr>
        <w:t>14.</w:t>
      </w:r>
      <w:r w:rsidRPr="0029347A">
        <w:rPr>
          <w:rFonts w:cs="Arial"/>
          <w:noProof/>
        </w:rPr>
        <w:tab/>
        <w:t>Connolly MJ, Kenealy T, Barber PA, Carswell P, Clinton J, Dyall L, et al. National Variability in Provision of Health Services for Major Long-Term Conditions in New Zealand (a Report from the Abcc Nz Study). Journal of the New Zealand Medical Association. 2011;124(1344).</w:t>
      </w:r>
      <w:bookmarkEnd w:id="136"/>
    </w:p>
    <w:p w:rsidR="0029347A" w:rsidRPr="0029347A" w:rsidRDefault="0029347A" w:rsidP="0029347A">
      <w:pPr>
        <w:spacing w:after="0" w:line="240" w:lineRule="auto"/>
        <w:jc w:val="both"/>
        <w:rPr>
          <w:rFonts w:cs="Arial"/>
          <w:noProof/>
        </w:rPr>
      </w:pPr>
      <w:bookmarkStart w:id="137" w:name="_ENREF_15"/>
      <w:r w:rsidRPr="0029347A">
        <w:rPr>
          <w:rFonts w:cs="Arial"/>
          <w:noProof/>
        </w:rPr>
        <w:t>15.</w:t>
      </w:r>
      <w:r w:rsidRPr="0029347A">
        <w:rPr>
          <w:rFonts w:cs="Arial"/>
          <w:noProof/>
        </w:rPr>
        <w:tab/>
        <w:t xml:space="preserve">Ministry of Health. Health Loss in New Zealand: A Report from the New Zealand Burden of Diseases, Injuries and Risk Factors Study, 2006-2016. Wellington: Ministry of Health, 2013. Available from: </w:t>
      </w:r>
      <w:hyperlink r:id="rId31" w:history="1">
        <w:r w:rsidRPr="0029347A">
          <w:rPr>
            <w:rStyle w:val="Hyperlink"/>
            <w:rFonts w:cs="Arial"/>
            <w:noProof/>
          </w:rPr>
          <w:t>http://www.health.govt.nz/publication/health-loss-new-zealand-report-new-zealand-burden-diseases-injuries-and-risk-factors-study-2006-2016</w:t>
        </w:r>
      </w:hyperlink>
      <w:r w:rsidRPr="0029347A">
        <w:rPr>
          <w:rFonts w:cs="Arial"/>
          <w:noProof/>
        </w:rPr>
        <w:t>.</w:t>
      </w:r>
      <w:bookmarkEnd w:id="137"/>
    </w:p>
    <w:p w:rsidR="0029347A" w:rsidRPr="0029347A" w:rsidRDefault="0029347A" w:rsidP="0029347A">
      <w:pPr>
        <w:spacing w:after="0" w:line="240" w:lineRule="auto"/>
        <w:jc w:val="both"/>
        <w:rPr>
          <w:rFonts w:cs="Arial"/>
          <w:noProof/>
        </w:rPr>
      </w:pPr>
      <w:bookmarkStart w:id="138" w:name="_ENREF_16"/>
      <w:r w:rsidRPr="0029347A">
        <w:rPr>
          <w:rFonts w:cs="Arial"/>
          <w:noProof/>
        </w:rPr>
        <w:t>16.</w:t>
      </w:r>
      <w:r w:rsidRPr="0029347A">
        <w:rPr>
          <w:rFonts w:cs="Arial"/>
          <w:noProof/>
        </w:rPr>
        <w:tab/>
        <w:t>McKenzie D, Abramson M, Crockett A, Dabscheck E, Glasgow N, Jenkins S, et al. Australian Lung Foundation, Thoracic Society of Australia and New Zealand. The Copdx Plan: Australian and New Zealand Guidelines for the Management of Chronic Obstructive Pulmonary Disease 2012. 2012.</w:t>
      </w:r>
      <w:bookmarkEnd w:id="138"/>
    </w:p>
    <w:p w:rsidR="0029347A" w:rsidRPr="0029347A" w:rsidRDefault="0029347A" w:rsidP="0029347A">
      <w:pPr>
        <w:spacing w:after="0" w:line="240" w:lineRule="auto"/>
        <w:jc w:val="both"/>
        <w:rPr>
          <w:rFonts w:cs="Arial"/>
          <w:noProof/>
        </w:rPr>
      </w:pPr>
      <w:bookmarkStart w:id="139" w:name="_ENREF_17"/>
      <w:r w:rsidRPr="0029347A">
        <w:rPr>
          <w:rFonts w:cs="Arial"/>
          <w:noProof/>
        </w:rPr>
        <w:t>17.</w:t>
      </w:r>
      <w:r w:rsidRPr="0029347A">
        <w:rPr>
          <w:rFonts w:cs="Arial"/>
          <w:noProof/>
        </w:rPr>
        <w:tab/>
        <w:t>Lacasse Y, Goldstein R, Lasserson T, Martin S. Pulmonary Rehabilitation for Chronic Obstructive Pulmonary Disease. Cochrane Database Syst Rev. 2006;4(4).</w:t>
      </w:r>
      <w:bookmarkEnd w:id="139"/>
    </w:p>
    <w:p w:rsidR="0029347A" w:rsidRPr="0029347A" w:rsidRDefault="0029347A" w:rsidP="0029347A">
      <w:pPr>
        <w:spacing w:after="0" w:line="240" w:lineRule="auto"/>
        <w:jc w:val="both"/>
        <w:rPr>
          <w:rFonts w:cs="Arial"/>
          <w:noProof/>
        </w:rPr>
      </w:pPr>
      <w:bookmarkStart w:id="140" w:name="_ENREF_18"/>
      <w:r w:rsidRPr="0029347A">
        <w:rPr>
          <w:rFonts w:cs="Arial"/>
          <w:noProof/>
        </w:rPr>
        <w:t>18.</w:t>
      </w:r>
      <w:r w:rsidRPr="0029347A">
        <w:rPr>
          <w:rFonts w:cs="Arial"/>
          <w:noProof/>
        </w:rPr>
        <w:tab/>
        <w:t>Levack WM, Weatherall M, Reeve JC, Mans C, Mauro A. Uptake of Pulmonary Rehabilitation in New Zealand by People with Chronic Obstructive Pulmonary Disease in 2009. Clinical Correspondence. 2012.</w:t>
      </w:r>
      <w:bookmarkEnd w:id="140"/>
    </w:p>
    <w:p w:rsidR="0029347A" w:rsidRPr="0029347A" w:rsidRDefault="0029347A" w:rsidP="0029347A">
      <w:pPr>
        <w:spacing w:after="0" w:line="240" w:lineRule="auto"/>
        <w:jc w:val="both"/>
        <w:rPr>
          <w:rFonts w:cs="Arial"/>
          <w:noProof/>
        </w:rPr>
      </w:pPr>
      <w:bookmarkStart w:id="141" w:name="_ENREF_19"/>
      <w:r w:rsidRPr="0029347A">
        <w:rPr>
          <w:rFonts w:cs="Arial"/>
          <w:noProof/>
        </w:rPr>
        <w:t>19.</w:t>
      </w:r>
      <w:r w:rsidRPr="0029347A">
        <w:rPr>
          <w:rFonts w:cs="Arial"/>
          <w:noProof/>
        </w:rPr>
        <w:tab/>
        <w:t xml:space="preserve">McLean S, Nurmatov U, Liu Joseph LY, Pagliari C, Car J, Sheikh A. Telehealthcare for Chronic Obstructive Pulmonary Disease. Cochrane Database of Systematic Reviews [Internet]. 2011; (7). Available from: </w:t>
      </w:r>
      <w:hyperlink r:id="rId32" w:history="1">
        <w:r w:rsidRPr="0029347A">
          <w:rPr>
            <w:rStyle w:val="Hyperlink"/>
            <w:rFonts w:cs="Arial"/>
            <w:noProof/>
          </w:rPr>
          <w:t>http://onlinelibrary.wiley.com/doi/10.1002/14651858.CD007718.pub2/abstract</w:t>
        </w:r>
      </w:hyperlink>
      <w:r w:rsidRPr="0029347A">
        <w:rPr>
          <w:rFonts w:cs="Arial"/>
          <w:noProof/>
        </w:rPr>
        <w:t>.</w:t>
      </w:r>
      <w:bookmarkEnd w:id="141"/>
    </w:p>
    <w:p w:rsidR="0029347A" w:rsidRPr="0029347A" w:rsidRDefault="0029347A" w:rsidP="0029347A">
      <w:pPr>
        <w:spacing w:after="0" w:line="240" w:lineRule="auto"/>
        <w:jc w:val="both"/>
        <w:rPr>
          <w:rFonts w:cs="Arial"/>
          <w:noProof/>
        </w:rPr>
      </w:pPr>
      <w:bookmarkStart w:id="142" w:name="_ENREF_20"/>
      <w:r w:rsidRPr="0029347A">
        <w:rPr>
          <w:rFonts w:cs="Arial"/>
          <w:noProof/>
        </w:rPr>
        <w:t>20.</w:t>
      </w:r>
      <w:r w:rsidRPr="0029347A">
        <w:rPr>
          <w:rFonts w:cs="Arial"/>
          <w:noProof/>
        </w:rPr>
        <w:tab/>
        <w:t>Effing T, Kerstjens H, van der Valk P, Zielhuis G, van der Palen J. (Cost)-Effectiveness of Self-Treatment of Exacerbations on the Severity of Exacerbations in Patients with Copd: The Cope Ii Study. Thorax. 2009;64(11):956-62.</w:t>
      </w:r>
      <w:bookmarkEnd w:id="142"/>
    </w:p>
    <w:p w:rsidR="0029347A" w:rsidRPr="0029347A" w:rsidRDefault="0029347A" w:rsidP="0029347A">
      <w:pPr>
        <w:spacing w:after="0" w:line="240" w:lineRule="auto"/>
        <w:jc w:val="both"/>
        <w:rPr>
          <w:rFonts w:cs="Arial"/>
          <w:noProof/>
        </w:rPr>
      </w:pPr>
      <w:bookmarkStart w:id="143" w:name="_ENREF_21"/>
      <w:r w:rsidRPr="0029347A">
        <w:rPr>
          <w:rFonts w:cs="Arial"/>
          <w:noProof/>
        </w:rPr>
        <w:t>21.</w:t>
      </w:r>
      <w:r w:rsidRPr="0029347A">
        <w:rPr>
          <w:rFonts w:cs="Arial"/>
          <w:noProof/>
        </w:rPr>
        <w:tab/>
        <w:t>Ram F, Picot J, Lightowler J, Wedzicha J. Non-Invasive Positive Pressure Ventilation for Treatment of Respiratory Failure Due to Exacerbations of Chronic Obstructive Pulmonary Disease. Cochrane Database Syst Rev. 2004;3(3).</w:t>
      </w:r>
      <w:bookmarkEnd w:id="143"/>
    </w:p>
    <w:p w:rsidR="0029347A" w:rsidRPr="0029347A" w:rsidRDefault="0029347A" w:rsidP="0029347A">
      <w:pPr>
        <w:spacing w:after="0" w:line="240" w:lineRule="auto"/>
        <w:jc w:val="both"/>
        <w:rPr>
          <w:rFonts w:cs="Arial"/>
          <w:noProof/>
        </w:rPr>
      </w:pPr>
      <w:bookmarkStart w:id="144" w:name="_ENREF_22"/>
      <w:r w:rsidRPr="0029347A">
        <w:rPr>
          <w:rFonts w:cs="Arial"/>
          <w:noProof/>
        </w:rPr>
        <w:t>22.</w:t>
      </w:r>
      <w:r w:rsidRPr="0029347A">
        <w:rPr>
          <w:rFonts w:cs="Arial"/>
          <w:noProof/>
        </w:rPr>
        <w:tab/>
        <w:t xml:space="preserve">Jeppesen E, Brurberg Kjetil G, Vist Gunn E, Wedzicha Jadwiga A, Wright John J, Greenstone M, et al. Hospital at Home for Acute Exacerbations of Chronic Obstructive Pulmonary Disease. Cochrane Database of Systematic Reviews [Internet]. 2012; (5). Available from: </w:t>
      </w:r>
      <w:hyperlink r:id="rId33" w:history="1">
        <w:r w:rsidRPr="0029347A">
          <w:rPr>
            <w:rStyle w:val="Hyperlink"/>
            <w:rFonts w:cs="Arial"/>
            <w:noProof/>
          </w:rPr>
          <w:t>http://onlinelibrary.wiley.com/doi/10.1002/14651858.CD003573.pub2/abstract</w:t>
        </w:r>
      </w:hyperlink>
      <w:r w:rsidRPr="0029347A">
        <w:rPr>
          <w:rFonts w:cs="Arial"/>
          <w:noProof/>
        </w:rPr>
        <w:t>.</w:t>
      </w:r>
      <w:bookmarkEnd w:id="144"/>
    </w:p>
    <w:p w:rsidR="0029347A" w:rsidRPr="0029347A" w:rsidRDefault="0029347A" w:rsidP="0029347A">
      <w:pPr>
        <w:spacing w:after="0" w:line="240" w:lineRule="auto"/>
        <w:jc w:val="both"/>
        <w:rPr>
          <w:rFonts w:cs="Arial"/>
          <w:noProof/>
        </w:rPr>
      </w:pPr>
      <w:bookmarkStart w:id="145" w:name="_ENREF_23"/>
      <w:r w:rsidRPr="0029347A">
        <w:rPr>
          <w:rFonts w:cs="Arial"/>
          <w:noProof/>
        </w:rPr>
        <w:t>23.</w:t>
      </w:r>
      <w:r w:rsidRPr="0029347A">
        <w:rPr>
          <w:rFonts w:cs="Arial"/>
          <w:noProof/>
        </w:rPr>
        <w:tab/>
        <w:t>Tiong LU, Davies R, Gibson P, Hensley M, Hepworth R, Lasserson T, et al. Lung Volume Reduction Surgery for Diffuse Emphysema. Cochrane Database Syst Rev. 2006;4.</w:t>
      </w:r>
      <w:bookmarkEnd w:id="145"/>
    </w:p>
    <w:p w:rsidR="0029347A" w:rsidRPr="0029347A" w:rsidRDefault="0029347A" w:rsidP="0029347A">
      <w:pPr>
        <w:spacing w:after="0" w:line="240" w:lineRule="auto"/>
        <w:jc w:val="both"/>
        <w:rPr>
          <w:rFonts w:cs="Arial"/>
          <w:noProof/>
        </w:rPr>
      </w:pPr>
      <w:bookmarkStart w:id="146" w:name="_ENREF_24"/>
      <w:r w:rsidRPr="0029347A">
        <w:rPr>
          <w:rFonts w:cs="Arial"/>
          <w:noProof/>
        </w:rPr>
        <w:t>24.</w:t>
      </w:r>
      <w:r w:rsidRPr="0029347A">
        <w:rPr>
          <w:rFonts w:cs="Arial"/>
          <w:noProof/>
        </w:rPr>
        <w:tab/>
        <w:t>Van Schayck C, Loozen J, Wagena E, Akkermans R, Wesseling G. Detecting Patients at a High Risk of Developing Chronic Obstructive Pulmonary Disease in General Practice: Cross Sectional Case Finding Study. BMJ. 2002;324(7350):1370.</w:t>
      </w:r>
      <w:bookmarkEnd w:id="146"/>
    </w:p>
    <w:p w:rsidR="0029347A" w:rsidRPr="0029347A" w:rsidRDefault="0029347A" w:rsidP="0029347A">
      <w:pPr>
        <w:spacing w:after="0" w:line="240" w:lineRule="auto"/>
        <w:jc w:val="both"/>
        <w:rPr>
          <w:rFonts w:cs="Arial"/>
          <w:noProof/>
        </w:rPr>
      </w:pPr>
      <w:bookmarkStart w:id="147" w:name="_ENREF_25"/>
      <w:r w:rsidRPr="0029347A">
        <w:rPr>
          <w:rFonts w:cs="Arial"/>
          <w:noProof/>
        </w:rPr>
        <w:t>25.</w:t>
      </w:r>
      <w:r w:rsidRPr="0029347A">
        <w:rPr>
          <w:rFonts w:cs="Arial"/>
          <w:noProof/>
        </w:rPr>
        <w:tab/>
        <w:t>Johnson C, Connolly M, Clover S, Campbell L, Goonan R, Salmon E, et al. Audit of Acute Exacerbations of Chronic Obstructive Pulmonary Disease at Waitemata District Health Board, New Zealand. The New Zealand Medical Journal. 2012;126(1378):15-25.</w:t>
      </w:r>
      <w:bookmarkEnd w:id="147"/>
    </w:p>
    <w:p w:rsidR="0029347A" w:rsidRPr="0029347A" w:rsidRDefault="0029347A" w:rsidP="0029347A">
      <w:pPr>
        <w:spacing w:after="0" w:line="240" w:lineRule="auto"/>
        <w:jc w:val="both"/>
        <w:rPr>
          <w:rFonts w:cs="Arial"/>
          <w:noProof/>
        </w:rPr>
      </w:pPr>
      <w:bookmarkStart w:id="148" w:name="_ENREF_26"/>
      <w:r w:rsidRPr="0029347A">
        <w:rPr>
          <w:rFonts w:cs="Arial"/>
          <w:noProof/>
        </w:rPr>
        <w:t>26.</w:t>
      </w:r>
      <w:r w:rsidRPr="0029347A">
        <w:rPr>
          <w:rFonts w:cs="Arial"/>
          <w:noProof/>
        </w:rPr>
        <w:tab/>
        <w:t>Roberts C, Stone R, Buckingham R, Pursey N, Lowe D. Acidosis, Non-Invasive Ventilation and Mortality in Hospitalised Copd Exacerbations. Thorax. 2011;66(1):43-8.</w:t>
      </w:r>
      <w:bookmarkEnd w:id="148"/>
    </w:p>
    <w:p w:rsidR="0029347A" w:rsidRPr="0029347A" w:rsidRDefault="0029347A" w:rsidP="0029347A">
      <w:pPr>
        <w:spacing w:after="0" w:line="240" w:lineRule="auto"/>
        <w:jc w:val="both"/>
        <w:rPr>
          <w:rFonts w:cs="Arial"/>
          <w:noProof/>
        </w:rPr>
      </w:pPr>
      <w:bookmarkStart w:id="149" w:name="_ENREF_27"/>
      <w:r w:rsidRPr="0029347A">
        <w:rPr>
          <w:rFonts w:cs="Arial"/>
          <w:noProof/>
        </w:rPr>
        <w:t>27.</w:t>
      </w:r>
      <w:r w:rsidRPr="0029347A">
        <w:rPr>
          <w:rFonts w:cs="Arial"/>
          <w:noProof/>
        </w:rPr>
        <w:tab/>
        <w:t>Garrett J, Chen B, Taylor DR. A Survey of Respiratory and Sleep Services in New Zealand Undertaken by the Thoracic Society of Australia and New Zealand (Tsanz). The New Zealand Medical Journal. 2009;122(1289).</w:t>
      </w:r>
      <w:bookmarkEnd w:id="149"/>
    </w:p>
    <w:p w:rsidR="0029347A" w:rsidRPr="0029347A" w:rsidRDefault="0029347A" w:rsidP="0029347A">
      <w:pPr>
        <w:spacing w:after="0" w:line="240" w:lineRule="auto"/>
        <w:jc w:val="both"/>
        <w:rPr>
          <w:rFonts w:cs="Arial"/>
          <w:noProof/>
        </w:rPr>
      </w:pPr>
      <w:bookmarkStart w:id="150" w:name="_ENREF_28"/>
      <w:r w:rsidRPr="0029347A">
        <w:rPr>
          <w:rFonts w:cs="Arial"/>
          <w:noProof/>
        </w:rPr>
        <w:t>28.</w:t>
      </w:r>
      <w:r w:rsidRPr="0029347A">
        <w:rPr>
          <w:rFonts w:cs="Arial"/>
          <w:noProof/>
        </w:rPr>
        <w:tab/>
        <w:t xml:space="preserve">Ministry of Health. The Health of New Zealand Adults 2011/12: Key Findings of the New Zealand Health Survey. Wellington: Ministry of Health, 2012. Available from: </w:t>
      </w:r>
      <w:hyperlink r:id="rId34" w:history="1">
        <w:r w:rsidRPr="0029347A">
          <w:rPr>
            <w:rStyle w:val="Hyperlink"/>
            <w:rFonts w:cs="Arial"/>
            <w:noProof/>
          </w:rPr>
          <w:t>http://www.health.govt.nz/publication/health-new-zealand-adults-2011-12</w:t>
        </w:r>
      </w:hyperlink>
      <w:r w:rsidRPr="0029347A">
        <w:rPr>
          <w:rFonts w:cs="Arial"/>
          <w:noProof/>
        </w:rPr>
        <w:t>.</w:t>
      </w:r>
      <w:bookmarkEnd w:id="150"/>
    </w:p>
    <w:p w:rsidR="0029347A" w:rsidRPr="0029347A" w:rsidRDefault="0029347A" w:rsidP="0029347A">
      <w:pPr>
        <w:spacing w:line="240" w:lineRule="auto"/>
        <w:jc w:val="both"/>
        <w:rPr>
          <w:rFonts w:cs="Arial"/>
          <w:noProof/>
        </w:rPr>
      </w:pPr>
      <w:bookmarkStart w:id="151" w:name="_ENREF_29"/>
      <w:r w:rsidRPr="0029347A">
        <w:rPr>
          <w:rFonts w:cs="Arial"/>
          <w:noProof/>
        </w:rPr>
        <w:t>29.</w:t>
      </w:r>
      <w:r w:rsidRPr="0029347A">
        <w:rPr>
          <w:rFonts w:cs="Arial"/>
          <w:noProof/>
        </w:rPr>
        <w:tab/>
        <w:t xml:space="preserve">Ministry of Health. New Zealand Cancer Registry (Nzcr) Wellington: Ministry of Health; 2013 [updated 19 July 2013; cited 2014 January 24]. Available from: </w:t>
      </w:r>
      <w:hyperlink r:id="rId35" w:history="1">
        <w:r w:rsidRPr="0029347A">
          <w:rPr>
            <w:rStyle w:val="Hyperlink"/>
            <w:rFonts w:cs="Arial"/>
            <w:noProof/>
          </w:rPr>
          <w:t>http://www.health.govt.nz/nz-health-statistics/national-collections-and-surveys/collections/new-zealand-cancer-registry-nzcr</w:t>
        </w:r>
      </w:hyperlink>
      <w:r w:rsidRPr="0029347A">
        <w:rPr>
          <w:rFonts w:cs="Arial"/>
          <w:noProof/>
        </w:rPr>
        <w:t>.</w:t>
      </w:r>
      <w:bookmarkEnd w:id="151"/>
    </w:p>
    <w:p w:rsidR="0029347A" w:rsidRDefault="0029347A" w:rsidP="0029347A">
      <w:pPr>
        <w:spacing w:line="240" w:lineRule="auto"/>
        <w:jc w:val="both"/>
        <w:rPr>
          <w:rFonts w:cs="Arial"/>
          <w:noProof/>
        </w:rPr>
      </w:pPr>
    </w:p>
    <w:p w:rsidR="000B1B60" w:rsidRDefault="000B1B60" w:rsidP="00C54A8A">
      <w:pPr>
        <w:jc w:val="both"/>
        <w:rPr>
          <w:rFonts w:cs="Arial"/>
          <w:color w:val="000000"/>
        </w:rPr>
      </w:pPr>
      <w:r w:rsidRPr="001116D8">
        <w:rPr>
          <w:rFonts w:cs="Arial"/>
          <w:color w:val="000000"/>
        </w:rPr>
        <w:fldChar w:fldCharType="end"/>
      </w:r>
    </w:p>
    <w:p w:rsidR="00402750" w:rsidRDefault="00402750" w:rsidP="00C54A8A">
      <w:pPr>
        <w:jc w:val="both"/>
        <w:rPr>
          <w:rFonts w:cs="Arial"/>
          <w:color w:val="000000"/>
        </w:rPr>
      </w:pPr>
    </w:p>
    <w:p w:rsidR="00DD7A52" w:rsidRDefault="00DD7A52" w:rsidP="00C54A8A">
      <w:pPr>
        <w:jc w:val="both"/>
        <w:rPr>
          <w:rFonts w:cs="Arial"/>
          <w:color w:val="000000"/>
        </w:rPr>
      </w:pPr>
    </w:p>
    <w:p w:rsidR="00DD7A52" w:rsidRDefault="00DD7A52" w:rsidP="00C54A8A">
      <w:pPr>
        <w:jc w:val="both"/>
        <w:rPr>
          <w:rFonts w:cs="Arial"/>
          <w:color w:val="000000"/>
        </w:rPr>
      </w:pPr>
    </w:p>
    <w:p w:rsidR="00DD7A52" w:rsidRDefault="00DD7A52" w:rsidP="00C54A8A">
      <w:pPr>
        <w:jc w:val="both"/>
        <w:rPr>
          <w:rFonts w:cs="Arial"/>
          <w:color w:val="000000"/>
        </w:rPr>
      </w:pPr>
    </w:p>
    <w:p w:rsidR="00DD7A52" w:rsidRDefault="00DD7A52" w:rsidP="00C54A8A">
      <w:pPr>
        <w:jc w:val="both"/>
        <w:rPr>
          <w:rFonts w:cs="Arial"/>
          <w:color w:val="000000"/>
        </w:rPr>
      </w:pPr>
    </w:p>
    <w:p w:rsidR="00DD7A52" w:rsidRDefault="00DD7A52" w:rsidP="00C54A8A">
      <w:pPr>
        <w:jc w:val="both"/>
        <w:rPr>
          <w:rFonts w:cs="Arial"/>
          <w:color w:val="000000"/>
        </w:rPr>
      </w:pPr>
    </w:p>
    <w:p w:rsidR="00DD7A52" w:rsidRDefault="00DD7A52" w:rsidP="00C54A8A">
      <w:pPr>
        <w:jc w:val="both"/>
        <w:rPr>
          <w:rFonts w:cs="Arial"/>
          <w:color w:val="000000"/>
        </w:rPr>
      </w:pPr>
    </w:p>
    <w:p w:rsidR="00DD7A52" w:rsidRDefault="00DD7A52" w:rsidP="00C54A8A">
      <w:pPr>
        <w:jc w:val="both"/>
        <w:rPr>
          <w:rFonts w:cs="Arial"/>
          <w:color w:val="000000"/>
        </w:rPr>
      </w:pPr>
    </w:p>
    <w:p w:rsidR="00937FCB" w:rsidRDefault="00937FCB" w:rsidP="00C54A8A">
      <w:pPr>
        <w:jc w:val="both"/>
        <w:rPr>
          <w:rFonts w:cs="Arial"/>
          <w:color w:val="000000"/>
        </w:rPr>
      </w:pPr>
    </w:p>
    <w:p w:rsidR="00402750" w:rsidRDefault="00402750" w:rsidP="00C54A8A">
      <w:pPr>
        <w:pStyle w:val="Head1-nonumber"/>
        <w:jc w:val="both"/>
      </w:pPr>
      <w:bookmarkStart w:id="152" w:name="_Toc382574749"/>
      <w:r>
        <w:t>Appendix 1: Cost Tables</w:t>
      </w:r>
      <w:bookmarkEnd w:id="152"/>
    </w:p>
    <w:p w:rsidR="0095238C" w:rsidRDefault="0095238C" w:rsidP="00C54A8A">
      <w:pPr>
        <w:pStyle w:val="Head2nonumber"/>
        <w:jc w:val="both"/>
      </w:pPr>
      <w:bookmarkStart w:id="153" w:name="_Toc371949675"/>
      <w:bookmarkStart w:id="154" w:name="_Toc382225527"/>
      <w:bookmarkStart w:id="155" w:name="_Toc382475509"/>
      <w:bookmarkStart w:id="156" w:name="_Toc382554896"/>
      <w:bookmarkStart w:id="157" w:name="_Toc382574750"/>
      <w:r>
        <w:t>Total N</w:t>
      </w:r>
      <w:r w:rsidR="00E222C2">
        <w:t xml:space="preserve">ew </w:t>
      </w:r>
      <w:r>
        <w:t>Z</w:t>
      </w:r>
      <w:bookmarkEnd w:id="153"/>
      <w:bookmarkEnd w:id="154"/>
      <w:bookmarkEnd w:id="155"/>
      <w:r w:rsidR="00E222C2">
        <w:t>ealand</w:t>
      </w:r>
      <w:bookmarkEnd w:id="156"/>
      <w:bookmarkEnd w:id="157"/>
    </w:p>
    <w:tbl>
      <w:tblPr>
        <w:tblStyle w:val="MediumShading1-Accent3"/>
        <w:tblW w:w="9284" w:type="dxa"/>
        <w:tblLook w:val="04E0" w:firstRow="1" w:lastRow="1" w:firstColumn="1" w:lastColumn="0" w:noHBand="0" w:noVBand="1"/>
      </w:tblPr>
      <w:tblGrid>
        <w:gridCol w:w="3160"/>
        <w:gridCol w:w="1505"/>
        <w:gridCol w:w="1906"/>
        <w:gridCol w:w="1440"/>
        <w:gridCol w:w="1273"/>
      </w:tblGrid>
      <w:tr w:rsidR="00E222C2" w:rsidRPr="00402750" w:rsidTr="00E222C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E222C2" w:rsidRPr="00F74054" w:rsidRDefault="00E222C2" w:rsidP="00C54A8A">
            <w:pPr>
              <w:spacing w:after="0" w:line="240" w:lineRule="auto"/>
              <w:jc w:val="both"/>
              <w:rPr>
                <w:rFonts w:cs="Arial"/>
                <w:color w:val="000000"/>
                <w:sz w:val="20"/>
                <w:szCs w:val="20"/>
                <w:lang w:eastAsia="en-NZ"/>
              </w:rPr>
            </w:pPr>
            <w:r w:rsidRPr="00E86EB4">
              <w:rPr>
                <w:rFonts w:cs="Arial"/>
                <w:color w:val="000000"/>
                <w:sz w:val="20"/>
                <w:szCs w:val="20"/>
                <w:lang w:eastAsia="en-NZ"/>
              </w:rPr>
              <w:t>Total NZ</w:t>
            </w:r>
          </w:p>
        </w:tc>
        <w:tc>
          <w:tcPr>
            <w:tcW w:w="1505"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BC5D0B">
              <w:t>Count</w:t>
            </w:r>
          </w:p>
        </w:tc>
        <w:tc>
          <w:tcPr>
            <w:tcW w:w="1906"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BC5D0B">
              <w:t>% of count</w:t>
            </w:r>
          </w:p>
        </w:tc>
        <w:tc>
          <w:tcPr>
            <w:tcW w:w="1440"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BC5D0B">
              <w:t>Total cost ($)</w:t>
            </w:r>
          </w:p>
        </w:tc>
        <w:tc>
          <w:tcPr>
            <w:tcW w:w="127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BC5D0B">
              <w:t>Avg cost ($)</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Early Stable</w:t>
            </w:r>
          </w:p>
        </w:tc>
        <w:tc>
          <w:tcPr>
            <w:tcW w:w="1505" w:type="dxa"/>
            <w:noWrap/>
          </w:tcPr>
          <w:p w:rsidR="000C619D" w:rsidRP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80,585</w:t>
            </w:r>
          </w:p>
        </w:tc>
        <w:tc>
          <w:tcPr>
            <w:tcW w:w="1906" w:type="dxa"/>
            <w:noWrap/>
          </w:tcPr>
          <w:p w:rsidR="000C619D" w:rsidRP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58.0</w:t>
            </w:r>
          </w:p>
        </w:tc>
        <w:tc>
          <w:tcPr>
            <w:tcW w:w="1440" w:type="dxa"/>
            <w:noWrap/>
          </w:tcPr>
          <w:p w:rsidR="000C619D" w:rsidRP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26,801,100</w:t>
            </w:r>
          </w:p>
        </w:tc>
        <w:tc>
          <w:tcPr>
            <w:tcW w:w="1273" w:type="dxa"/>
            <w:noWrap/>
          </w:tcPr>
          <w:p w:rsidR="000C619D" w:rsidRP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330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Minor Exacerbation</w:t>
            </w:r>
          </w:p>
        </w:tc>
        <w:tc>
          <w:tcPr>
            <w:tcW w:w="1505" w:type="dxa"/>
            <w:noWrap/>
          </w:tcPr>
          <w:p w:rsidR="000C619D" w:rsidRP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42,151</w:t>
            </w:r>
          </w:p>
        </w:tc>
        <w:tc>
          <w:tcPr>
            <w:tcW w:w="1906" w:type="dxa"/>
            <w:noWrap/>
          </w:tcPr>
          <w:p w:rsidR="000C619D" w:rsidRP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30.4</w:t>
            </w:r>
          </w:p>
        </w:tc>
        <w:tc>
          <w:tcPr>
            <w:tcW w:w="1440" w:type="dxa"/>
            <w:noWrap/>
          </w:tcPr>
          <w:p w:rsidR="000C619D" w:rsidRP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24,465,500</w:t>
            </w:r>
          </w:p>
        </w:tc>
        <w:tc>
          <w:tcPr>
            <w:tcW w:w="1273" w:type="dxa"/>
            <w:noWrap/>
          </w:tcPr>
          <w:p w:rsidR="000C619D" w:rsidRP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580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Late Stable</w:t>
            </w:r>
          </w:p>
        </w:tc>
        <w:tc>
          <w:tcPr>
            <w:tcW w:w="1505" w:type="dxa"/>
            <w:noWrap/>
          </w:tcPr>
          <w:p w:rsidR="000C619D" w:rsidRP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7,434</w:t>
            </w:r>
          </w:p>
        </w:tc>
        <w:tc>
          <w:tcPr>
            <w:tcW w:w="1906" w:type="dxa"/>
            <w:noWrap/>
          </w:tcPr>
          <w:p w:rsidR="000C619D" w:rsidRP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5.4</w:t>
            </w:r>
          </w:p>
        </w:tc>
        <w:tc>
          <w:tcPr>
            <w:tcW w:w="1440" w:type="dxa"/>
            <w:noWrap/>
          </w:tcPr>
          <w:p w:rsidR="000C619D" w:rsidRP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12,052,800</w:t>
            </w:r>
          </w:p>
        </w:tc>
        <w:tc>
          <w:tcPr>
            <w:tcW w:w="1273" w:type="dxa"/>
            <w:noWrap/>
          </w:tcPr>
          <w:p w:rsidR="000C619D" w:rsidRP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1,620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Moderate-Severe Exacerbation</w:t>
            </w:r>
          </w:p>
        </w:tc>
        <w:tc>
          <w:tcPr>
            <w:tcW w:w="1505" w:type="dxa"/>
            <w:noWrap/>
          </w:tcPr>
          <w:p w:rsidR="000C619D" w:rsidRP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5,609</w:t>
            </w:r>
          </w:p>
        </w:tc>
        <w:tc>
          <w:tcPr>
            <w:tcW w:w="1906" w:type="dxa"/>
            <w:noWrap/>
          </w:tcPr>
          <w:p w:rsidR="000C619D" w:rsidRP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4.0</w:t>
            </w:r>
          </w:p>
        </w:tc>
        <w:tc>
          <w:tcPr>
            <w:tcW w:w="1440" w:type="dxa"/>
            <w:noWrap/>
          </w:tcPr>
          <w:p w:rsidR="000C619D" w:rsidRP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42,655,800</w:t>
            </w:r>
          </w:p>
        </w:tc>
        <w:tc>
          <w:tcPr>
            <w:tcW w:w="1273" w:type="dxa"/>
            <w:noWrap/>
          </w:tcPr>
          <w:p w:rsidR="000C619D" w:rsidRP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7,600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End Stage</w:t>
            </w:r>
          </w:p>
        </w:tc>
        <w:tc>
          <w:tcPr>
            <w:tcW w:w="1505" w:type="dxa"/>
            <w:noWrap/>
          </w:tcPr>
          <w:p w:rsidR="000C619D" w:rsidRP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3,054</w:t>
            </w:r>
          </w:p>
        </w:tc>
        <w:tc>
          <w:tcPr>
            <w:tcW w:w="1906" w:type="dxa"/>
            <w:noWrap/>
          </w:tcPr>
          <w:p w:rsidR="000C619D" w:rsidRP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2.2</w:t>
            </w:r>
          </w:p>
        </w:tc>
        <w:tc>
          <w:tcPr>
            <w:tcW w:w="1440" w:type="dxa"/>
            <w:noWrap/>
          </w:tcPr>
          <w:p w:rsidR="000C619D" w:rsidRP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18,773,800</w:t>
            </w:r>
          </w:p>
        </w:tc>
        <w:tc>
          <w:tcPr>
            <w:tcW w:w="1273" w:type="dxa"/>
            <w:noWrap/>
          </w:tcPr>
          <w:p w:rsidR="000C619D" w:rsidRP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sidRPr="000C619D">
              <w:rPr>
                <w:rFonts w:cs="Arial"/>
                <w:color w:val="000000"/>
                <w:sz w:val="20"/>
                <w:szCs w:val="20"/>
                <w:lang w:eastAsia="en-NZ"/>
              </w:rPr>
              <w:t>6,150</w:t>
            </w:r>
          </w:p>
        </w:tc>
      </w:tr>
      <w:tr w:rsidR="000C619D" w:rsidRPr="00402750" w:rsidTr="00E222C2">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402750" w:rsidRDefault="00E86EB4" w:rsidP="00C54A8A">
            <w:pPr>
              <w:spacing w:after="0" w:line="240" w:lineRule="auto"/>
              <w:jc w:val="both"/>
              <w:rPr>
                <w:rFonts w:cs="Arial"/>
                <w:color w:val="000000"/>
                <w:sz w:val="20"/>
                <w:szCs w:val="20"/>
                <w:lang w:eastAsia="en-NZ"/>
              </w:rPr>
            </w:pPr>
            <w:r>
              <w:rPr>
                <w:rFonts w:cs="Arial"/>
                <w:color w:val="000000"/>
                <w:sz w:val="20"/>
                <w:szCs w:val="20"/>
                <w:lang w:eastAsia="en-NZ"/>
              </w:rPr>
              <w:t>Total</w:t>
            </w:r>
          </w:p>
        </w:tc>
        <w:tc>
          <w:tcPr>
            <w:tcW w:w="1505" w:type="dxa"/>
            <w:noWrap/>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138,833</w:t>
            </w:r>
          </w:p>
        </w:tc>
        <w:tc>
          <w:tcPr>
            <w:tcW w:w="1906" w:type="dxa"/>
            <w:noWrap/>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100.0</w:t>
            </w:r>
          </w:p>
        </w:tc>
        <w:tc>
          <w:tcPr>
            <w:tcW w:w="1440" w:type="dxa"/>
            <w:noWrap/>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124,748,900</w:t>
            </w:r>
          </w:p>
        </w:tc>
        <w:tc>
          <w:tcPr>
            <w:tcW w:w="1273" w:type="dxa"/>
            <w:noWrap/>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900</w:t>
            </w:r>
          </w:p>
        </w:tc>
      </w:tr>
    </w:tbl>
    <w:p w:rsidR="00402750" w:rsidRDefault="00402750" w:rsidP="00C54A8A">
      <w:pPr>
        <w:jc w:val="both"/>
      </w:pPr>
    </w:p>
    <w:tbl>
      <w:tblPr>
        <w:tblStyle w:val="MediumShading1-Accent3"/>
        <w:tblW w:w="9167" w:type="dxa"/>
        <w:tblLook w:val="04E0" w:firstRow="1" w:lastRow="1" w:firstColumn="1" w:lastColumn="0" w:noHBand="0" w:noVBand="1"/>
      </w:tblPr>
      <w:tblGrid>
        <w:gridCol w:w="3160"/>
        <w:gridCol w:w="1563"/>
        <w:gridCol w:w="1771"/>
        <w:gridCol w:w="1400"/>
        <w:gridCol w:w="1273"/>
      </w:tblGrid>
      <w:tr w:rsidR="00E222C2" w:rsidRPr="00402750" w:rsidTr="00E222C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E222C2" w:rsidRPr="00F74054" w:rsidRDefault="00E222C2" w:rsidP="00C54A8A">
            <w:pPr>
              <w:spacing w:after="0" w:line="240" w:lineRule="auto"/>
              <w:jc w:val="both"/>
              <w:rPr>
                <w:rFonts w:cs="Arial"/>
                <w:color w:val="000000"/>
                <w:sz w:val="20"/>
                <w:szCs w:val="20"/>
                <w:lang w:eastAsia="en-NZ"/>
              </w:rPr>
            </w:pPr>
            <w:r w:rsidRPr="00E86EB4">
              <w:rPr>
                <w:rFonts w:cs="Arial"/>
                <w:color w:val="000000"/>
                <w:sz w:val="20"/>
                <w:szCs w:val="20"/>
                <w:lang w:eastAsia="en-NZ"/>
              </w:rPr>
              <w:t>Total Māori</w:t>
            </w:r>
          </w:p>
        </w:tc>
        <w:tc>
          <w:tcPr>
            <w:tcW w:w="156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5C7BCA">
              <w:t>Count</w:t>
            </w:r>
          </w:p>
        </w:tc>
        <w:tc>
          <w:tcPr>
            <w:tcW w:w="1771"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5C7BCA">
              <w:t>% of count</w:t>
            </w:r>
          </w:p>
        </w:tc>
        <w:tc>
          <w:tcPr>
            <w:tcW w:w="1400"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5C7BCA">
              <w:t>Total cost ($)</w:t>
            </w:r>
          </w:p>
        </w:tc>
        <w:tc>
          <w:tcPr>
            <w:tcW w:w="127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5C7BCA">
              <w:t>Avg cost ($)</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Early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11,847</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57.2</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4,079,400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340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Minor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6,192</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29.9</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3,866,400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620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Late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1,061</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5.1</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1,657,900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1,560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Moderate-Severe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1,129</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5.4</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8,525,800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7,550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End Stage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493</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2.4</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3,420,500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6,940</w:t>
            </w:r>
          </w:p>
        </w:tc>
      </w:tr>
      <w:tr w:rsidR="000C619D" w:rsidRPr="00402750" w:rsidTr="00E222C2">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402750" w:rsidRDefault="00E86EB4" w:rsidP="00C54A8A">
            <w:pPr>
              <w:spacing w:after="0" w:line="240" w:lineRule="auto"/>
              <w:jc w:val="both"/>
              <w:rPr>
                <w:rFonts w:cs="Arial"/>
                <w:color w:val="000000"/>
                <w:sz w:val="20"/>
                <w:szCs w:val="20"/>
                <w:lang w:eastAsia="en-NZ"/>
              </w:rPr>
            </w:pPr>
            <w:r>
              <w:rPr>
                <w:rFonts w:cs="Arial"/>
                <w:color w:val="000000"/>
                <w:sz w:val="20"/>
                <w:szCs w:val="20"/>
                <w:lang w:eastAsia="en-NZ"/>
              </w:rPr>
              <w:t>Total</w:t>
            </w:r>
          </w:p>
        </w:tc>
        <w:tc>
          <w:tcPr>
            <w:tcW w:w="156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20,722</w:t>
            </w:r>
          </w:p>
        </w:tc>
        <w:tc>
          <w:tcPr>
            <w:tcW w:w="1771"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100.0</w:t>
            </w:r>
          </w:p>
        </w:tc>
        <w:tc>
          <w:tcPr>
            <w:tcW w:w="1400"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21,550,000</w:t>
            </w:r>
          </w:p>
        </w:tc>
        <w:tc>
          <w:tcPr>
            <w:tcW w:w="127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1,040</w:t>
            </w:r>
          </w:p>
        </w:tc>
      </w:tr>
    </w:tbl>
    <w:p w:rsidR="00402750" w:rsidRDefault="00402750" w:rsidP="00C54A8A">
      <w:pPr>
        <w:jc w:val="both"/>
      </w:pPr>
    </w:p>
    <w:tbl>
      <w:tblPr>
        <w:tblStyle w:val="MediumShading1-Accent3"/>
        <w:tblW w:w="9207" w:type="dxa"/>
        <w:tblLook w:val="04E0" w:firstRow="1" w:lastRow="1" w:firstColumn="1" w:lastColumn="0" w:noHBand="0" w:noVBand="1"/>
      </w:tblPr>
      <w:tblGrid>
        <w:gridCol w:w="3160"/>
        <w:gridCol w:w="1563"/>
        <w:gridCol w:w="1771"/>
        <w:gridCol w:w="1440"/>
        <w:gridCol w:w="1273"/>
      </w:tblGrid>
      <w:tr w:rsidR="00E222C2" w:rsidRPr="00402750" w:rsidTr="00E222C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E222C2" w:rsidRPr="00F74054" w:rsidRDefault="00E222C2" w:rsidP="00C54A8A">
            <w:pPr>
              <w:spacing w:after="0" w:line="240" w:lineRule="auto"/>
              <w:jc w:val="both"/>
              <w:rPr>
                <w:rFonts w:cs="Arial"/>
                <w:color w:val="000000"/>
                <w:sz w:val="20"/>
                <w:szCs w:val="20"/>
                <w:lang w:eastAsia="en-NZ"/>
              </w:rPr>
            </w:pPr>
            <w:r w:rsidRPr="00E86EB4">
              <w:rPr>
                <w:rFonts w:cs="Arial"/>
                <w:color w:val="000000"/>
                <w:sz w:val="20"/>
                <w:szCs w:val="20"/>
                <w:lang w:eastAsia="en-NZ"/>
              </w:rPr>
              <w:t>Total non-Māori</w:t>
            </w:r>
          </w:p>
        </w:tc>
        <w:tc>
          <w:tcPr>
            <w:tcW w:w="156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297AEB">
              <w:t>Count</w:t>
            </w:r>
          </w:p>
        </w:tc>
        <w:tc>
          <w:tcPr>
            <w:tcW w:w="1771"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297AEB">
              <w:t>% of count</w:t>
            </w:r>
          </w:p>
        </w:tc>
        <w:tc>
          <w:tcPr>
            <w:tcW w:w="1440"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297AEB">
              <w:t>Total cost ($)</w:t>
            </w:r>
          </w:p>
        </w:tc>
        <w:tc>
          <w:tcPr>
            <w:tcW w:w="127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297AEB">
              <w:t>Avg cost ($)</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Early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68,738</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58.2</w:t>
            </w:r>
          </w:p>
        </w:tc>
        <w:tc>
          <w:tcPr>
            <w:tcW w:w="144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22,721,700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330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Minor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35,959</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30.4</w:t>
            </w:r>
          </w:p>
        </w:tc>
        <w:tc>
          <w:tcPr>
            <w:tcW w:w="144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20,599,100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570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Late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6,373</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5.4</w:t>
            </w:r>
          </w:p>
        </w:tc>
        <w:tc>
          <w:tcPr>
            <w:tcW w:w="144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10,394,900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1,630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Moderate-Severe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4,480</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3.8</w:t>
            </w:r>
          </w:p>
        </w:tc>
        <w:tc>
          <w:tcPr>
            <w:tcW w:w="144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34,130,000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7,620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End Stage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2,561</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2.2</w:t>
            </w:r>
          </w:p>
        </w:tc>
        <w:tc>
          <w:tcPr>
            <w:tcW w:w="144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15,353,300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6,000</w:t>
            </w:r>
          </w:p>
        </w:tc>
      </w:tr>
      <w:tr w:rsidR="000C619D" w:rsidRPr="00402750" w:rsidTr="00E222C2">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402750" w:rsidRDefault="00E86EB4" w:rsidP="00C54A8A">
            <w:pPr>
              <w:spacing w:after="0" w:line="240" w:lineRule="auto"/>
              <w:jc w:val="both"/>
              <w:rPr>
                <w:rFonts w:cs="Arial"/>
                <w:color w:val="000000"/>
                <w:sz w:val="20"/>
                <w:szCs w:val="20"/>
                <w:lang w:eastAsia="en-NZ"/>
              </w:rPr>
            </w:pPr>
            <w:r>
              <w:rPr>
                <w:rFonts w:cs="Arial"/>
                <w:color w:val="000000"/>
                <w:sz w:val="20"/>
                <w:szCs w:val="20"/>
                <w:lang w:eastAsia="en-NZ"/>
              </w:rPr>
              <w:t>Total</w:t>
            </w:r>
          </w:p>
        </w:tc>
        <w:tc>
          <w:tcPr>
            <w:tcW w:w="156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118,111</w:t>
            </w:r>
          </w:p>
        </w:tc>
        <w:tc>
          <w:tcPr>
            <w:tcW w:w="1771"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100.0</w:t>
            </w:r>
          </w:p>
        </w:tc>
        <w:tc>
          <w:tcPr>
            <w:tcW w:w="1440"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103,199,000</w:t>
            </w:r>
          </w:p>
        </w:tc>
        <w:tc>
          <w:tcPr>
            <w:tcW w:w="127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870</w:t>
            </w:r>
          </w:p>
        </w:tc>
      </w:tr>
    </w:tbl>
    <w:p w:rsidR="00402750" w:rsidRDefault="00402750" w:rsidP="00C54A8A">
      <w:pPr>
        <w:jc w:val="both"/>
      </w:pPr>
    </w:p>
    <w:p w:rsidR="0095238C" w:rsidRDefault="0095238C" w:rsidP="00C54A8A">
      <w:pPr>
        <w:pStyle w:val="Head2nonumber"/>
        <w:jc w:val="both"/>
      </w:pPr>
      <w:bookmarkStart w:id="158" w:name="_Toc371949676"/>
      <w:bookmarkStart w:id="159" w:name="_Toc382225528"/>
      <w:bookmarkStart w:id="160" w:name="_Toc382475510"/>
      <w:bookmarkStart w:id="161" w:name="_Toc382554897"/>
      <w:bookmarkStart w:id="162" w:name="_Toc382574751"/>
      <w:r>
        <w:t>Deprivation</w:t>
      </w:r>
      <w:bookmarkEnd w:id="158"/>
      <w:bookmarkEnd w:id="159"/>
      <w:bookmarkEnd w:id="160"/>
      <w:bookmarkEnd w:id="161"/>
      <w:bookmarkEnd w:id="162"/>
    </w:p>
    <w:tbl>
      <w:tblPr>
        <w:tblStyle w:val="MediumShading1-Accent3"/>
        <w:tblW w:w="9167" w:type="dxa"/>
        <w:tblLook w:val="04E0" w:firstRow="1" w:lastRow="1" w:firstColumn="1" w:lastColumn="0" w:noHBand="0" w:noVBand="1"/>
      </w:tblPr>
      <w:tblGrid>
        <w:gridCol w:w="3160"/>
        <w:gridCol w:w="1563"/>
        <w:gridCol w:w="1771"/>
        <w:gridCol w:w="1400"/>
        <w:gridCol w:w="1273"/>
      </w:tblGrid>
      <w:tr w:rsidR="00E222C2" w:rsidRPr="00402750" w:rsidTr="00E222C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E222C2" w:rsidRPr="00F74054" w:rsidRDefault="00E222C2" w:rsidP="00C54A8A">
            <w:pPr>
              <w:spacing w:after="0" w:line="240" w:lineRule="auto"/>
              <w:jc w:val="both"/>
              <w:rPr>
                <w:rFonts w:cs="Arial"/>
                <w:color w:val="000000"/>
                <w:sz w:val="20"/>
                <w:szCs w:val="20"/>
                <w:lang w:eastAsia="en-NZ"/>
              </w:rPr>
            </w:pPr>
            <w:r w:rsidRPr="00E86EB4">
              <w:rPr>
                <w:rFonts w:cs="Arial"/>
                <w:color w:val="000000"/>
                <w:sz w:val="20"/>
                <w:szCs w:val="20"/>
                <w:lang w:eastAsia="en-NZ"/>
              </w:rPr>
              <w:t>Total High-deprivation</w:t>
            </w:r>
          </w:p>
        </w:tc>
        <w:tc>
          <w:tcPr>
            <w:tcW w:w="156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FF04E5">
              <w:t>Count</w:t>
            </w:r>
          </w:p>
        </w:tc>
        <w:tc>
          <w:tcPr>
            <w:tcW w:w="1771"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FF04E5">
              <w:t>% of count</w:t>
            </w:r>
          </w:p>
        </w:tc>
        <w:tc>
          <w:tcPr>
            <w:tcW w:w="1400"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FF04E5">
              <w:t>Total cost ($)</w:t>
            </w:r>
          </w:p>
        </w:tc>
        <w:tc>
          <w:tcPr>
            <w:tcW w:w="127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FF04E5">
              <w:t>Avg cost ($)</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Early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19,611</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56.5</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6,732,100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340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Minor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10,485</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30.2</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6,324,400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600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Late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1,957</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5.6</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3,156,800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1,610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Moderate-Severe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1,785</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5.1</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13,745,400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7,700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End Stage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870</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2.5</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5,721,600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6,580</w:t>
            </w:r>
          </w:p>
        </w:tc>
      </w:tr>
      <w:tr w:rsidR="000C619D" w:rsidRPr="00402750" w:rsidTr="00E222C2">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402750" w:rsidRDefault="00E86EB4" w:rsidP="00C54A8A">
            <w:pPr>
              <w:spacing w:after="0" w:line="240" w:lineRule="auto"/>
              <w:jc w:val="both"/>
              <w:rPr>
                <w:rFonts w:cs="Arial"/>
                <w:color w:val="000000"/>
                <w:sz w:val="20"/>
                <w:szCs w:val="20"/>
                <w:lang w:eastAsia="en-NZ"/>
              </w:rPr>
            </w:pPr>
            <w:r>
              <w:rPr>
                <w:rFonts w:cs="Arial"/>
                <w:color w:val="000000"/>
                <w:sz w:val="20"/>
                <w:szCs w:val="20"/>
                <w:lang w:eastAsia="en-NZ"/>
              </w:rPr>
              <w:t>Total</w:t>
            </w:r>
          </w:p>
        </w:tc>
        <w:tc>
          <w:tcPr>
            <w:tcW w:w="156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34,708</w:t>
            </w:r>
          </w:p>
        </w:tc>
        <w:tc>
          <w:tcPr>
            <w:tcW w:w="1771"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100.0</w:t>
            </w:r>
          </w:p>
        </w:tc>
        <w:tc>
          <w:tcPr>
            <w:tcW w:w="1400"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35,680,300</w:t>
            </w:r>
          </w:p>
        </w:tc>
        <w:tc>
          <w:tcPr>
            <w:tcW w:w="127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1,030</w:t>
            </w:r>
          </w:p>
        </w:tc>
      </w:tr>
    </w:tbl>
    <w:p w:rsidR="00402750" w:rsidRDefault="00402750" w:rsidP="00C54A8A">
      <w:pPr>
        <w:jc w:val="both"/>
      </w:pPr>
    </w:p>
    <w:p w:rsidR="00937FCB" w:rsidRDefault="00937FCB" w:rsidP="00C54A8A">
      <w:pPr>
        <w:jc w:val="both"/>
      </w:pPr>
    </w:p>
    <w:p w:rsidR="00937FCB" w:rsidRDefault="00937FCB" w:rsidP="00C54A8A">
      <w:pPr>
        <w:jc w:val="both"/>
      </w:pPr>
    </w:p>
    <w:tbl>
      <w:tblPr>
        <w:tblStyle w:val="MediumShading1-Accent3"/>
        <w:tblW w:w="9167" w:type="dxa"/>
        <w:tblLook w:val="04E0" w:firstRow="1" w:lastRow="1" w:firstColumn="1" w:lastColumn="0" w:noHBand="0" w:noVBand="1"/>
      </w:tblPr>
      <w:tblGrid>
        <w:gridCol w:w="3160"/>
        <w:gridCol w:w="1563"/>
        <w:gridCol w:w="1771"/>
        <w:gridCol w:w="1400"/>
        <w:gridCol w:w="1273"/>
      </w:tblGrid>
      <w:tr w:rsidR="00E222C2" w:rsidRPr="00402750" w:rsidTr="00E222C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E222C2" w:rsidRPr="00F74054" w:rsidRDefault="00E222C2" w:rsidP="00C54A8A">
            <w:pPr>
              <w:spacing w:after="0" w:line="240" w:lineRule="auto"/>
              <w:jc w:val="both"/>
              <w:rPr>
                <w:rFonts w:cs="Arial"/>
                <w:color w:val="000000"/>
                <w:sz w:val="20"/>
                <w:szCs w:val="20"/>
                <w:lang w:eastAsia="en-NZ"/>
              </w:rPr>
            </w:pPr>
            <w:r w:rsidRPr="00E86EB4">
              <w:rPr>
                <w:rFonts w:cs="Arial"/>
                <w:color w:val="000000"/>
                <w:sz w:val="20"/>
                <w:szCs w:val="20"/>
                <w:lang w:eastAsia="en-NZ"/>
              </w:rPr>
              <w:t>Total Moderate Deprivation</w:t>
            </w:r>
          </w:p>
        </w:tc>
        <w:tc>
          <w:tcPr>
            <w:tcW w:w="156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5074E9">
              <w:t>Count</w:t>
            </w:r>
          </w:p>
        </w:tc>
        <w:tc>
          <w:tcPr>
            <w:tcW w:w="1771"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5074E9">
              <w:t>% of count</w:t>
            </w:r>
          </w:p>
        </w:tc>
        <w:tc>
          <w:tcPr>
            <w:tcW w:w="1400"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5074E9">
              <w:t>Total cost ($)</w:t>
            </w:r>
          </w:p>
        </w:tc>
        <w:tc>
          <w:tcPr>
            <w:tcW w:w="127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5074E9">
              <w:t>Avg cost ($)</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Early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49,920</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57.8</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16,551,900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330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Minor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26,564</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30.8</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15,292,000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580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Late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4,697</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5.4</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7,604,400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1,620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Moderate-Severe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3,306</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3.8</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24,933,400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7,540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End Stage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1,885</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2.2</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11,435,400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6,070</w:t>
            </w:r>
          </w:p>
        </w:tc>
      </w:tr>
      <w:tr w:rsidR="000C619D" w:rsidRPr="00402750" w:rsidTr="00E222C2">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402750" w:rsidRDefault="00E86EB4" w:rsidP="00C54A8A">
            <w:pPr>
              <w:spacing w:after="0" w:line="240" w:lineRule="auto"/>
              <w:jc w:val="both"/>
              <w:rPr>
                <w:rFonts w:cs="Arial"/>
                <w:color w:val="000000"/>
                <w:sz w:val="20"/>
                <w:szCs w:val="20"/>
                <w:lang w:eastAsia="en-NZ"/>
              </w:rPr>
            </w:pPr>
            <w:r>
              <w:rPr>
                <w:rFonts w:cs="Arial"/>
                <w:color w:val="000000"/>
                <w:sz w:val="20"/>
                <w:szCs w:val="20"/>
                <w:lang w:eastAsia="en-NZ"/>
              </w:rPr>
              <w:t>Total</w:t>
            </w:r>
          </w:p>
        </w:tc>
        <w:tc>
          <w:tcPr>
            <w:tcW w:w="156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86,372</w:t>
            </w:r>
          </w:p>
        </w:tc>
        <w:tc>
          <w:tcPr>
            <w:tcW w:w="1771"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100.0</w:t>
            </w:r>
          </w:p>
        </w:tc>
        <w:tc>
          <w:tcPr>
            <w:tcW w:w="1400"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75,817,100</w:t>
            </w:r>
          </w:p>
        </w:tc>
        <w:tc>
          <w:tcPr>
            <w:tcW w:w="127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880</w:t>
            </w:r>
          </w:p>
        </w:tc>
      </w:tr>
    </w:tbl>
    <w:p w:rsidR="00402750" w:rsidRDefault="00402750" w:rsidP="00C54A8A">
      <w:pPr>
        <w:jc w:val="both"/>
      </w:pPr>
    </w:p>
    <w:tbl>
      <w:tblPr>
        <w:tblStyle w:val="MediumShading1-Accent3"/>
        <w:tblW w:w="9167" w:type="dxa"/>
        <w:tblLook w:val="04E0" w:firstRow="1" w:lastRow="1" w:firstColumn="1" w:lastColumn="0" w:noHBand="0" w:noVBand="1"/>
      </w:tblPr>
      <w:tblGrid>
        <w:gridCol w:w="3160"/>
        <w:gridCol w:w="1563"/>
        <w:gridCol w:w="1771"/>
        <w:gridCol w:w="1400"/>
        <w:gridCol w:w="1273"/>
      </w:tblGrid>
      <w:tr w:rsidR="00E222C2" w:rsidRPr="00402750" w:rsidTr="00E222C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E222C2" w:rsidRPr="00F74054" w:rsidRDefault="00E222C2" w:rsidP="00C54A8A">
            <w:pPr>
              <w:spacing w:after="0" w:line="240" w:lineRule="auto"/>
              <w:jc w:val="both"/>
              <w:rPr>
                <w:rFonts w:cs="Arial"/>
                <w:color w:val="000000"/>
                <w:sz w:val="20"/>
                <w:szCs w:val="20"/>
                <w:lang w:eastAsia="en-NZ"/>
              </w:rPr>
            </w:pPr>
            <w:r w:rsidRPr="00E86EB4">
              <w:rPr>
                <w:rFonts w:cs="Arial"/>
                <w:color w:val="000000"/>
                <w:sz w:val="20"/>
                <w:szCs w:val="20"/>
                <w:lang w:eastAsia="en-NZ"/>
              </w:rPr>
              <w:t>Total Low Deprivation</w:t>
            </w:r>
          </w:p>
        </w:tc>
        <w:tc>
          <w:tcPr>
            <w:tcW w:w="156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9709F4">
              <w:t>Count</w:t>
            </w:r>
          </w:p>
        </w:tc>
        <w:tc>
          <w:tcPr>
            <w:tcW w:w="1771"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9709F4">
              <w:t>% of count</w:t>
            </w:r>
          </w:p>
        </w:tc>
        <w:tc>
          <w:tcPr>
            <w:tcW w:w="1400"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9709F4">
              <w:t>Total cost ($)</w:t>
            </w:r>
          </w:p>
        </w:tc>
        <w:tc>
          <w:tcPr>
            <w:tcW w:w="127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9709F4">
              <w:t>Avg cost ($)</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Early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11,054</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62.3</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3,517,000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320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Minor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5,102</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28.7</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2,849,200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560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Late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780</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4.4</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1,291,500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1,660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Moderate-Severe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518</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2.9</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3,977,000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7,680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End Stage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299</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1.7</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1,616,800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5,410</w:t>
            </w:r>
          </w:p>
        </w:tc>
      </w:tr>
      <w:tr w:rsidR="000C619D" w:rsidRPr="00402750" w:rsidTr="00E222C2">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402750" w:rsidRDefault="00E86EB4" w:rsidP="00C54A8A">
            <w:pPr>
              <w:spacing w:after="0" w:line="240" w:lineRule="auto"/>
              <w:jc w:val="both"/>
              <w:rPr>
                <w:rFonts w:cs="Arial"/>
                <w:color w:val="000000"/>
                <w:sz w:val="20"/>
                <w:szCs w:val="20"/>
                <w:lang w:eastAsia="en-NZ"/>
              </w:rPr>
            </w:pPr>
            <w:r>
              <w:rPr>
                <w:rFonts w:cs="Arial"/>
                <w:color w:val="000000"/>
                <w:sz w:val="20"/>
                <w:szCs w:val="20"/>
                <w:lang w:eastAsia="en-NZ"/>
              </w:rPr>
              <w:t>Total</w:t>
            </w:r>
          </w:p>
        </w:tc>
        <w:tc>
          <w:tcPr>
            <w:tcW w:w="156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17,753</w:t>
            </w:r>
          </w:p>
        </w:tc>
        <w:tc>
          <w:tcPr>
            <w:tcW w:w="1771"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100.0</w:t>
            </w:r>
          </w:p>
        </w:tc>
        <w:tc>
          <w:tcPr>
            <w:tcW w:w="1400"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13,251,500</w:t>
            </w:r>
          </w:p>
        </w:tc>
        <w:tc>
          <w:tcPr>
            <w:tcW w:w="127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750</w:t>
            </w:r>
          </w:p>
        </w:tc>
      </w:tr>
    </w:tbl>
    <w:p w:rsidR="00402750" w:rsidRDefault="00402750" w:rsidP="00C54A8A">
      <w:pPr>
        <w:jc w:val="both"/>
      </w:pPr>
    </w:p>
    <w:p w:rsidR="0095238C" w:rsidRDefault="0095238C" w:rsidP="00C54A8A">
      <w:pPr>
        <w:pStyle w:val="Head2nonumber"/>
        <w:jc w:val="both"/>
      </w:pPr>
      <w:bookmarkStart w:id="163" w:name="_Toc371949677"/>
      <w:bookmarkStart w:id="164" w:name="_Toc382225529"/>
      <w:bookmarkStart w:id="165" w:name="_Toc382475511"/>
      <w:bookmarkStart w:id="166" w:name="_Toc382554898"/>
      <w:bookmarkStart w:id="167" w:name="_Toc382574752"/>
      <w:r>
        <w:t>Ethnicity and Deprivation</w:t>
      </w:r>
      <w:bookmarkEnd w:id="163"/>
      <w:bookmarkEnd w:id="164"/>
      <w:bookmarkEnd w:id="165"/>
      <w:bookmarkEnd w:id="166"/>
      <w:bookmarkEnd w:id="167"/>
    </w:p>
    <w:tbl>
      <w:tblPr>
        <w:tblStyle w:val="MediumShading1-Accent3"/>
        <w:tblW w:w="9167" w:type="dxa"/>
        <w:tblLook w:val="04E0" w:firstRow="1" w:lastRow="1" w:firstColumn="1" w:lastColumn="0" w:noHBand="0" w:noVBand="1"/>
      </w:tblPr>
      <w:tblGrid>
        <w:gridCol w:w="3160"/>
        <w:gridCol w:w="1563"/>
        <w:gridCol w:w="1771"/>
        <w:gridCol w:w="1400"/>
        <w:gridCol w:w="1273"/>
      </w:tblGrid>
      <w:tr w:rsidR="00E222C2" w:rsidRPr="00402750" w:rsidTr="00E222C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E222C2" w:rsidRPr="00F74054" w:rsidRDefault="00E222C2" w:rsidP="00C54A8A">
            <w:pPr>
              <w:spacing w:after="0" w:line="240" w:lineRule="auto"/>
              <w:jc w:val="both"/>
              <w:rPr>
                <w:rFonts w:cs="Arial"/>
                <w:color w:val="000000"/>
                <w:sz w:val="20"/>
                <w:szCs w:val="20"/>
                <w:lang w:eastAsia="en-NZ"/>
              </w:rPr>
            </w:pPr>
            <w:r w:rsidRPr="00E86EB4">
              <w:rPr>
                <w:rFonts w:cs="Arial"/>
                <w:color w:val="000000"/>
                <w:sz w:val="20"/>
                <w:szCs w:val="20"/>
                <w:lang w:eastAsia="en-NZ"/>
              </w:rPr>
              <w:t>Māori High-deprivation</w:t>
            </w:r>
          </w:p>
        </w:tc>
        <w:tc>
          <w:tcPr>
            <w:tcW w:w="156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BA2483">
              <w:t>Count</w:t>
            </w:r>
          </w:p>
        </w:tc>
        <w:tc>
          <w:tcPr>
            <w:tcW w:w="1771"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BA2483">
              <w:t>% of count</w:t>
            </w:r>
          </w:p>
        </w:tc>
        <w:tc>
          <w:tcPr>
            <w:tcW w:w="1400"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BA2483">
              <w:t>Total cost ($)</w:t>
            </w:r>
          </w:p>
        </w:tc>
        <w:tc>
          <w:tcPr>
            <w:tcW w:w="127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BA2483">
              <w:t>Avg cost ($)</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Early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5,791</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57.1</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1,967,600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340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Minor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2,949</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29.1</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1,865,000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630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Late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544</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5.4</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824,400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1,520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Moderate-Severe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594</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5.9</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4,400,400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7,410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End Stage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263</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2.6</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1,606,600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6,110</w:t>
            </w:r>
          </w:p>
        </w:tc>
      </w:tr>
      <w:tr w:rsidR="000C619D" w:rsidRPr="00402750" w:rsidTr="00E222C2">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402750" w:rsidRDefault="00E86EB4" w:rsidP="00C54A8A">
            <w:pPr>
              <w:spacing w:after="0" w:line="240" w:lineRule="auto"/>
              <w:jc w:val="both"/>
              <w:rPr>
                <w:rFonts w:cs="Arial"/>
                <w:color w:val="000000"/>
                <w:sz w:val="20"/>
                <w:szCs w:val="20"/>
                <w:lang w:eastAsia="en-NZ"/>
              </w:rPr>
            </w:pPr>
            <w:r>
              <w:rPr>
                <w:rFonts w:cs="Arial"/>
                <w:color w:val="000000"/>
                <w:sz w:val="20"/>
                <w:szCs w:val="20"/>
                <w:lang w:eastAsia="en-NZ"/>
              </w:rPr>
              <w:t>Total</w:t>
            </w:r>
          </w:p>
        </w:tc>
        <w:tc>
          <w:tcPr>
            <w:tcW w:w="156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10,141</w:t>
            </w:r>
          </w:p>
        </w:tc>
        <w:tc>
          <w:tcPr>
            <w:tcW w:w="1771"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100.0</w:t>
            </w:r>
          </w:p>
        </w:tc>
        <w:tc>
          <w:tcPr>
            <w:tcW w:w="1400"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10,664,000</w:t>
            </w:r>
          </w:p>
        </w:tc>
        <w:tc>
          <w:tcPr>
            <w:tcW w:w="127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1,050</w:t>
            </w:r>
          </w:p>
        </w:tc>
      </w:tr>
    </w:tbl>
    <w:p w:rsidR="00402750" w:rsidRDefault="00402750" w:rsidP="00C54A8A">
      <w:pPr>
        <w:jc w:val="both"/>
      </w:pPr>
    </w:p>
    <w:tbl>
      <w:tblPr>
        <w:tblStyle w:val="MediumShading1-Accent3"/>
        <w:tblW w:w="9114" w:type="dxa"/>
        <w:tblLook w:val="04E0" w:firstRow="1" w:lastRow="1" w:firstColumn="1" w:lastColumn="0" w:noHBand="0" w:noVBand="1"/>
      </w:tblPr>
      <w:tblGrid>
        <w:gridCol w:w="3160"/>
        <w:gridCol w:w="1563"/>
        <w:gridCol w:w="1771"/>
        <w:gridCol w:w="1400"/>
        <w:gridCol w:w="1220"/>
      </w:tblGrid>
      <w:tr w:rsidR="00E222C2" w:rsidRPr="00402750" w:rsidTr="00E222C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E222C2" w:rsidRPr="00F74054" w:rsidRDefault="00E222C2" w:rsidP="00C54A8A">
            <w:pPr>
              <w:spacing w:after="0" w:line="240" w:lineRule="auto"/>
              <w:jc w:val="both"/>
              <w:rPr>
                <w:rFonts w:cs="Arial"/>
                <w:color w:val="000000"/>
                <w:sz w:val="20"/>
                <w:szCs w:val="20"/>
                <w:lang w:eastAsia="en-NZ"/>
              </w:rPr>
            </w:pPr>
            <w:r w:rsidRPr="00E86EB4">
              <w:rPr>
                <w:rFonts w:cs="Arial"/>
                <w:color w:val="000000"/>
                <w:sz w:val="20"/>
                <w:szCs w:val="20"/>
                <w:lang w:eastAsia="en-NZ"/>
              </w:rPr>
              <w:t>Non-Māori High-deprivation</w:t>
            </w:r>
          </w:p>
        </w:tc>
        <w:tc>
          <w:tcPr>
            <w:tcW w:w="156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632C33">
              <w:t>Count</w:t>
            </w:r>
          </w:p>
        </w:tc>
        <w:tc>
          <w:tcPr>
            <w:tcW w:w="1771"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632C33">
              <w:t>% of count</w:t>
            </w:r>
          </w:p>
        </w:tc>
        <w:tc>
          <w:tcPr>
            <w:tcW w:w="1400"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632C33">
              <w:t>Total cost ($)</w:t>
            </w:r>
          </w:p>
        </w:tc>
        <w:tc>
          <w:tcPr>
            <w:tcW w:w="1220"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632C33">
              <w:t>Avg cost ($)</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Early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13,820</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56.3</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4,764,500</w:t>
            </w:r>
          </w:p>
        </w:tc>
        <w:tc>
          <w:tcPr>
            <w:tcW w:w="122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340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Minor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7,536</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30.7</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4,459,400</w:t>
            </w:r>
          </w:p>
        </w:tc>
        <w:tc>
          <w:tcPr>
            <w:tcW w:w="122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590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Late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1,413</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5.8</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2,332,400</w:t>
            </w:r>
          </w:p>
        </w:tc>
        <w:tc>
          <w:tcPr>
            <w:tcW w:w="122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1,650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Moderate-Severe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1,191</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4.8</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9,345,000</w:t>
            </w:r>
          </w:p>
        </w:tc>
        <w:tc>
          <w:tcPr>
            <w:tcW w:w="122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7,850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End Stage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607</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2.5</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4,115,000</w:t>
            </w:r>
          </w:p>
        </w:tc>
        <w:tc>
          <w:tcPr>
            <w:tcW w:w="122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6,780</w:t>
            </w:r>
          </w:p>
        </w:tc>
      </w:tr>
      <w:tr w:rsidR="000C619D" w:rsidRPr="00402750" w:rsidTr="00E222C2">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402750" w:rsidRDefault="00E86EB4" w:rsidP="00C54A8A">
            <w:pPr>
              <w:spacing w:after="0" w:line="240" w:lineRule="auto"/>
              <w:jc w:val="both"/>
              <w:rPr>
                <w:rFonts w:cs="Arial"/>
                <w:color w:val="000000"/>
                <w:sz w:val="20"/>
                <w:szCs w:val="20"/>
                <w:lang w:eastAsia="en-NZ"/>
              </w:rPr>
            </w:pPr>
            <w:r>
              <w:rPr>
                <w:rFonts w:cs="Arial"/>
                <w:color w:val="000000"/>
                <w:sz w:val="20"/>
                <w:szCs w:val="20"/>
                <w:lang w:eastAsia="en-NZ"/>
              </w:rPr>
              <w:t>Total</w:t>
            </w:r>
          </w:p>
        </w:tc>
        <w:tc>
          <w:tcPr>
            <w:tcW w:w="156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24,567</w:t>
            </w:r>
          </w:p>
        </w:tc>
        <w:tc>
          <w:tcPr>
            <w:tcW w:w="1771"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100.0</w:t>
            </w:r>
          </w:p>
        </w:tc>
        <w:tc>
          <w:tcPr>
            <w:tcW w:w="1400"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25,016,300</w:t>
            </w:r>
          </w:p>
        </w:tc>
        <w:tc>
          <w:tcPr>
            <w:tcW w:w="1220"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1,020</w:t>
            </w:r>
          </w:p>
        </w:tc>
      </w:tr>
    </w:tbl>
    <w:p w:rsidR="00C54B8B" w:rsidRDefault="00C54B8B" w:rsidP="00C54A8A">
      <w:pPr>
        <w:jc w:val="both"/>
      </w:pPr>
    </w:p>
    <w:tbl>
      <w:tblPr>
        <w:tblStyle w:val="MediumShading1-Accent3"/>
        <w:tblW w:w="9114" w:type="dxa"/>
        <w:tblLook w:val="04E0" w:firstRow="1" w:lastRow="1" w:firstColumn="1" w:lastColumn="0" w:noHBand="0" w:noVBand="1"/>
      </w:tblPr>
      <w:tblGrid>
        <w:gridCol w:w="3160"/>
        <w:gridCol w:w="1563"/>
        <w:gridCol w:w="1771"/>
        <w:gridCol w:w="1400"/>
        <w:gridCol w:w="1220"/>
      </w:tblGrid>
      <w:tr w:rsidR="00E222C2" w:rsidRPr="00402750" w:rsidTr="00E222C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E222C2" w:rsidRPr="00F74054" w:rsidRDefault="00E222C2" w:rsidP="00C54A8A">
            <w:pPr>
              <w:spacing w:after="0" w:line="240" w:lineRule="auto"/>
              <w:jc w:val="both"/>
              <w:rPr>
                <w:rFonts w:cs="Arial"/>
                <w:color w:val="000000"/>
                <w:sz w:val="20"/>
                <w:szCs w:val="20"/>
                <w:lang w:eastAsia="en-NZ"/>
              </w:rPr>
            </w:pPr>
            <w:r w:rsidRPr="00E86EB4">
              <w:rPr>
                <w:rFonts w:cs="Arial"/>
                <w:color w:val="000000"/>
                <w:sz w:val="20"/>
                <w:szCs w:val="20"/>
                <w:lang w:eastAsia="en-NZ"/>
              </w:rPr>
              <w:t>Māori Moderate Deprivation</w:t>
            </w:r>
          </w:p>
        </w:tc>
        <w:tc>
          <w:tcPr>
            <w:tcW w:w="156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F76C6E">
              <w:t>Count</w:t>
            </w:r>
          </w:p>
        </w:tc>
        <w:tc>
          <w:tcPr>
            <w:tcW w:w="1771"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F76C6E">
              <w:t>% of count</w:t>
            </w:r>
          </w:p>
        </w:tc>
        <w:tc>
          <w:tcPr>
            <w:tcW w:w="1400"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F76C6E">
              <w:t>Total cost ($)</w:t>
            </w:r>
          </w:p>
        </w:tc>
        <w:tc>
          <w:tcPr>
            <w:tcW w:w="1220"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F76C6E">
              <w:t>Avg cost ($)</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Early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5,494</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57.0</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1,924,600</w:t>
            </w:r>
          </w:p>
        </w:tc>
        <w:tc>
          <w:tcPr>
            <w:tcW w:w="122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350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Minor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2,957</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30.7</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1,818,900</w:t>
            </w:r>
          </w:p>
        </w:tc>
        <w:tc>
          <w:tcPr>
            <w:tcW w:w="122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620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Late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485</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5.0</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777,500</w:t>
            </w:r>
          </w:p>
        </w:tc>
        <w:tc>
          <w:tcPr>
            <w:tcW w:w="122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1,600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Moderate-Severe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493</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5.1</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3,767,000</w:t>
            </w:r>
          </w:p>
        </w:tc>
        <w:tc>
          <w:tcPr>
            <w:tcW w:w="122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7,640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End Stage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214</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2.2</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1,712,100</w:t>
            </w:r>
          </w:p>
        </w:tc>
        <w:tc>
          <w:tcPr>
            <w:tcW w:w="122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8,000</w:t>
            </w:r>
          </w:p>
        </w:tc>
      </w:tr>
      <w:tr w:rsidR="000C619D" w:rsidRPr="00402750" w:rsidTr="00E222C2">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402750" w:rsidRDefault="00E86EB4" w:rsidP="00C54A8A">
            <w:pPr>
              <w:spacing w:after="0" w:line="240" w:lineRule="auto"/>
              <w:jc w:val="both"/>
              <w:rPr>
                <w:rFonts w:cs="Arial"/>
                <w:color w:val="000000"/>
                <w:sz w:val="20"/>
                <w:szCs w:val="20"/>
                <w:lang w:eastAsia="en-NZ"/>
              </w:rPr>
            </w:pPr>
            <w:r>
              <w:rPr>
                <w:rFonts w:cs="Arial"/>
                <w:color w:val="000000"/>
                <w:sz w:val="20"/>
                <w:szCs w:val="20"/>
                <w:lang w:eastAsia="en-NZ"/>
              </w:rPr>
              <w:t>Total</w:t>
            </w:r>
          </w:p>
        </w:tc>
        <w:tc>
          <w:tcPr>
            <w:tcW w:w="156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9,643</w:t>
            </w:r>
          </w:p>
        </w:tc>
        <w:tc>
          <w:tcPr>
            <w:tcW w:w="1771"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100.0</w:t>
            </w:r>
          </w:p>
        </w:tc>
        <w:tc>
          <w:tcPr>
            <w:tcW w:w="1400"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10,000,100</w:t>
            </w:r>
          </w:p>
        </w:tc>
        <w:tc>
          <w:tcPr>
            <w:tcW w:w="1220"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1,040</w:t>
            </w:r>
          </w:p>
        </w:tc>
      </w:tr>
    </w:tbl>
    <w:p w:rsidR="00C54A8A" w:rsidRDefault="00C54A8A" w:rsidP="00C54A8A">
      <w:pPr>
        <w:jc w:val="both"/>
      </w:pPr>
    </w:p>
    <w:tbl>
      <w:tblPr>
        <w:tblStyle w:val="MediumShading1-Accent3"/>
        <w:tblW w:w="9167" w:type="dxa"/>
        <w:tblLook w:val="04E0" w:firstRow="1" w:lastRow="1" w:firstColumn="1" w:lastColumn="0" w:noHBand="0" w:noVBand="1"/>
      </w:tblPr>
      <w:tblGrid>
        <w:gridCol w:w="3160"/>
        <w:gridCol w:w="1563"/>
        <w:gridCol w:w="1771"/>
        <w:gridCol w:w="1400"/>
        <w:gridCol w:w="1273"/>
      </w:tblGrid>
      <w:tr w:rsidR="00E222C2" w:rsidRPr="00402750" w:rsidTr="00E222C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E222C2" w:rsidRPr="00F74054" w:rsidRDefault="00E222C2" w:rsidP="00C54A8A">
            <w:pPr>
              <w:spacing w:after="0" w:line="240" w:lineRule="auto"/>
              <w:jc w:val="both"/>
              <w:rPr>
                <w:rFonts w:cs="Arial"/>
                <w:color w:val="000000"/>
                <w:sz w:val="20"/>
                <w:szCs w:val="20"/>
                <w:lang w:eastAsia="en-NZ"/>
              </w:rPr>
            </w:pPr>
            <w:r w:rsidRPr="00E86EB4">
              <w:rPr>
                <w:rFonts w:cs="Arial"/>
                <w:color w:val="000000"/>
                <w:sz w:val="20"/>
                <w:szCs w:val="20"/>
                <w:lang w:eastAsia="en-NZ"/>
              </w:rPr>
              <w:t>Non-Māori Moderate Deprivation</w:t>
            </w:r>
          </w:p>
        </w:tc>
        <w:tc>
          <w:tcPr>
            <w:tcW w:w="156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F83359">
              <w:t>Count</w:t>
            </w:r>
          </w:p>
        </w:tc>
        <w:tc>
          <w:tcPr>
            <w:tcW w:w="1771"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F83359">
              <w:t>% of count</w:t>
            </w:r>
          </w:p>
        </w:tc>
        <w:tc>
          <w:tcPr>
            <w:tcW w:w="1400"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F83359">
              <w:t>Total cost ($)</w:t>
            </w:r>
          </w:p>
        </w:tc>
        <w:tc>
          <w:tcPr>
            <w:tcW w:w="127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F83359">
              <w:t>Avg cost ($)</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Early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44,426</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57.9</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14,627,300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330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Minor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23,607</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30.8</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13,473,100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570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Late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4,212</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5.5</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6,826,900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1,620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Moderate-Severe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2,813</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3.7</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21,166,400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7,520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End Stage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1,671</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2.2</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9,723,300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5,820</w:t>
            </w:r>
          </w:p>
        </w:tc>
      </w:tr>
      <w:tr w:rsidR="000C619D" w:rsidRPr="00402750" w:rsidTr="00E222C2">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402750" w:rsidRDefault="00E86EB4" w:rsidP="00C54A8A">
            <w:pPr>
              <w:spacing w:after="0" w:line="240" w:lineRule="auto"/>
              <w:jc w:val="both"/>
              <w:rPr>
                <w:rFonts w:cs="Arial"/>
                <w:color w:val="000000"/>
                <w:sz w:val="20"/>
                <w:szCs w:val="20"/>
                <w:lang w:eastAsia="en-NZ"/>
              </w:rPr>
            </w:pPr>
            <w:r>
              <w:rPr>
                <w:rFonts w:cs="Arial"/>
                <w:color w:val="000000"/>
                <w:sz w:val="20"/>
                <w:szCs w:val="20"/>
                <w:lang w:eastAsia="en-NZ"/>
              </w:rPr>
              <w:t>Total</w:t>
            </w:r>
          </w:p>
        </w:tc>
        <w:tc>
          <w:tcPr>
            <w:tcW w:w="156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76,729</w:t>
            </w:r>
          </w:p>
        </w:tc>
        <w:tc>
          <w:tcPr>
            <w:tcW w:w="1771"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100.0</w:t>
            </w:r>
          </w:p>
        </w:tc>
        <w:tc>
          <w:tcPr>
            <w:tcW w:w="1400"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65,817,000</w:t>
            </w:r>
          </w:p>
        </w:tc>
        <w:tc>
          <w:tcPr>
            <w:tcW w:w="127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860</w:t>
            </w:r>
          </w:p>
        </w:tc>
      </w:tr>
    </w:tbl>
    <w:p w:rsidR="00F73CCA" w:rsidRDefault="00F73CCA" w:rsidP="00C54A8A">
      <w:pPr>
        <w:jc w:val="both"/>
      </w:pPr>
    </w:p>
    <w:tbl>
      <w:tblPr>
        <w:tblStyle w:val="MediumShading1-Accent3"/>
        <w:tblW w:w="9167" w:type="dxa"/>
        <w:tblLook w:val="04E0" w:firstRow="1" w:lastRow="1" w:firstColumn="1" w:lastColumn="0" w:noHBand="0" w:noVBand="1"/>
      </w:tblPr>
      <w:tblGrid>
        <w:gridCol w:w="3160"/>
        <w:gridCol w:w="1563"/>
        <w:gridCol w:w="1771"/>
        <w:gridCol w:w="1400"/>
        <w:gridCol w:w="1273"/>
      </w:tblGrid>
      <w:tr w:rsidR="00E222C2" w:rsidRPr="00402750" w:rsidTr="00E222C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E222C2" w:rsidRPr="00F74054" w:rsidRDefault="00E222C2" w:rsidP="00C54A8A">
            <w:pPr>
              <w:spacing w:after="0" w:line="240" w:lineRule="auto"/>
              <w:jc w:val="both"/>
              <w:rPr>
                <w:rFonts w:cs="Arial"/>
                <w:color w:val="000000"/>
                <w:sz w:val="20"/>
                <w:szCs w:val="20"/>
                <w:lang w:eastAsia="en-NZ"/>
              </w:rPr>
            </w:pPr>
            <w:r w:rsidRPr="00E86EB4">
              <w:rPr>
                <w:rFonts w:cs="Arial"/>
                <w:color w:val="000000"/>
                <w:sz w:val="20"/>
                <w:szCs w:val="20"/>
                <w:lang w:eastAsia="en-NZ"/>
              </w:rPr>
              <w:t>Māori Low Deprivation</w:t>
            </w:r>
          </w:p>
        </w:tc>
        <w:tc>
          <w:tcPr>
            <w:tcW w:w="156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D25B72">
              <w:t>Count</w:t>
            </w:r>
          </w:p>
        </w:tc>
        <w:tc>
          <w:tcPr>
            <w:tcW w:w="1771"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D25B72">
              <w:t>% of count</w:t>
            </w:r>
          </w:p>
        </w:tc>
        <w:tc>
          <w:tcPr>
            <w:tcW w:w="1400"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D25B72">
              <w:t>Total cost ($)</w:t>
            </w:r>
          </w:p>
        </w:tc>
        <w:tc>
          <w:tcPr>
            <w:tcW w:w="127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D25B72">
              <w:t>Avg cost ($)</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Early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562</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59.9</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187,200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330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Minor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286</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30.5</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182,500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640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Late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32</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3.4</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56,000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1,750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Moderate-Severe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42</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4.5</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358,400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8,530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End Stage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16</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1.7</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101,800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6,360</w:t>
            </w:r>
          </w:p>
        </w:tc>
      </w:tr>
      <w:tr w:rsidR="000C619D" w:rsidRPr="00402750" w:rsidTr="00E222C2">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E86EB4" w:rsidRDefault="00E86EB4" w:rsidP="00C54A8A">
            <w:pPr>
              <w:spacing w:after="0" w:line="240" w:lineRule="auto"/>
              <w:jc w:val="both"/>
              <w:rPr>
                <w:rFonts w:cs="Arial"/>
                <w:color w:val="000000"/>
                <w:sz w:val="20"/>
                <w:szCs w:val="20"/>
                <w:lang w:eastAsia="en-NZ"/>
              </w:rPr>
            </w:pPr>
            <w:r w:rsidRPr="00E86EB4">
              <w:rPr>
                <w:rFonts w:cs="Arial"/>
                <w:color w:val="000000"/>
                <w:sz w:val="20"/>
                <w:szCs w:val="20"/>
                <w:lang w:eastAsia="en-NZ"/>
              </w:rPr>
              <w:t>Total</w:t>
            </w:r>
          </w:p>
        </w:tc>
        <w:tc>
          <w:tcPr>
            <w:tcW w:w="156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938</w:t>
            </w:r>
          </w:p>
        </w:tc>
        <w:tc>
          <w:tcPr>
            <w:tcW w:w="1771"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100.0</w:t>
            </w:r>
          </w:p>
        </w:tc>
        <w:tc>
          <w:tcPr>
            <w:tcW w:w="1400"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885,900</w:t>
            </w:r>
          </w:p>
        </w:tc>
        <w:tc>
          <w:tcPr>
            <w:tcW w:w="127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940</w:t>
            </w:r>
          </w:p>
        </w:tc>
      </w:tr>
    </w:tbl>
    <w:p w:rsidR="00402750" w:rsidRDefault="00402750" w:rsidP="00C54A8A">
      <w:pPr>
        <w:jc w:val="both"/>
      </w:pPr>
    </w:p>
    <w:tbl>
      <w:tblPr>
        <w:tblStyle w:val="MediumShading1-Accent3"/>
        <w:tblW w:w="9167" w:type="dxa"/>
        <w:tblLook w:val="04E0" w:firstRow="1" w:lastRow="1" w:firstColumn="1" w:lastColumn="0" w:noHBand="0" w:noVBand="1"/>
      </w:tblPr>
      <w:tblGrid>
        <w:gridCol w:w="3160"/>
        <w:gridCol w:w="1563"/>
        <w:gridCol w:w="1771"/>
        <w:gridCol w:w="1400"/>
        <w:gridCol w:w="1273"/>
      </w:tblGrid>
      <w:tr w:rsidR="00E222C2" w:rsidRPr="00402750" w:rsidTr="00E222C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E222C2" w:rsidRPr="00F74054" w:rsidRDefault="00E222C2" w:rsidP="00C54A8A">
            <w:pPr>
              <w:spacing w:after="0" w:line="240" w:lineRule="auto"/>
              <w:jc w:val="both"/>
              <w:rPr>
                <w:rFonts w:cs="Arial"/>
                <w:color w:val="000000"/>
                <w:sz w:val="20"/>
                <w:szCs w:val="20"/>
                <w:lang w:eastAsia="en-NZ"/>
              </w:rPr>
            </w:pPr>
            <w:r w:rsidRPr="00E86EB4">
              <w:rPr>
                <w:rFonts w:cs="Arial"/>
                <w:color w:val="000000"/>
                <w:sz w:val="20"/>
                <w:szCs w:val="20"/>
                <w:lang w:eastAsia="en-NZ"/>
              </w:rPr>
              <w:t>Non-Māori Low Deprivation</w:t>
            </w:r>
          </w:p>
        </w:tc>
        <w:tc>
          <w:tcPr>
            <w:tcW w:w="156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DA43CA">
              <w:t>Count</w:t>
            </w:r>
          </w:p>
        </w:tc>
        <w:tc>
          <w:tcPr>
            <w:tcW w:w="1771"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DA43CA">
              <w:t>% of count</w:t>
            </w:r>
          </w:p>
        </w:tc>
        <w:tc>
          <w:tcPr>
            <w:tcW w:w="1400"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DA43CA">
              <w:t>Total cost ($)</w:t>
            </w:r>
          </w:p>
        </w:tc>
        <w:tc>
          <w:tcPr>
            <w:tcW w:w="1273" w:type="dxa"/>
            <w:noWrap/>
            <w:hideMark/>
          </w:tcPr>
          <w:p w:rsidR="00E222C2" w:rsidRPr="00402750" w:rsidRDefault="00E222C2"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color w:val="000000"/>
                <w:sz w:val="20"/>
                <w:szCs w:val="20"/>
                <w:lang w:eastAsia="en-NZ"/>
              </w:rPr>
            </w:pPr>
            <w:r w:rsidRPr="00DA43CA">
              <w:t>Avg cost ($)</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Early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10,492</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62.4</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3,329,800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320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Minor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4,816</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28.6</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2,666,700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550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Late Stable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748</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4.4</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1,235,500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1,650</w:t>
            </w:r>
          </w:p>
        </w:tc>
      </w:tr>
      <w:tr w:rsidR="000C619D" w:rsidRPr="00402750" w:rsidTr="00E222C2">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Moderate-Severe Exacerbation</w:t>
            </w:r>
          </w:p>
        </w:tc>
        <w:tc>
          <w:tcPr>
            <w:tcW w:w="156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476</w:t>
            </w:r>
          </w:p>
        </w:tc>
        <w:tc>
          <w:tcPr>
            <w:tcW w:w="1771"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2.8</w:t>
            </w:r>
          </w:p>
        </w:tc>
        <w:tc>
          <w:tcPr>
            <w:tcW w:w="1400"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3,618,600</w:t>
            </w:r>
          </w:p>
        </w:tc>
        <w:tc>
          <w:tcPr>
            <w:tcW w:w="1273" w:type="dxa"/>
            <w:noWrap/>
            <w:vAlign w:val="bottom"/>
          </w:tcPr>
          <w:p w:rsidR="000C619D" w:rsidRDefault="000C619D"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lang w:eastAsia="en-NZ"/>
              </w:rPr>
            </w:pPr>
            <w:r>
              <w:rPr>
                <w:rFonts w:cs="Arial"/>
                <w:color w:val="000000"/>
                <w:sz w:val="20"/>
                <w:szCs w:val="20"/>
                <w:lang w:eastAsia="en-NZ"/>
              </w:rPr>
              <w:t>7,600</w:t>
            </w:r>
          </w:p>
        </w:tc>
      </w:tr>
      <w:tr w:rsidR="000C619D" w:rsidRPr="00402750" w:rsidTr="00E222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F74054" w:rsidRDefault="000C619D" w:rsidP="00C54A8A">
            <w:pPr>
              <w:spacing w:after="0" w:line="240" w:lineRule="auto"/>
              <w:jc w:val="both"/>
              <w:rPr>
                <w:rFonts w:cs="Arial"/>
                <w:b w:val="0"/>
                <w:color w:val="000000"/>
                <w:sz w:val="20"/>
                <w:szCs w:val="20"/>
                <w:lang w:eastAsia="en-NZ"/>
              </w:rPr>
            </w:pPr>
            <w:r w:rsidRPr="00E86EB4">
              <w:rPr>
                <w:rFonts w:cs="Arial"/>
                <w:color w:val="000000"/>
                <w:sz w:val="20"/>
                <w:szCs w:val="20"/>
                <w:lang w:eastAsia="en-NZ"/>
              </w:rPr>
              <w:t>End Stage</w:t>
            </w:r>
          </w:p>
        </w:tc>
        <w:tc>
          <w:tcPr>
            <w:tcW w:w="156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283</w:t>
            </w:r>
          </w:p>
        </w:tc>
        <w:tc>
          <w:tcPr>
            <w:tcW w:w="1771"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1.7</w:t>
            </w:r>
          </w:p>
        </w:tc>
        <w:tc>
          <w:tcPr>
            <w:tcW w:w="1400"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1,515,000</w:t>
            </w:r>
          </w:p>
        </w:tc>
        <w:tc>
          <w:tcPr>
            <w:tcW w:w="1273" w:type="dxa"/>
            <w:noWrap/>
            <w:vAlign w:val="bottom"/>
          </w:tcPr>
          <w:p w:rsidR="000C619D" w:rsidRDefault="000C619D"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NZ"/>
              </w:rPr>
            </w:pPr>
            <w:r>
              <w:rPr>
                <w:rFonts w:cs="Arial"/>
                <w:color w:val="000000"/>
                <w:sz w:val="20"/>
                <w:szCs w:val="20"/>
                <w:lang w:eastAsia="en-NZ"/>
              </w:rPr>
              <w:t>5,350</w:t>
            </w:r>
          </w:p>
        </w:tc>
      </w:tr>
      <w:tr w:rsidR="000C619D" w:rsidRPr="00402750" w:rsidTr="00E222C2">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60" w:type="dxa"/>
            <w:noWrap/>
            <w:hideMark/>
          </w:tcPr>
          <w:p w:rsidR="000C619D" w:rsidRPr="00402750" w:rsidRDefault="00E86EB4" w:rsidP="00C54A8A">
            <w:pPr>
              <w:spacing w:after="0" w:line="240" w:lineRule="auto"/>
              <w:jc w:val="both"/>
              <w:rPr>
                <w:rFonts w:cs="Arial"/>
                <w:color w:val="000000"/>
                <w:sz w:val="20"/>
                <w:szCs w:val="20"/>
                <w:lang w:eastAsia="en-NZ"/>
              </w:rPr>
            </w:pPr>
            <w:r>
              <w:rPr>
                <w:rFonts w:cs="Arial"/>
                <w:color w:val="000000"/>
                <w:sz w:val="20"/>
                <w:szCs w:val="20"/>
                <w:lang w:eastAsia="en-NZ"/>
              </w:rPr>
              <w:t>Total</w:t>
            </w:r>
          </w:p>
        </w:tc>
        <w:tc>
          <w:tcPr>
            <w:tcW w:w="156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16,815</w:t>
            </w:r>
          </w:p>
        </w:tc>
        <w:tc>
          <w:tcPr>
            <w:tcW w:w="1771"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100.0</w:t>
            </w:r>
          </w:p>
        </w:tc>
        <w:tc>
          <w:tcPr>
            <w:tcW w:w="1400"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12,365,600</w:t>
            </w:r>
          </w:p>
        </w:tc>
        <w:tc>
          <w:tcPr>
            <w:tcW w:w="1273" w:type="dxa"/>
            <w:noWrap/>
            <w:vAlign w:val="bottom"/>
          </w:tcPr>
          <w:p w:rsidR="000C619D" w:rsidRPr="000C619D" w:rsidRDefault="000C619D" w:rsidP="00C54A8A">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Arial"/>
                <w:bCs w:val="0"/>
                <w:color w:val="000000"/>
                <w:sz w:val="20"/>
                <w:szCs w:val="20"/>
                <w:lang w:eastAsia="en-NZ"/>
              </w:rPr>
            </w:pPr>
            <w:r w:rsidRPr="000C619D">
              <w:rPr>
                <w:rFonts w:cs="Arial"/>
                <w:bCs w:val="0"/>
                <w:color w:val="000000"/>
                <w:sz w:val="20"/>
                <w:szCs w:val="20"/>
                <w:lang w:eastAsia="en-NZ"/>
              </w:rPr>
              <w:t>740</w:t>
            </w:r>
          </w:p>
        </w:tc>
      </w:tr>
    </w:tbl>
    <w:p w:rsidR="00402750" w:rsidRDefault="00402750" w:rsidP="00C54A8A">
      <w:pPr>
        <w:jc w:val="both"/>
      </w:pPr>
      <w:r>
        <w:br/>
      </w:r>
    </w:p>
    <w:p w:rsidR="00E222C2" w:rsidRDefault="00E222C2" w:rsidP="00C54A8A">
      <w:pPr>
        <w:spacing w:after="0" w:line="240" w:lineRule="auto"/>
        <w:jc w:val="both"/>
      </w:pPr>
      <w:r>
        <w:rPr>
          <w:b/>
          <w:bCs/>
        </w:rPr>
        <w:br w:type="page"/>
      </w:r>
    </w:p>
    <w:p w:rsidR="00402750" w:rsidRDefault="00402750" w:rsidP="00C54A8A">
      <w:pPr>
        <w:pStyle w:val="Head1-nonumber"/>
        <w:jc w:val="both"/>
      </w:pPr>
      <w:bookmarkStart w:id="168" w:name="_Toc382574753"/>
      <w:r>
        <w:t>Appendix 2: ABCC Study Summary Table</w:t>
      </w:r>
      <w:bookmarkEnd w:id="168"/>
    </w:p>
    <w:p w:rsidR="00402750" w:rsidRDefault="00E222C2" w:rsidP="00C54A8A">
      <w:pPr>
        <w:pStyle w:val="Caption"/>
        <w:keepNext/>
        <w:jc w:val="both"/>
      </w:pPr>
      <w:r w:rsidRPr="00E222C2">
        <w:t>ABCC Study Summary Table</w:t>
      </w:r>
      <w:r>
        <w:t xml:space="preserve">: </w:t>
      </w:r>
      <w:r w:rsidRPr="00E222C2">
        <w:t xml:space="preserve"> </w:t>
      </w:r>
      <w:r w:rsidR="00402750" w:rsidRPr="009E3205">
        <w:t>Summary of Evidence-Based COPD Service Provision by DHB Size</w:t>
      </w:r>
    </w:p>
    <w:tbl>
      <w:tblPr>
        <w:tblStyle w:val="LightGrid-Accent3"/>
        <w:tblW w:w="0" w:type="auto"/>
        <w:tblLook w:val="04A0" w:firstRow="1" w:lastRow="0" w:firstColumn="1" w:lastColumn="0" w:noHBand="0" w:noVBand="1"/>
      </w:tblPr>
      <w:tblGrid>
        <w:gridCol w:w="4555"/>
        <w:gridCol w:w="1631"/>
        <w:gridCol w:w="1631"/>
        <w:gridCol w:w="1753"/>
      </w:tblGrid>
      <w:tr w:rsidR="00402750" w:rsidRPr="00B05883" w:rsidTr="00402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B05883" w:rsidRDefault="00402750" w:rsidP="00C54A8A">
            <w:pPr>
              <w:spacing w:after="0" w:line="240" w:lineRule="auto"/>
              <w:jc w:val="both"/>
              <w:rPr>
                <w:rFonts w:ascii="Times New Roman" w:hAnsi="Times New Roman"/>
                <w:color w:val="000000"/>
                <w:sz w:val="21"/>
                <w:szCs w:val="21"/>
                <w:lang w:eastAsia="en-NZ"/>
              </w:rPr>
            </w:pPr>
            <w:r w:rsidRPr="00B05883">
              <w:rPr>
                <w:rFonts w:ascii="Times New Roman" w:hAnsi="Times New Roman"/>
                <w:color w:val="000000"/>
                <w:sz w:val="21"/>
                <w:szCs w:val="21"/>
                <w:lang w:eastAsia="en-NZ"/>
              </w:rPr>
              <w:t>Variables</w:t>
            </w:r>
          </w:p>
        </w:tc>
        <w:tc>
          <w:tcPr>
            <w:tcW w:w="1631" w:type="dxa"/>
            <w:hideMark/>
          </w:tcPr>
          <w:p w:rsidR="00402750" w:rsidRPr="00B05883" w:rsidRDefault="00402750"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Small DHBs positive response</w:t>
            </w:r>
            <w:r w:rsidRPr="00B05883">
              <w:rPr>
                <w:rFonts w:ascii="Times New Roman" w:hAnsi="Times New Roman"/>
                <w:color w:val="000000"/>
                <w:sz w:val="21"/>
                <w:szCs w:val="21"/>
                <w:lang w:eastAsia="en-NZ"/>
              </w:rPr>
              <w:br/>
              <w:t>N=3</w:t>
            </w:r>
          </w:p>
        </w:tc>
        <w:tc>
          <w:tcPr>
            <w:tcW w:w="1631" w:type="dxa"/>
            <w:hideMark/>
          </w:tcPr>
          <w:p w:rsidR="00402750" w:rsidRPr="00B05883" w:rsidRDefault="00402750"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Medium DHBs positive response</w:t>
            </w:r>
            <w:r w:rsidRPr="00B05883">
              <w:rPr>
                <w:rFonts w:ascii="Times New Roman" w:hAnsi="Times New Roman"/>
                <w:color w:val="000000"/>
                <w:sz w:val="21"/>
                <w:szCs w:val="21"/>
                <w:lang w:eastAsia="en-NZ"/>
              </w:rPr>
              <w:br/>
              <w:t>N=6</w:t>
            </w:r>
          </w:p>
        </w:tc>
        <w:tc>
          <w:tcPr>
            <w:tcW w:w="1753" w:type="dxa"/>
            <w:hideMark/>
          </w:tcPr>
          <w:p w:rsidR="00402750" w:rsidRPr="00B05883" w:rsidRDefault="00402750"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Large DHBs positive response</w:t>
            </w:r>
            <w:r w:rsidRPr="00B05883">
              <w:rPr>
                <w:rFonts w:ascii="Times New Roman" w:hAnsi="Times New Roman"/>
                <w:color w:val="000000"/>
                <w:sz w:val="21"/>
                <w:szCs w:val="21"/>
                <w:lang w:eastAsia="en-NZ"/>
              </w:rPr>
              <w:br/>
              <w:t>N=6</w:t>
            </w:r>
          </w:p>
        </w:tc>
      </w:tr>
      <w:tr w:rsidR="00402750" w:rsidRPr="00B05883" w:rsidTr="00402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E222C2"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Audit/ q</w:t>
            </w:r>
            <w:r w:rsidR="00402750" w:rsidRPr="00E86EB4">
              <w:rPr>
                <w:rFonts w:ascii="Times New Roman" w:hAnsi="Times New Roman"/>
                <w:color w:val="000000"/>
                <w:sz w:val="21"/>
                <w:szCs w:val="21"/>
                <w:lang w:eastAsia="en-NZ"/>
              </w:rPr>
              <w:t xml:space="preserve">uality </w:t>
            </w:r>
            <w:r w:rsidRPr="00E86EB4">
              <w:rPr>
                <w:rFonts w:ascii="Times New Roman" w:hAnsi="Times New Roman"/>
                <w:color w:val="000000"/>
                <w:sz w:val="21"/>
                <w:szCs w:val="21"/>
                <w:lang w:eastAsia="en-NZ"/>
              </w:rPr>
              <w:t>i</w:t>
            </w:r>
            <w:r w:rsidR="00402750" w:rsidRPr="00E86EB4">
              <w:rPr>
                <w:rFonts w:ascii="Times New Roman" w:hAnsi="Times New Roman"/>
                <w:color w:val="000000"/>
                <w:sz w:val="21"/>
                <w:szCs w:val="21"/>
                <w:lang w:eastAsia="en-NZ"/>
              </w:rPr>
              <w:t>mprovement for COPD admissions</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0/3</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2/6</w:t>
            </w:r>
          </w:p>
        </w:tc>
        <w:tc>
          <w:tcPr>
            <w:tcW w:w="1753"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3/6</w:t>
            </w:r>
          </w:p>
        </w:tc>
      </w:tr>
      <w:tr w:rsidR="00402750" w:rsidRPr="00B05883" w:rsidTr="004027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 xml:space="preserve">Overall </w:t>
            </w:r>
            <w:r w:rsidR="00E222C2" w:rsidRPr="00E86EB4">
              <w:rPr>
                <w:rFonts w:ascii="Times New Roman" w:hAnsi="Times New Roman"/>
                <w:color w:val="000000"/>
                <w:sz w:val="21"/>
                <w:szCs w:val="21"/>
                <w:lang w:eastAsia="en-NZ"/>
              </w:rPr>
              <w:t>l</w:t>
            </w:r>
            <w:r w:rsidRPr="00E86EB4">
              <w:rPr>
                <w:rFonts w:ascii="Times New Roman" w:hAnsi="Times New Roman"/>
                <w:color w:val="000000"/>
                <w:sz w:val="21"/>
                <w:szCs w:val="21"/>
                <w:lang w:eastAsia="en-NZ"/>
              </w:rPr>
              <w:t>eadership in COPD</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1/3</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3/6</w:t>
            </w:r>
          </w:p>
        </w:tc>
        <w:tc>
          <w:tcPr>
            <w:tcW w:w="1753"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4/6</w:t>
            </w:r>
          </w:p>
        </w:tc>
      </w:tr>
      <w:tr w:rsidR="00402750" w:rsidRPr="00B05883" w:rsidTr="00402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Protocols/guidelines for COPD management</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1/3</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5/6</w:t>
            </w:r>
          </w:p>
        </w:tc>
        <w:tc>
          <w:tcPr>
            <w:tcW w:w="1753"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3/6</w:t>
            </w:r>
          </w:p>
        </w:tc>
      </w:tr>
      <w:tr w:rsidR="00402750" w:rsidRPr="00B05883" w:rsidTr="004027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Spirometry</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3/3</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6/6</w:t>
            </w:r>
          </w:p>
        </w:tc>
        <w:tc>
          <w:tcPr>
            <w:tcW w:w="1753"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6/6</w:t>
            </w:r>
          </w:p>
        </w:tc>
      </w:tr>
      <w:tr w:rsidR="00402750" w:rsidRPr="00B05883" w:rsidTr="00402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Spirometry audit/quality improvement programme</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1/2</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2/6</w:t>
            </w:r>
          </w:p>
        </w:tc>
        <w:tc>
          <w:tcPr>
            <w:tcW w:w="1753"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3/5</w:t>
            </w:r>
          </w:p>
        </w:tc>
      </w:tr>
      <w:tr w:rsidR="00402750" w:rsidRPr="00B05883" w:rsidTr="004027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 xml:space="preserve">Pulmonary </w:t>
            </w:r>
            <w:r w:rsidR="00E222C2" w:rsidRPr="00E86EB4">
              <w:rPr>
                <w:rFonts w:ascii="Times New Roman" w:hAnsi="Times New Roman"/>
                <w:color w:val="000000"/>
                <w:sz w:val="21"/>
                <w:szCs w:val="21"/>
                <w:lang w:eastAsia="en-NZ"/>
              </w:rPr>
              <w:t>r</w:t>
            </w:r>
            <w:r w:rsidRPr="00E86EB4">
              <w:rPr>
                <w:rFonts w:ascii="Times New Roman" w:hAnsi="Times New Roman"/>
                <w:color w:val="000000"/>
                <w:sz w:val="21"/>
                <w:szCs w:val="21"/>
                <w:lang w:eastAsia="en-NZ"/>
              </w:rPr>
              <w:t>ehabilitation (PR)</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3/3</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5/6</w:t>
            </w:r>
          </w:p>
        </w:tc>
        <w:tc>
          <w:tcPr>
            <w:tcW w:w="1753"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6/6</w:t>
            </w:r>
          </w:p>
        </w:tc>
      </w:tr>
      <w:tr w:rsidR="00402750" w:rsidRPr="00B05883" w:rsidTr="00402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Ongoing home-based exercise programme</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0/3</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2/6</w:t>
            </w:r>
          </w:p>
        </w:tc>
        <w:tc>
          <w:tcPr>
            <w:tcW w:w="1753"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3/5</w:t>
            </w:r>
          </w:p>
        </w:tc>
      </w:tr>
      <w:tr w:rsidR="00402750" w:rsidRPr="00B05883" w:rsidTr="004027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Ongoing (post-rehab) support</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3/3</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6/6</w:t>
            </w:r>
          </w:p>
        </w:tc>
        <w:tc>
          <w:tcPr>
            <w:tcW w:w="1753"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2/5</w:t>
            </w:r>
          </w:p>
        </w:tc>
      </w:tr>
      <w:tr w:rsidR="00402750" w:rsidRPr="00B05883" w:rsidTr="00402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Other rehab community-based service</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0/3</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6/6</w:t>
            </w:r>
          </w:p>
        </w:tc>
        <w:tc>
          <w:tcPr>
            <w:tcW w:w="1753"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2/5</w:t>
            </w:r>
          </w:p>
        </w:tc>
      </w:tr>
      <w:tr w:rsidR="00402750" w:rsidRPr="00B05883" w:rsidTr="004027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 xml:space="preserve">PR audit or quality </w:t>
            </w:r>
            <w:r w:rsidR="00E222C2" w:rsidRPr="00E86EB4">
              <w:rPr>
                <w:rFonts w:ascii="Times New Roman" w:hAnsi="Times New Roman"/>
                <w:color w:val="000000"/>
                <w:sz w:val="21"/>
                <w:szCs w:val="21"/>
                <w:lang w:eastAsia="en-NZ"/>
              </w:rPr>
              <w:t>i</w:t>
            </w:r>
            <w:r w:rsidRPr="00E86EB4">
              <w:rPr>
                <w:rFonts w:ascii="Times New Roman" w:hAnsi="Times New Roman"/>
                <w:color w:val="000000"/>
                <w:sz w:val="21"/>
                <w:szCs w:val="21"/>
                <w:lang w:eastAsia="en-NZ"/>
              </w:rPr>
              <w:t xml:space="preserve">mprovement </w:t>
            </w:r>
            <w:r w:rsidR="00E222C2" w:rsidRPr="00E86EB4">
              <w:rPr>
                <w:rFonts w:ascii="Times New Roman" w:hAnsi="Times New Roman"/>
                <w:color w:val="000000"/>
                <w:sz w:val="21"/>
                <w:szCs w:val="21"/>
                <w:lang w:eastAsia="en-NZ"/>
              </w:rPr>
              <w:t>p</w:t>
            </w:r>
            <w:r w:rsidRPr="00E86EB4">
              <w:rPr>
                <w:rFonts w:ascii="Times New Roman" w:hAnsi="Times New Roman"/>
                <w:color w:val="000000"/>
                <w:sz w:val="21"/>
                <w:szCs w:val="21"/>
                <w:lang w:eastAsia="en-NZ"/>
              </w:rPr>
              <w:t>rogramme</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1/2</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4/6</w:t>
            </w:r>
          </w:p>
        </w:tc>
        <w:tc>
          <w:tcPr>
            <w:tcW w:w="1753"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6/6</w:t>
            </w:r>
          </w:p>
        </w:tc>
      </w:tr>
      <w:tr w:rsidR="00402750" w:rsidRPr="00B05883" w:rsidTr="00402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 xml:space="preserve">Long-term oxygen therapy (LTOT) </w:t>
            </w:r>
            <w:r w:rsidR="00E222C2" w:rsidRPr="00E86EB4">
              <w:rPr>
                <w:rFonts w:ascii="Times New Roman" w:hAnsi="Times New Roman"/>
                <w:color w:val="000000"/>
                <w:sz w:val="21"/>
                <w:szCs w:val="21"/>
                <w:lang w:eastAsia="en-NZ"/>
              </w:rPr>
              <w:t>s</w:t>
            </w:r>
            <w:r w:rsidRPr="00E86EB4">
              <w:rPr>
                <w:rFonts w:ascii="Times New Roman" w:hAnsi="Times New Roman"/>
                <w:color w:val="000000"/>
                <w:sz w:val="21"/>
                <w:szCs w:val="21"/>
                <w:lang w:eastAsia="en-NZ"/>
              </w:rPr>
              <w:t>ervice</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3/3</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6/6</w:t>
            </w:r>
          </w:p>
        </w:tc>
        <w:tc>
          <w:tcPr>
            <w:tcW w:w="1753"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6/6</w:t>
            </w:r>
          </w:p>
        </w:tc>
      </w:tr>
      <w:tr w:rsidR="00402750" w:rsidRPr="00B05883" w:rsidTr="004027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Service lead for LTOT (large ‘nil response’ rate)</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1/2</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3/4</w:t>
            </w:r>
          </w:p>
        </w:tc>
        <w:tc>
          <w:tcPr>
            <w:tcW w:w="1753"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3/6</w:t>
            </w:r>
          </w:p>
        </w:tc>
      </w:tr>
      <w:tr w:rsidR="00402750" w:rsidRPr="00B05883" w:rsidTr="00402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Written guidelines for LTOT</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3/3</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6/6</w:t>
            </w:r>
          </w:p>
        </w:tc>
        <w:tc>
          <w:tcPr>
            <w:tcW w:w="1753"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6/6</w:t>
            </w:r>
          </w:p>
        </w:tc>
      </w:tr>
      <w:tr w:rsidR="00402750" w:rsidRPr="00B05883" w:rsidTr="004027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LTOT Audit / quality improvement programme (large ‘nil response’ rate)</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1/2</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0/6</w:t>
            </w:r>
          </w:p>
        </w:tc>
        <w:tc>
          <w:tcPr>
            <w:tcW w:w="1753"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3/4</w:t>
            </w:r>
          </w:p>
        </w:tc>
      </w:tr>
      <w:tr w:rsidR="00402750" w:rsidRPr="00B05883" w:rsidTr="00402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Non-invasive ventilation (NIV) for stable COPD (large ‘nil response’ rate)</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0/3</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0/6</w:t>
            </w:r>
          </w:p>
        </w:tc>
        <w:tc>
          <w:tcPr>
            <w:tcW w:w="1753"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3/5</w:t>
            </w:r>
          </w:p>
        </w:tc>
      </w:tr>
      <w:tr w:rsidR="00402750" w:rsidRPr="00B05883" w:rsidTr="004027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NIV for COPD exacerbation (large ‘nil response’ rate)</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1/2</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3/4</w:t>
            </w:r>
          </w:p>
        </w:tc>
        <w:tc>
          <w:tcPr>
            <w:tcW w:w="1753"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4/5</w:t>
            </w:r>
          </w:p>
        </w:tc>
      </w:tr>
      <w:tr w:rsidR="00402750" w:rsidRPr="00B05883" w:rsidTr="00402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Hospital at home teams for COPD exacerbation</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0/3</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1/6</w:t>
            </w:r>
          </w:p>
        </w:tc>
        <w:tc>
          <w:tcPr>
            <w:tcW w:w="1753"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0/6</w:t>
            </w:r>
          </w:p>
        </w:tc>
      </w:tr>
      <w:tr w:rsidR="00402750" w:rsidRPr="00B05883" w:rsidTr="004027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 xml:space="preserve">Smoking </w:t>
            </w:r>
            <w:r w:rsidR="00E222C2" w:rsidRPr="00E86EB4">
              <w:rPr>
                <w:rFonts w:ascii="Times New Roman" w:hAnsi="Times New Roman"/>
                <w:color w:val="000000"/>
                <w:sz w:val="21"/>
                <w:szCs w:val="21"/>
                <w:lang w:eastAsia="en-NZ"/>
              </w:rPr>
              <w:t>c</w:t>
            </w:r>
            <w:r w:rsidRPr="00E86EB4">
              <w:rPr>
                <w:rFonts w:ascii="Times New Roman" w:hAnsi="Times New Roman"/>
                <w:color w:val="000000"/>
                <w:sz w:val="21"/>
                <w:szCs w:val="21"/>
                <w:lang w:eastAsia="en-NZ"/>
              </w:rPr>
              <w:t>essation</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3/3</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6/6</w:t>
            </w:r>
          </w:p>
        </w:tc>
        <w:tc>
          <w:tcPr>
            <w:tcW w:w="1753"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6/6</w:t>
            </w:r>
          </w:p>
        </w:tc>
      </w:tr>
      <w:tr w:rsidR="00402750" w:rsidRPr="00B05883" w:rsidTr="00402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 xml:space="preserve">Audit or quality </w:t>
            </w:r>
            <w:r w:rsidR="00E222C2" w:rsidRPr="00E86EB4">
              <w:rPr>
                <w:rFonts w:ascii="Times New Roman" w:hAnsi="Times New Roman"/>
                <w:color w:val="000000"/>
                <w:sz w:val="21"/>
                <w:szCs w:val="21"/>
                <w:lang w:eastAsia="en-NZ"/>
              </w:rPr>
              <w:t>i</w:t>
            </w:r>
            <w:r w:rsidRPr="00E86EB4">
              <w:rPr>
                <w:rFonts w:ascii="Times New Roman" w:hAnsi="Times New Roman"/>
                <w:color w:val="000000"/>
                <w:sz w:val="21"/>
                <w:szCs w:val="21"/>
                <w:lang w:eastAsia="en-NZ"/>
              </w:rPr>
              <w:t xml:space="preserve">mprovement </w:t>
            </w:r>
            <w:r w:rsidR="00E222C2" w:rsidRPr="00E86EB4">
              <w:rPr>
                <w:rFonts w:ascii="Times New Roman" w:hAnsi="Times New Roman"/>
                <w:color w:val="000000"/>
                <w:sz w:val="21"/>
                <w:szCs w:val="21"/>
                <w:lang w:eastAsia="en-NZ"/>
              </w:rPr>
              <w:t>p</w:t>
            </w:r>
            <w:r w:rsidRPr="00E86EB4">
              <w:rPr>
                <w:rFonts w:ascii="Times New Roman" w:hAnsi="Times New Roman"/>
                <w:color w:val="000000"/>
                <w:sz w:val="21"/>
                <w:szCs w:val="21"/>
                <w:lang w:eastAsia="en-NZ"/>
              </w:rPr>
              <w:t>rogramme for smoking cessation (large ‘nil response’ rate)</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1/2</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0/6</w:t>
            </w:r>
          </w:p>
        </w:tc>
        <w:tc>
          <w:tcPr>
            <w:tcW w:w="1753"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0/6</w:t>
            </w:r>
          </w:p>
        </w:tc>
      </w:tr>
      <w:tr w:rsidR="00402750" w:rsidRPr="00B05883" w:rsidTr="004027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 xml:space="preserve">COPD </w:t>
            </w:r>
            <w:r w:rsidR="00F74054" w:rsidRPr="00E86EB4">
              <w:rPr>
                <w:rFonts w:ascii="Times New Roman" w:hAnsi="Times New Roman"/>
                <w:color w:val="000000"/>
                <w:sz w:val="21"/>
                <w:szCs w:val="21"/>
                <w:lang w:eastAsia="en-NZ"/>
              </w:rPr>
              <w:t>self</w:t>
            </w:r>
            <w:r w:rsidRPr="00E86EB4">
              <w:rPr>
                <w:rFonts w:ascii="Times New Roman" w:hAnsi="Times New Roman"/>
                <w:color w:val="000000"/>
                <w:sz w:val="21"/>
                <w:szCs w:val="21"/>
                <w:lang w:eastAsia="en-NZ"/>
              </w:rPr>
              <w:t>-management / education programme</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2/3</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4/6</w:t>
            </w:r>
          </w:p>
        </w:tc>
        <w:tc>
          <w:tcPr>
            <w:tcW w:w="1753"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3/6</w:t>
            </w:r>
          </w:p>
        </w:tc>
      </w:tr>
      <w:tr w:rsidR="00402750" w:rsidRPr="00B05883" w:rsidTr="00402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Audit / quality improvement programme for COPD self-management (poor response rate)</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0/3</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0/6</w:t>
            </w:r>
          </w:p>
        </w:tc>
        <w:tc>
          <w:tcPr>
            <w:tcW w:w="1753"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1/1</w:t>
            </w:r>
          </w:p>
        </w:tc>
      </w:tr>
      <w:tr w:rsidR="00402750" w:rsidRPr="00B05883" w:rsidTr="004027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COPD Case management</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1/3</w:t>
            </w:r>
          </w:p>
        </w:tc>
        <w:tc>
          <w:tcPr>
            <w:tcW w:w="1631"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4/6</w:t>
            </w:r>
          </w:p>
        </w:tc>
        <w:tc>
          <w:tcPr>
            <w:tcW w:w="1753" w:type="dxa"/>
            <w:hideMark/>
          </w:tcPr>
          <w:p w:rsidR="00402750" w:rsidRPr="00B05883" w:rsidRDefault="00402750" w:rsidP="00C54A8A">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3/6</w:t>
            </w:r>
          </w:p>
        </w:tc>
      </w:tr>
      <w:tr w:rsidR="00402750" w:rsidRPr="00B05883" w:rsidTr="00402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hideMark/>
          </w:tcPr>
          <w:p w:rsidR="00402750" w:rsidRPr="00F74054" w:rsidRDefault="00402750" w:rsidP="00C54A8A">
            <w:pPr>
              <w:spacing w:after="0" w:line="240" w:lineRule="auto"/>
              <w:jc w:val="both"/>
              <w:rPr>
                <w:rFonts w:ascii="Times New Roman" w:hAnsi="Times New Roman"/>
                <w:b w:val="0"/>
                <w:color w:val="000000"/>
                <w:sz w:val="21"/>
                <w:szCs w:val="21"/>
                <w:lang w:eastAsia="en-NZ"/>
              </w:rPr>
            </w:pPr>
            <w:r w:rsidRPr="00E86EB4">
              <w:rPr>
                <w:rFonts w:ascii="Times New Roman" w:hAnsi="Times New Roman"/>
                <w:color w:val="000000"/>
                <w:sz w:val="21"/>
                <w:szCs w:val="21"/>
                <w:lang w:eastAsia="en-NZ"/>
              </w:rPr>
              <w:t>Audit / quality improvement programme for COPD case management (large ‘nil response’ rate)</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0/3</w:t>
            </w:r>
          </w:p>
        </w:tc>
        <w:tc>
          <w:tcPr>
            <w:tcW w:w="1631"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6/6</w:t>
            </w:r>
          </w:p>
        </w:tc>
        <w:tc>
          <w:tcPr>
            <w:tcW w:w="1753" w:type="dxa"/>
            <w:hideMark/>
          </w:tcPr>
          <w:p w:rsidR="00402750" w:rsidRPr="00B05883" w:rsidRDefault="00402750"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1"/>
                <w:szCs w:val="21"/>
                <w:lang w:eastAsia="en-NZ"/>
              </w:rPr>
            </w:pPr>
            <w:r w:rsidRPr="00B05883">
              <w:rPr>
                <w:rFonts w:ascii="Times New Roman" w:hAnsi="Times New Roman"/>
                <w:color w:val="000000"/>
                <w:sz w:val="21"/>
                <w:szCs w:val="21"/>
                <w:lang w:eastAsia="en-NZ"/>
              </w:rPr>
              <w:t>6/6</w:t>
            </w:r>
          </w:p>
        </w:tc>
      </w:tr>
    </w:tbl>
    <w:p w:rsidR="00402750" w:rsidRDefault="00402750" w:rsidP="00C54A8A">
      <w:pPr>
        <w:pStyle w:val="SourceCaption"/>
        <w:jc w:val="both"/>
        <w:rPr>
          <w:b/>
        </w:rPr>
      </w:pPr>
      <w:r w:rsidRPr="00B05883">
        <w:t xml:space="preserve">Note: Results are positive responses / total responses. </w:t>
      </w:r>
    </w:p>
    <w:p w:rsidR="00402750" w:rsidRPr="00B05883" w:rsidRDefault="00402750" w:rsidP="00C54A8A">
      <w:pPr>
        <w:pStyle w:val="SourceCaption"/>
        <w:jc w:val="both"/>
        <w:rPr>
          <w:b/>
        </w:rPr>
      </w:pPr>
      <w:r>
        <w:t>Source:</w:t>
      </w:r>
      <w:r w:rsidR="001E007B">
        <w:t xml:space="preserve"> Alleviating Burden of Chronic Conditions </w:t>
      </w:r>
      <w:r>
        <w:t xml:space="preserve"> </w:t>
      </w:r>
      <w:r w:rsidR="001E007B">
        <w:t>(</w:t>
      </w:r>
      <w:r>
        <w:t>ABCC</w:t>
      </w:r>
      <w:r w:rsidR="001E007B">
        <w:t>)</w:t>
      </w:r>
      <w:r>
        <w:t xml:space="preserve"> NZ study </w:t>
      </w:r>
      <w:r>
        <w:rPr>
          <w:b/>
        </w:rPr>
        <w:fldChar w:fldCharType="begin"/>
      </w:r>
      <w:r w:rsidR="00CA3202">
        <w:rPr>
          <w:b/>
        </w:rPr>
        <w:instrText xml:space="preserve"> ADDIN EN.CITE &lt;EndNote&gt;&lt;Cite&gt;&lt;Author&gt;Connolly&lt;/Author&gt;&lt;Year&gt;2011&lt;/Year&gt;&lt;RecNum&gt;741&lt;/RecNum&gt;&lt;DisplayText&gt;&lt;style face="superscript"&gt;(14)&lt;/style&gt;&lt;/DisplayText&gt;&lt;record&gt;&lt;rec-number&gt;741&lt;/rec-number&gt;&lt;foreign-keys&gt;&lt;key app="EN" db-id="paxef0v91tx5e7eaev8xxf2xd92zvrfrv592"&gt;741&lt;/key&gt;&lt;/foreign-keys&gt;&lt;ref-type name="Journal Article"&gt;17&lt;/ref-type&gt;&lt;contributors&gt;&lt;authors&gt;&lt;author&gt;Connolly, Martin J&lt;/author&gt;&lt;author&gt;Kenealy, Timothy&lt;/author&gt;&lt;author&gt;Barber, P Alan&lt;/author&gt;&lt;author&gt;Carswell, Peter&lt;/author&gt;&lt;author&gt;Clinton, Janet&lt;/author&gt;&lt;author&gt;Dyall, Lorna&lt;/author&gt;&lt;author&gt;Devlin, Gerard&lt;/author&gt;&lt;author&gt;Doughty, Robert N&lt;/author&gt;&lt;author&gt;Kerse, Ngaire&lt;/author&gt;&lt;author&gt;Kolbe, John&lt;/author&gt;&lt;/authors&gt;&lt;/contributors&gt;&lt;titles&gt;&lt;title&gt;National variability in provision of health services for major long-term conditions in New Zealand (a report from the ABCC NZ study)&lt;/title&gt;&lt;secondary-title&gt;Journal of the New Zealand Medical Association&lt;/secondary-title&gt;&lt;/titles&gt;&lt;periodical&gt;&lt;full-title&gt;Journal of the New Zealand Medical Association&lt;/full-title&gt;&lt;/periodical&gt;&lt;volume&gt;124&lt;/volume&gt;&lt;number&gt;1344&lt;/number&gt;&lt;dates&gt;&lt;year&gt;2011&lt;/year&gt;&lt;/dates&gt;&lt;urls&gt;&lt;/urls&gt;&lt;/record&gt;&lt;/Cite&gt;&lt;/EndNote&gt;</w:instrText>
      </w:r>
      <w:r>
        <w:rPr>
          <w:b/>
        </w:rPr>
        <w:fldChar w:fldCharType="separate"/>
      </w:r>
      <w:r w:rsidR="00551E6B" w:rsidRPr="00551E6B">
        <w:rPr>
          <w:b/>
          <w:noProof/>
          <w:vertAlign w:val="superscript"/>
        </w:rPr>
        <w:t>(</w:t>
      </w:r>
      <w:hyperlink w:anchor="_ENREF_14" w:tooltip="Connolly, 2011 #741" w:history="1">
        <w:r w:rsidR="0029347A" w:rsidRPr="00551E6B">
          <w:rPr>
            <w:b/>
            <w:noProof/>
            <w:vertAlign w:val="superscript"/>
          </w:rPr>
          <w:t>14</w:t>
        </w:r>
      </w:hyperlink>
      <w:r w:rsidR="00551E6B" w:rsidRPr="00551E6B">
        <w:rPr>
          <w:b/>
          <w:noProof/>
          <w:vertAlign w:val="superscript"/>
        </w:rPr>
        <w:t>)</w:t>
      </w:r>
      <w:r>
        <w:rPr>
          <w:b/>
        </w:rPr>
        <w:fldChar w:fldCharType="end"/>
      </w:r>
    </w:p>
    <w:p w:rsidR="000B1B60" w:rsidRDefault="000B1B60" w:rsidP="00C54A8A">
      <w:pPr>
        <w:pStyle w:val="Heading2"/>
        <w:numPr>
          <w:ilvl w:val="0"/>
          <w:numId w:val="0"/>
        </w:numPr>
        <w:ind w:left="576"/>
        <w:jc w:val="both"/>
      </w:pPr>
    </w:p>
    <w:p w:rsidR="00402750" w:rsidRDefault="00402750" w:rsidP="00C54A8A">
      <w:pPr>
        <w:jc w:val="both"/>
        <w:rPr>
          <w:lang w:val="en-GB" w:eastAsia="en-GB"/>
        </w:rPr>
      </w:pPr>
    </w:p>
    <w:p w:rsidR="00402750" w:rsidRDefault="00402750" w:rsidP="00C54A8A">
      <w:pPr>
        <w:jc w:val="both"/>
        <w:rPr>
          <w:lang w:val="en-GB" w:eastAsia="en-GB"/>
        </w:rPr>
      </w:pPr>
    </w:p>
    <w:p w:rsidR="00402750" w:rsidRDefault="00402750" w:rsidP="00C54A8A">
      <w:pPr>
        <w:jc w:val="both"/>
        <w:rPr>
          <w:lang w:val="en-GB" w:eastAsia="en-GB"/>
        </w:rPr>
      </w:pPr>
    </w:p>
    <w:p w:rsidR="00402750" w:rsidRDefault="00402750" w:rsidP="00C54A8A">
      <w:pPr>
        <w:pStyle w:val="Head1-nonumber"/>
        <w:jc w:val="both"/>
      </w:pPr>
      <w:bookmarkStart w:id="169" w:name="_Toc382574754"/>
      <w:r>
        <w:t>Appendix 3: Full Methodology</w:t>
      </w:r>
      <w:bookmarkEnd w:id="169"/>
    </w:p>
    <w:p w:rsidR="00402750" w:rsidRPr="006D219E" w:rsidRDefault="00402750" w:rsidP="00C54A8A">
      <w:pPr>
        <w:jc w:val="both"/>
      </w:pPr>
      <w:r>
        <w:t>This appendix outlines the full methodology used to inform the contents of this report: pathway of care, prevalence, costs and patient stratification.</w:t>
      </w:r>
    </w:p>
    <w:p w:rsidR="00402750" w:rsidRDefault="00402750" w:rsidP="00C54A8A">
      <w:pPr>
        <w:pStyle w:val="Head2nonumber"/>
        <w:jc w:val="both"/>
      </w:pPr>
      <w:bookmarkStart w:id="170" w:name="_Toc370401399"/>
      <w:bookmarkStart w:id="171" w:name="_Toc370477241"/>
      <w:bookmarkStart w:id="172" w:name="_Toc371949680"/>
      <w:bookmarkStart w:id="173" w:name="_Toc382225532"/>
      <w:bookmarkStart w:id="174" w:name="_Toc382475514"/>
      <w:bookmarkStart w:id="175" w:name="_Toc382554901"/>
      <w:bookmarkStart w:id="176" w:name="_Toc382574755"/>
      <w:r>
        <w:t>Pathway of care</w:t>
      </w:r>
      <w:bookmarkEnd w:id="170"/>
      <w:bookmarkEnd w:id="171"/>
      <w:bookmarkEnd w:id="172"/>
      <w:bookmarkEnd w:id="173"/>
      <w:bookmarkEnd w:id="174"/>
      <w:bookmarkEnd w:id="175"/>
      <w:bookmarkEnd w:id="176"/>
    </w:p>
    <w:p w:rsidR="00402750" w:rsidRDefault="00402750" w:rsidP="00C54A8A">
      <w:pPr>
        <w:jc w:val="both"/>
      </w:pPr>
      <w:r>
        <w:t>To inform the pathway of care section, various guidelines were searched.  A regional, Australasian guideline, COPD-X, and a UK National Institute for Health and Care Excellence (NICE) guideline were used as the primary sources for best practice comparison.</w:t>
      </w:r>
    </w:p>
    <w:p w:rsidR="00402750" w:rsidRDefault="0059413C" w:rsidP="00C54A8A">
      <w:pPr>
        <w:jc w:val="both"/>
      </w:pPr>
      <w:r>
        <w:t>Horizon scanning was conducted utilising a combination of ad-hoc references, a subscription to GP Research Review from June 2013 until September 2013 and HealthPACT horizon scanning reports.</w:t>
      </w:r>
      <w:r w:rsidR="00402750">
        <w:t xml:space="preserve"> Together with clinical input from an in-house Medical Oncologist, these interventions were presented along the pathway of care along with standard interventions.</w:t>
      </w:r>
    </w:p>
    <w:p w:rsidR="00402750" w:rsidRDefault="00402750" w:rsidP="00C54A8A">
      <w:pPr>
        <w:jc w:val="both"/>
      </w:pPr>
      <w:r>
        <w:t>Information about each prioritised intervention was limited to Cochrane Reviews.  Where no Cochrane Reviews existed, HTAs and/or systematic reviews were used.  Cost data for interventions and patient cohorts were gathered from a variety of sources including the Auckland DHB non-resident price list</w:t>
      </w:r>
      <w:r>
        <w:fldChar w:fldCharType="begin"/>
      </w:r>
      <w:r w:rsidR="00551E6B">
        <w:instrText xml:space="preserve"> ADDIN EN.CITE &lt;EndNote&gt;&lt;Cite&gt;&lt;Author&gt;Auckland DHB&lt;/Author&gt;&lt;Year&gt;2010&lt;/Year&gt;&lt;RecNum&gt;783&lt;/RecNum&gt;&lt;DisplayText&gt;&lt;style face="superscript"&gt;(12)&lt;/style&gt;&lt;/DisplayText&gt;&lt;record&gt;&lt;rec-number&gt;783&lt;/rec-number&gt;&lt;foreign-keys&gt;&lt;key app="EN" db-id="paxef0v91tx5e7eaev8xxf2xd92zvrfrv592"&gt;783&lt;/key&gt;&lt;/foreign-keys&gt;&lt;ref-type name="Government Document"&gt;46&lt;/ref-type&gt;&lt;contributors&gt;&lt;authors&gt;&lt;author&gt;Auckland DHB,&lt;/author&gt;&lt;/authors&gt;&lt;/contributors&gt;&lt;titles&gt;&lt;title&gt;AUCKLAND DISTRICT HEALTH BOARD - ADULT HEALTH SERVICES CHARGES FOR PATIENTS NOT ELIGIBLE FOR PUBLICLY FUNDED HEALTH SERVICES EFFECTIVE: 12 OCTOBER 2010&lt;/title&gt;&lt;/titles&gt;&lt;dates&gt;&lt;year&gt;2010&lt;/year&gt;&lt;/dates&gt;&lt;urls&gt;&lt;/urls&gt;&lt;/record&gt;&lt;/Cite&gt;&lt;/EndNote&gt;</w:instrText>
      </w:r>
      <w:r>
        <w:fldChar w:fldCharType="separate"/>
      </w:r>
      <w:r w:rsidR="00551E6B" w:rsidRPr="00551E6B">
        <w:rPr>
          <w:noProof/>
          <w:vertAlign w:val="superscript"/>
        </w:rPr>
        <w:t>(</w:t>
      </w:r>
      <w:hyperlink w:anchor="_ENREF_12" w:tooltip="Auckland DHB, 2010 #783" w:history="1">
        <w:r w:rsidR="0029347A" w:rsidRPr="00551E6B">
          <w:rPr>
            <w:noProof/>
            <w:vertAlign w:val="superscript"/>
          </w:rPr>
          <w:t>12</w:t>
        </w:r>
      </w:hyperlink>
      <w:r w:rsidR="00551E6B" w:rsidRPr="00551E6B">
        <w:rPr>
          <w:noProof/>
          <w:vertAlign w:val="superscript"/>
        </w:rPr>
        <w:t>)</w:t>
      </w:r>
      <w:r>
        <w:fldChar w:fldCharType="end"/>
      </w:r>
      <w:r>
        <w:t xml:space="preserve"> and the </w:t>
      </w:r>
      <w:r w:rsidR="00E86EB4">
        <w:t xml:space="preserve">New Zealand </w:t>
      </w:r>
      <w:r w:rsidRPr="007F2A09">
        <w:rPr>
          <w:rFonts w:cs="Arial"/>
          <w:i/>
          <w:noProof/>
          <w:color w:val="000000"/>
        </w:rPr>
        <w:t>Burden of Disease Epidemiology, Equity and Cost-Effectiveness Programme (</w:t>
      </w:r>
      <w:r w:rsidR="00E86EB4">
        <w:rPr>
          <w:rFonts w:cs="Arial"/>
          <w:i/>
          <w:noProof/>
          <w:color w:val="000000"/>
        </w:rPr>
        <w:t>BODE</w:t>
      </w:r>
      <w:r w:rsidR="00E86EB4" w:rsidRPr="00F74054">
        <w:rPr>
          <w:rFonts w:cs="Arial"/>
          <w:i/>
          <w:noProof/>
          <w:color w:val="000000"/>
          <w:vertAlign w:val="superscript"/>
        </w:rPr>
        <w:t>3</w:t>
      </w:r>
      <w:r w:rsidRPr="007F2A09">
        <w:rPr>
          <w:rFonts w:cs="Arial"/>
          <w:i/>
          <w:noProof/>
          <w:color w:val="000000"/>
        </w:rPr>
        <w:t>)</w:t>
      </w:r>
      <w:r>
        <w:t xml:space="preserve"> </w:t>
      </w:r>
      <w:r w:rsidR="00E86EB4">
        <w:t xml:space="preserve">costing </w:t>
      </w:r>
      <w:r>
        <w:t>protocol</w:t>
      </w:r>
      <w:r>
        <w:fldChar w:fldCharType="begin"/>
      </w:r>
      <w:r w:rsidR="00551E6B">
        <w:instrText xml:space="preserve"> ADDIN EN.CITE &lt;EndNote&gt;&lt;Cite&gt;&lt;Author&gt;Foster&lt;/Author&gt;&lt;Year&gt;2013&lt;/Year&gt;&lt;RecNum&gt;742&lt;/RecNum&gt;&lt;DisplayText&gt;&lt;style face="superscript"&gt;(13)&lt;/style&gt;&lt;/DisplayText&gt;&lt;record&gt;&lt;rec-number&gt;742&lt;/rec-number&gt;&lt;foreign-keys&gt;&lt;key app="EN" db-id="22d09ravozpff5ea9zs509ewttsdavsvwr25"&gt;742&lt;/key&gt;&lt;/foreign-keys&gt;&lt;ref-type name="Report"&gt;27&lt;/ref-type&gt;&lt;contributors&gt;&lt;authors&gt;&lt;author&gt;Foster, R.&lt;/author&gt;&lt;author&gt;Blakely, T.&lt;/author&gt;&lt;author&gt;Wilson, N.&lt;/author&gt;&lt;author&gt;O&amp;apos;Dea, D.&lt;/author&gt;&lt;/authors&gt;&lt;/contributors&gt;&lt;titles&gt;&lt;title&gt;Protocol for Direct Costing of Health Sector Interventions for Economic Modelling (Including Event Pathways): Burden of Disease Epidemiology, Equity and Cost-Effectiveness Programme (BODE3)&lt;/title&gt;&lt;secondary-title&gt;Public Health Monograph Series&lt;/secondary-title&gt;&lt;/titles&gt;&lt;num-vols&gt;27&lt;/num-vols&gt;&lt;dates&gt;&lt;year&gt;2013&lt;/year&gt;&lt;/dates&gt;&lt;pub-location&gt;Wellington&lt;/pub-location&gt;&lt;publisher&gt;Department of Public Health, University of Otago&lt;/publisher&gt;&lt;isbn&gt;12&lt;/isbn&gt;&lt;urls&gt;&lt;/urls&gt;&lt;/record&gt;&lt;/Cite&gt;&lt;/EndNote&gt;</w:instrText>
      </w:r>
      <w:r>
        <w:fldChar w:fldCharType="separate"/>
      </w:r>
      <w:r w:rsidR="00551E6B" w:rsidRPr="00551E6B">
        <w:rPr>
          <w:noProof/>
          <w:vertAlign w:val="superscript"/>
        </w:rPr>
        <w:t>(</w:t>
      </w:r>
      <w:hyperlink w:anchor="_ENREF_13" w:tooltip="Foster, 2013 #742" w:history="1">
        <w:r w:rsidR="0029347A" w:rsidRPr="00551E6B">
          <w:rPr>
            <w:noProof/>
            <w:vertAlign w:val="superscript"/>
          </w:rPr>
          <w:t>13</w:t>
        </w:r>
      </w:hyperlink>
      <w:r w:rsidR="00551E6B" w:rsidRPr="00551E6B">
        <w:rPr>
          <w:noProof/>
          <w:vertAlign w:val="superscript"/>
        </w:rPr>
        <w:t>)</w:t>
      </w:r>
      <w:r>
        <w:fldChar w:fldCharType="end"/>
      </w:r>
      <w:r>
        <w:t>.</w:t>
      </w:r>
    </w:p>
    <w:p w:rsidR="00402750" w:rsidRPr="006D219E" w:rsidRDefault="00402750" w:rsidP="00C54A8A">
      <w:pPr>
        <w:jc w:val="both"/>
      </w:pPr>
      <w:r>
        <w:t xml:space="preserve">For general DHB service provision data, results from the </w:t>
      </w:r>
      <w:r w:rsidRPr="00375DB4">
        <w:rPr>
          <w:i/>
        </w:rPr>
        <w:t>Alleviating the Burden of Chronic Conditions</w:t>
      </w:r>
      <w:r>
        <w:rPr>
          <w:i/>
        </w:rPr>
        <w:fldChar w:fldCharType="begin"/>
      </w:r>
      <w:r w:rsidR="00CA3202">
        <w:rPr>
          <w:i/>
        </w:rPr>
        <w:instrText xml:space="preserve"> ADDIN EN.CITE &lt;EndNote&gt;&lt;Cite&gt;&lt;Author&gt;Connolly&lt;/Author&gt;&lt;Year&gt;2011&lt;/Year&gt;&lt;RecNum&gt;741&lt;/RecNum&gt;&lt;DisplayText&gt;&lt;style face="superscript"&gt;(14)&lt;/style&gt;&lt;/DisplayText&gt;&lt;record&gt;&lt;rec-number&gt;741&lt;/rec-number&gt;&lt;foreign-keys&gt;&lt;key app="EN" db-id="paxef0v91tx5e7eaev8xxf2xd92zvrfrv592"&gt;741&lt;/key&gt;&lt;/foreign-keys&gt;&lt;ref-type name="Journal Article"&gt;17&lt;/ref-type&gt;&lt;contributors&gt;&lt;authors&gt;&lt;author&gt;Connolly, Martin J&lt;/author&gt;&lt;author&gt;Kenealy, Timothy&lt;/author&gt;&lt;author&gt;Barber, P Alan&lt;/author&gt;&lt;author&gt;Carswell, Peter&lt;/author&gt;&lt;author&gt;Clinton, Janet&lt;/author&gt;&lt;author&gt;Dyall, Lorna&lt;/author&gt;&lt;author&gt;Devlin, Gerard&lt;/author&gt;&lt;author&gt;Doughty, Robert N&lt;/author&gt;&lt;author&gt;Kerse, Ngaire&lt;/author&gt;&lt;author&gt;Kolbe, John&lt;/author&gt;&lt;/authors&gt;&lt;/contributors&gt;&lt;titles&gt;&lt;title&gt;National variability in provision of health services for major long-term conditions in New Zealand (a report from the ABCC NZ study)&lt;/title&gt;&lt;secondary-title&gt;Journal of the New Zealand Medical Association&lt;/secondary-title&gt;&lt;/titles&gt;&lt;periodical&gt;&lt;full-title&gt;Journal of the New Zealand Medical Association&lt;/full-title&gt;&lt;/periodical&gt;&lt;volume&gt;124&lt;/volume&gt;&lt;number&gt;1344&lt;/number&gt;&lt;dates&gt;&lt;year&gt;2011&lt;/year&gt;&lt;/dates&gt;&lt;urls&gt;&lt;/urls&gt;&lt;/record&gt;&lt;/Cite&gt;&lt;/EndNote&gt;</w:instrText>
      </w:r>
      <w:r>
        <w:rPr>
          <w:i/>
        </w:rPr>
        <w:fldChar w:fldCharType="separate"/>
      </w:r>
      <w:r w:rsidR="00551E6B" w:rsidRPr="00551E6B">
        <w:rPr>
          <w:i/>
          <w:noProof/>
          <w:vertAlign w:val="superscript"/>
        </w:rPr>
        <w:t>(</w:t>
      </w:r>
      <w:hyperlink w:anchor="_ENREF_14" w:tooltip="Connolly, 2011 #741" w:history="1">
        <w:r w:rsidR="0029347A" w:rsidRPr="00551E6B">
          <w:rPr>
            <w:i/>
            <w:noProof/>
            <w:vertAlign w:val="superscript"/>
          </w:rPr>
          <w:t>14</w:t>
        </w:r>
      </w:hyperlink>
      <w:r w:rsidR="00551E6B" w:rsidRPr="00551E6B">
        <w:rPr>
          <w:i/>
          <w:noProof/>
          <w:vertAlign w:val="superscript"/>
        </w:rPr>
        <w:t>)</w:t>
      </w:r>
      <w:r>
        <w:rPr>
          <w:i/>
        </w:rPr>
        <w:fldChar w:fldCharType="end"/>
      </w:r>
      <w:r>
        <w:rPr>
          <w:i/>
        </w:rPr>
        <w:t xml:space="preserve"> </w:t>
      </w:r>
      <w:r>
        <w:t xml:space="preserve"> (ABCC) study were cited.  Where DHB-specific data was sought, each DHB’s website was searched using the terms ‘Chronic Obstructive Pulmonary Disease’ and ‘COPD’ between June and July 2013 for respiratory or COPD service plans.  Where no information was found on a DHB website, DHBs were contacted directly.</w:t>
      </w:r>
    </w:p>
    <w:p w:rsidR="00402750" w:rsidRPr="003D17D6" w:rsidRDefault="00402750" w:rsidP="00C54A8A">
      <w:pPr>
        <w:pStyle w:val="Head2nonumber"/>
        <w:jc w:val="both"/>
      </w:pPr>
      <w:bookmarkStart w:id="177" w:name="_Toc370401400"/>
      <w:bookmarkStart w:id="178" w:name="_Toc370477242"/>
      <w:bookmarkStart w:id="179" w:name="_Toc371949681"/>
      <w:bookmarkStart w:id="180" w:name="_Toc382225533"/>
      <w:bookmarkStart w:id="181" w:name="_Toc382475515"/>
      <w:bookmarkStart w:id="182" w:name="_Toc382554902"/>
      <w:bookmarkStart w:id="183" w:name="_Toc382574756"/>
      <w:r w:rsidRPr="003D17D6">
        <w:t>Prevalence</w:t>
      </w:r>
      <w:bookmarkEnd w:id="177"/>
      <w:bookmarkEnd w:id="178"/>
      <w:bookmarkEnd w:id="179"/>
      <w:bookmarkEnd w:id="180"/>
      <w:bookmarkEnd w:id="181"/>
      <w:bookmarkEnd w:id="182"/>
      <w:bookmarkEnd w:id="183"/>
    </w:p>
    <w:p w:rsidR="00402750" w:rsidRDefault="00402750" w:rsidP="00C54A8A">
      <w:pPr>
        <w:jc w:val="both"/>
      </w:pPr>
      <w:r w:rsidRPr="00FE7190">
        <w:t>The New Zealand Health Tracker (NZHT) is a health census of resident New Zealanders created through the linkage of data in the Ministry of Health’s national collections and other data sources. It was established and is maintained by the Ministry of Health’s Health and Disability Intelligence (HDI) unit</w:t>
      </w:r>
      <w:r>
        <w:t xml:space="preserve"> and is currently up-to-date to 2010/11</w:t>
      </w:r>
      <w:r w:rsidRPr="00FE7190">
        <w:t xml:space="preserve">. </w:t>
      </w:r>
      <w:r>
        <w:t>While COPD prevalence data from the NZHT has not previously been published they were used here in preference to the previously published New Zealand Health Survey results</w:t>
      </w:r>
      <w:r>
        <w:fldChar w:fldCharType="begin"/>
      </w:r>
      <w:r w:rsidR="00551E6B">
        <w:instrText xml:space="preserve"> ADDIN EN.CITE &lt;EndNote&gt;&lt;Cite&gt;&lt;Author&gt;Ministry of Health&lt;/Author&gt;&lt;Year&gt;2008&lt;/Year&gt;&lt;RecNum&gt;744&lt;/RecNum&gt;&lt;DisplayText&gt;&lt;style face="superscript"&gt;(5)&lt;/style&gt;&lt;/DisplayText&gt;&lt;record&gt;&lt;rec-number&gt;744&lt;/rec-number&gt;&lt;foreign-keys&gt;&lt;key app="EN" db-id="22d09ravozpff5ea9zs509ewttsdavsvwr25"&gt;744&lt;/key&gt;&lt;/foreign-keys&gt;&lt;ref-type name="Book"&gt;6&lt;/ref-type&gt;&lt;contributors&gt;&lt;authors&gt;&lt;author&gt;Ministry of Health,&lt;/author&gt;&lt;/authors&gt;&lt;/contributors&gt;&lt;titles&gt;&lt;title&gt;A Portrait of Health: Key Results of the 2006/07 New Zealand Health Survey&lt;/title&gt;&lt;/titles&gt;&lt;dates&gt;&lt;year&gt;2008&lt;/year&gt;&lt;/dates&gt;&lt;pub-location&gt;Wellington&lt;/pub-location&gt;&lt;publisher&gt;Ministry of Health&lt;/publisher&gt;&lt;urls&gt;&lt;related-urls&gt;&lt;url&gt;http://www.health.govt.nz/publication/portrait-health-key-results-2006-07-new-zealand-health-survey&lt;/url&gt;&lt;/related-urls&gt;&lt;/urls&gt;&lt;/record&gt;&lt;/Cite&gt;&lt;/EndNote&gt;</w:instrText>
      </w:r>
      <w:r>
        <w:fldChar w:fldCharType="separate"/>
      </w:r>
      <w:r w:rsidR="00551E6B" w:rsidRPr="00551E6B">
        <w:rPr>
          <w:noProof/>
          <w:vertAlign w:val="superscript"/>
        </w:rPr>
        <w:t>(</w:t>
      </w:r>
      <w:hyperlink w:anchor="_ENREF_5" w:tooltip="Ministry of Health, 2008 #744" w:history="1">
        <w:r w:rsidR="0029347A" w:rsidRPr="00551E6B">
          <w:rPr>
            <w:noProof/>
            <w:vertAlign w:val="superscript"/>
          </w:rPr>
          <w:t>5</w:t>
        </w:r>
      </w:hyperlink>
      <w:r w:rsidR="00551E6B" w:rsidRPr="00551E6B">
        <w:rPr>
          <w:noProof/>
          <w:vertAlign w:val="superscript"/>
        </w:rPr>
        <w:t>)</w:t>
      </w:r>
      <w:r>
        <w:fldChar w:fldCharType="end"/>
      </w:r>
      <w:r>
        <w:t>, as they are more up-to-date and more comprehensive than the survey results which rely on self-reporting and weighting of  population samples to represent the whole. The NZHT is also very useful as it allows patients’ service use and, hence, costs to be analysed.</w:t>
      </w:r>
    </w:p>
    <w:p w:rsidR="00402750" w:rsidRDefault="00402750" w:rsidP="00C54A8A">
      <w:pPr>
        <w:jc w:val="both"/>
      </w:pPr>
      <w:r w:rsidRPr="00FE7190">
        <w:t>To be included as a prevalent case, a perso</w:t>
      </w:r>
      <w:r>
        <w:t>n had to be alive on 30 June 2010</w:t>
      </w:r>
      <w:r w:rsidRPr="00FE7190">
        <w:t xml:space="preserve"> and must have been enrolled in a primary health organisation (PHO) at that time, or had a contact event in a PHO in </w:t>
      </w:r>
      <w:r>
        <w:t xml:space="preserve">2010/11 </w:t>
      </w:r>
      <w:r w:rsidRPr="00FE7190">
        <w:t xml:space="preserve">or a recorded event in the NMDS. This method excludes most people who have emigrated.  A case had to meet the relevant diagnostic criteria outlined </w:t>
      </w:r>
      <w:r>
        <w:t>below</w:t>
      </w:r>
      <w:r w:rsidRPr="00FE7190">
        <w:t xml:space="preserve">. </w:t>
      </w:r>
    </w:p>
    <w:p w:rsidR="00402750" w:rsidRDefault="00402750" w:rsidP="00C54A8A">
      <w:pPr>
        <w:jc w:val="both"/>
        <w:rPr>
          <w:lang w:val="en-GB" w:eastAsia="en-GB"/>
        </w:rPr>
      </w:pPr>
      <w:r w:rsidRPr="006D72C8">
        <w:t>For this analysis</w:t>
      </w:r>
      <w:r>
        <w:rPr>
          <w:i/>
        </w:rPr>
        <w:t xml:space="preserve"> </w:t>
      </w:r>
      <w:r w:rsidRPr="00040044">
        <w:t>COPD</w:t>
      </w:r>
      <w:r>
        <w:t xml:space="preserve"> is defined as any person aged 35 years or older who has any history (from 2001 to 2011) of being prescribed </w:t>
      </w:r>
      <w:r w:rsidR="00931F1C">
        <w:t xml:space="preserve">ipratropium bromide, salbutamol with ipratropium bromide or tiotropium bromide (see </w:t>
      </w:r>
      <w:r w:rsidR="00931F1C">
        <w:fldChar w:fldCharType="begin"/>
      </w:r>
      <w:r w:rsidR="00931F1C">
        <w:instrText xml:space="preserve"> REF _Ref365533501 \h </w:instrText>
      </w:r>
      <w:r w:rsidR="00C54A8A">
        <w:instrText xml:space="preserve"> \* MERGEFORMAT </w:instrText>
      </w:r>
      <w:r w:rsidR="00931F1C">
        <w:fldChar w:fldCharType="separate"/>
      </w:r>
      <w:r w:rsidR="000B70CE">
        <w:t xml:space="preserve">Table </w:t>
      </w:r>
      <w:r w:rsidR="000B70CE">
        <w:rPr>
          <w:noProof/>
        </w:rPr>
        <w:t>5</w:t>
      </w:r>
      <w:r w:rsidR="00931F1C">
        <w:fldChar w:fldCharType="end"/>
      </w:r>
      <w:r w:rsidR="00931F1C">
        <w:t>); or any history of being prescribed theophylline or aminophylline and has no prior (since 1988) admission diagnosis of asthma</w:t>
      </w:r>
      <w:r w:rsidR="00D10B5D">
        <w:t xml:space="preserve">; </w:t>
      </w:r>
      <w:r>
        <w:rPr>
          <w:lang w:val="en-GB" w:eastAsia="en-GB"/>
        </w:rPr>
        <w:t>or has a history of any</w:t>
      </w:r>
      <w:r w:rsidR="00F74054">
        <w:rPr>
          <w:lang w:val="en-GB" w:eastAsia="en-GB"/>
        </w:rPr>
        <w:t xml:space="preserve"> </w:t>
      </w:r>
      <w:r>
        <w:rPr>
          <w:lang w:val="en-GB" w:eastAsia="en-GB"/>
        </w:rPr>
        <w:t xml:space="preserve">admission with any diagnosis of COPD. </w:t>
      </w:r>
      <w:r w:rsidRPr="004062C7">
        <w:t xml:space="preserve">Each </w:t>
      </w:r>
      <w:r>
        <w:t>admission</w:t>
      </w:r>
      <w:r w:rsidRPr="004062C7">
        <w:t xml:space="preserve"> has one or more diagnosis codes associated with it.  These codes are </w:t>
      </w:r>
      <w:r>
        <w:t xml:space="preserve">currently </w:t>
      </w:r>
      <w:r w:rsidRPr="004062C7">
        <w:t xml:space="preserve">based on the Australian Modification of the World Health Organization’s International Classification of Diseases (ICD-10-AM).  </w:t>
      </w:r>
      <w:r>
        <w:rPr>
          <w:lang w:val="en-GB" w:eastAsia="en-GB"/>
        </w:rPr>
        <w:t xml:space="preserve">For the purposes of this analysis, the ICD (9-CM-A, ninth revision) codes used for </w:t>
      </w:r>
      <w:r w:rsidR="00D10B5D">
        <w:rPr>
          <w:lang w:val="en-GB" w:eastAsia="en-GB"/>
        </w:rPr>
        <w:t xml:space="preserve">COPD </w:t>
      </w:r>
      <w:r>
        <w:rPr>
          <w:lang w:val="en-GB" w:eastAsia="en-GB"/>
        </w:rPr>
        <w:t xml:space="preserve">admission records from 1988 to 1999 are: </w:t>
      </w:r>
    </w:p>
    <w:p w:rsidR="00402750" w:rsidRDefault="00402750" w:rsidP="00C54A8A">
      <w:pPr>
        <w:pStyle w:val="Bullet"/>
        <w:numPr>
          <w:ilvl w:val="0"/>
          <w:numId w:val="7"/>
        </w:numPr>
        <w:jc w:val="both"/>
        <w:rPr>
          <w:shd w:val="clear" w:color="auto" w:fill="FFFFFF"/>
        </w:rPr>
      </w:pPr>
      <w:r>
        <w:rPr>
          <w:shd w:val="clear" w:color="auto" w:fill="FFFFFF"/>
        </w:rPr>
        <w:t>490 (Bronchitis, not specified as acute or chronic)</w:t>
      </w:r>
    </w:p>
    <w:p w:rsidR="00402750" w:rsidRDefault="00402750" w:rsidP="00C54A8A">
      <w:pPr>
        <w:pStyle w:val="Bullet"/>
        <w:numPr>
          <w:ilvl w:val="0"/>
          <w:numId w:val="7"/>
        </w:numPr>
        <w:jc w:val="both"/>
        <w:rPr>
          <w:shd w:val="clear" w:color="auto" w:fill="FFFFFF"/>
        </w:rPr>
      </w:pPr>
      <w:r>
        <w:rPr>
          <w:shd w:val="clear" w:color="auto" w:fill="FFFFFF"/>
        </w:rPr>
        <w:t>4910 (Simple chronic bronchitis)</w:t>
      </w:r>
    </w:p>
    <w:p w:rsidR="00402750" w:rsidRDefault="00402750" w:rsidP="00C54A8A">
      <w:pPr>
        <w:pStyle w:val="Bullet"/>
        <w:numPr>
          <w:ilvl w:val="0"/>
          <w:numId w:val="7"/>
        </w:numPr>
        <w:jc w:val="both"/>
        <w:rPr>
          <w:shd w:val="clear" w:color="auto" w:fill="FFFFFF"/>
        </w:rPr>
      </w:pPr>
      <w:r>
        <w:rPr>
          <w:shd w:val="clear" w:color="auto" w:fill="FFFFFF"/>
        </w:rPr>
        <w:t>4911 (Mucopurulent chronic bronchitis)</w:t>
      </w:r>
    </w:p>
    <w:p w:rsidR="00402750" w:rsidRDefault="00402750" w:rsidP="00C54A8A">
      <w:pPr>
        <w:pStyle w:val="Bullet"/>
        <w:numPr>
          <w:ilvl w:val="0"/>
          <w:numId w:val="7"/>
        </w:numPr>
        <w:jc w:val="both"/>
        <w:rPr>
          <w:shd w:val="clear" w:color="auto" w:fill="FFFFFF"/>
        </w:rPr>
      </w:pPr>
      <w:r>
        <w:rPr>
          <w:shd w:val="clear" w:color="auto" w:fill="FFFFFF"/>
        </w:rPr>
        <w:t>49120 (Obstructive chronic bronchitis without mention of acute exacerbation)</w:t>
      </w:r>
    </w:p>
    <w:p w:rsidR="00402750" w:rsidRDefault="00402750" w:rsidP="00C54A8A">
      <w:pPr>
        <w:pStyle w:val="Bullet"/>
        <w:numPr>
          <w:ilvl w:val="0"/>
          <w:numId w:val="7"/>
        </w:numPr>
        <w:jc w:val="both"/>
        <w:rPr>
          <w:shd w:val="clear" w:color="auto" w:fill="FFFFFF"/>
        </w:rPr>
      </w:pPr>
      <w:r>
        <w:rPr>
          <w:shd w:val="clear" w:color="auto" w:fill="FFFFFF"/>
        </w:rPr>
        <w:t>49121 (Obstructive chronic bronchitis with acute exacerbation)</w:t>
      </w:r>
    </w:p>
    <w:p w:rsidR="00402750" w:rsidRDefault="00402750" w:rsidP="00C54A8A">
      <w:pPr>
        <w:pStyle w:val="Bullet"/>
        <w:numPr>
          <w:ilvl w:val="0"/>
          <w:numId w:val="7"/>
        </w:numPr>
        <w:jc w:val="both"/>
        <w:rPr>
          <w:shd w:val="clear" w:color="auto" w:fill="FFFFFF"/>
        </w:rPr>
      </w:pPr>
      <w:r>
        <w:rPr>
          <w:shd w:val="clear" w:color="auto" w:fill="FFFFFF"/>
        </w:rPr>
        <w:t>4918 (Other chronic bronchitis)</w:t>
      </w:r>
    </w:p>
    <w:p w:rsidR="00402750" w:rsidRDefault="00402750" w:rsidP="00C54A8A">
      <w:pPr>
        <w:pStyle w:val="Bullet"/>
        <w:numPr>
          <w:ilvl w:val="0"/>
          <w:numId w:val="7"/>
        </w:numPr>
        <w:jc w:val="both"/>
        <w:rPr>
          <w:shd w:val="clear" w:color="auto" w:fill="FFFFFF"/>
        </w:rPr>
      </w:pPr>
      <w:r>
        <w:rPr>
          <w:shd w:val="clear" w:color="auto" w:fill="FFFFFF"/>
        </w:rPr>
        <w:t>4919 (Unspecified chronic bronchitis)</w:t>
      </w:r>
    </w:p>
    <w:p w:rsidR="00402750" w:rsidRDefault="00402750" w:rsidP="00C54A8A">
      <w:pPr>
        <w:pStyle w:val="Bullet"/>
        <w:numPr>
          <w:ilvl w:val="0"/>
          <w:numId w:val="7"/>
        </w:numPr>
        <w:jc w:val="both"/>
        <w:rPr>
          <w:shd w:val="clear" w:color="auto" w:fill="FFFFFF"/>
        </w:rPr>
      </w:pPr>
      <w:r>
        <w:rPr>
          <w:shd w:val="clear" w:color="auto" w:fill="FFFFFF"/>
        </w:rPr>
        <w:t>4920 (Emphysematous bleb)</w:t>
      </w:r>
    </w:p>
    <w:p w:rsidR="00402750" w:rsidRDefault="00402750" w:rsidP="00C54A8A">
      <w:pPr>
        <w:pStyle w:val="Bullet"/>
        <w:numPr>
          <w:ilvl w:val="0"/>
          <w:numId w:val="7"/>
        </w:numPr>
        <w:jc w:val="both"/>
        <w:rPr>
          <w:shd w:val="clear" w:color="auto" w:fill="FFFFFF"/>
        </w:rPr>
      </w:pPr>
      <w:r>
        <w:rPr>
          <w:shd w:val="clear" w:color="auto" w:fill="FFFFFF"/>
        </w:rPr>
        <w:t>4928 (Other emphysema)</w:t>
      </w:r>
    </w:p>
    <w:p w:rsidR="00402750" w:rsidRPr="00B63F0F" w:rsidRDefault="00402750" w:rsidP="00C54A8A">
      <w:pPr>
        <w:pStyle w:val="Bullet"/>
        <w:numPr>
          <w:ilvl w:val="0"/>
          <w:numId w:val="7"/>
        </w:numPr>
        <w:jc w:val="both"/>
      </w:pPr>
      <w:r>
        <w:rPr>
          <w:shd w:val="clear" w:color="auto" w:fill="FFFFFF"/>
        </w:rPr>
        <w:t>496 (Chronic airway obstruction, not elsewhere classified)</w:t>
      </w:r>
    </w:p>
    <w:p w:rsidR="00402750" w:rsidRDefault="00402750" w:rsidP="00C54A8A">
      <w:pPr>
        <w:pStyle w:val="Bullet"/>
        <w:numPr>
          <w:ilvl w:val="0"/>
          <w:numId w:val="0"/>
        </w:numPr>
        <w:jc w:val="both"/>
        <w:rPr>
          <w:shd w:val="clear" w:color="auto" w:fill="FFFFFF"/>
        </w:rPr>
      </w:pPr>
      <w:r>
        <w:rPr>
          <w:shd w:val="clear" w:color="auto" w:fill="FFFFFF"/>
        </w:rPr>
        <w:t>The ICD-10-AM codes used for admission records from 1999 to 2011 are:</w:t>
      </w:r>
    </w:p>
    <w:p w:rsidR="00402750" w:rsidRDefault="00402750" w:rsidP="00C54A8A">
      <w:pPr>
        <w:pStyle w:val="Bullet"/>
        <w:numPr>
          <w:ilvl w:val="0"/>
          <w:numId w:val="7"/>
        </w:numPr>
        <w:jc w:val="both"/>
        <w:rPr>
          <w:shd w:val="clear" w:color="auto" w:fill="FFFFFF"/>
        </w:rPr>
      </w:pPr>
      <w:r>
        <w:rPr>
          <w:shd w:val="clear" w:color="auto" w:fill="FFFFFF"/>
        </w:rPr>
        <w:t>J40 (Bronchitis, not specified as acute or chronic)</w:t>
      </w:r>
    </w:p>
    <w:p w:rsidR="00402750" w:rsidRDefault="00402750" w:rsidP="00C54A8A">
      <w:pPr>
        <w:pStyle w:val="Bullet"/>
        <w:numPr>
          <w:ilvl w:val="0"/>
          <w:numId w:val="7"/>
        </w:numPr>
        <w:jc w:val="both"/>
        <w:rPr>
          <w:shd w:val="clear" w:color="auto" w:fill="FFFFFF"/>
        </w:rPr>
      </w:pPr>
      <w:r>
        <w:rPr>
          <w:shd w:val="clear" w:color="auto" w:fill="FFFFFF"/>
        </w:rPr>
        <w:t>J410 (Simple chronic bronchitis)</w:t>
      </w:r>
    </w:p>
    <w:p w:rsidR="00402750" w:rsidRDefault="00402750" w:rsidP="00C54A8A">
      <w:pPr>
        <w:pStyle w:val="Bullet"/>
        <w:numPr>
          <w:ilvl w:val="0"/>
          <w:numId w:val="7"/>
        </w:numPr>
        <w:jc w:val="both"/>
        <w:rPr>
          <w:shd w:val="clear" w:color="auto" w:fill="FFFFFF"/>
        </w:rPr>
      </w:pPr>
      <w:r>
        <w:rPr>
          <w:shd w:val="clear" w:color="auto" w:fill="FFFFFF"/>
        </w:rPr>
        <w:t>J411 (Mucopurulent chronic bronchitis)</w:t>
      </w:r>
    </w:p>
    <w:p w:rsidR="00402750" w:rsidRDefault="00402750" w:rsidP="00C54A8A">
      <w:pPr>
        <w:pStyle w:val="Bullet"/>
        <w:numPr>
          <w:ilvl w:val="0"/>
          <w:numId w:val="7"/>
        </w:numPr>
        <w:jc w:val="both"/>
        <w:rPr>
          <w:shd w:val="clear" w:color="auto" w:fill="FFFFFF"/>
        </w:rPr>
      </w:pPr>
      <w:r>
        <w:rPr>
          <w:shd w:val="clear" w:color="auto" w:fill="FFFFFF"/>
        </w:rPr>
        <w:t>J418 (Mixed simple and mucopurulent chronic bronchitis)</w:t>
      </w:r>
    </w:p>
    <w:p w:rsidR="00402750" w:rsidRDefault="00402750" w:rsidP="00C54A8A">
      <w:pPr>
        <w:pStyle w:val="Bullet"/>
        <w:numPr>
          <w:ilvl w:val="0"/>
          <w:numId w:val="7"/>
        </w:numPr>
        <w:jc w:val="both"/>
        <w:rPr>
          <w:shd w:val="clear" w:color="auto" w:fill="FFFFFF"/>
        </w:rPr>
      </w:pPr>
      <w:r>
        <w:rPr>
          <w:shd w:val="clear" w:color="auto" w:fill="FFFFFF"/>
        </w:rPr>
        <w:t>J42 (Unspecified chronic bronchitis)</w:t>
      </w:r>
    </w:p>
    <w:p w:rsidR="00402750" w:rsidRDefault="00402750" w:rsidP="00C54A8A">
      <w:pPr>
        <w:pStyle w:val="Bullet"/>
        <w:numPr>
          <w:ilvl w:val="0"/>
          <w:numId w:val="7"/>
        </w:numPr>
        <w:jc w:val="both"/>
        <w:rPr>
          <w:shd w:val="clear" w:color="auto" w:fill="FFFFFF"/>
        </w:rPr>
      </w:pPr>
      <w:r>
        <w:rPr>
          <w:shd w:val="clear" w:color="auto" w:fill="FFFFFF"/>
        </w:rPr>
        <w:t>J430 (MacLeod's syndrome)</w:t>
      </w:r>
    </w:p>
    <w:p w:rsidR="00402750" w:rsidRDefault="00402750" w:rsidP="00C54A8A">
      <w:pPr>
        <w:pStyle w:val="Bullet"/>
        <w:numPr>
          <w:ilvl w:val="0"/>
          <w:numId w:val="7"/>
        </w:numPr>
        <w:jc w:val="both"/>
        <w:rPr>
          <w:shd w:val="clear" w:color="auto" w:fill="FFFFFF"/>
        </w:rPr>
      </w:pPr>
      <w:r>
        <w:rPr>
          <w:shd w:val="clear" w:color="auto" w:fill="FFFFFF"/>
        </w:rPr>
        <w:t>J431 (Panlobular emphysema)</w:t>
      </w:r>
    </w:p>
    <w:p w:rsidR="00402750" w:rsidRDefault="00402750" w:rsidP="00C54A8A">
      <w:pPr>
        <w:pStyle w:val="Bullet"/>
        <w:numPr>
          <w:ilvl w:val="0"/>
          <w:numId w:val="7"/>
        </w:numPr>
        <w:jc w:val="both"/>
        <w:rPr>
          <w:shd w:val="clear" w:color="auto" w:fill="FFFFFF"/>
        </w:rPr>
      </w:pPr>
      <w:r>
        <w:rPr>
          <w:shd w:val="clear" w:color="auto" w:fill="FFFFFF"/>
        </w:rPr>
        <w:t>J432 (Centrilobular emphysema)</w:t>
      </w:r>
    </w:p>
    <w:p w:rsidR="00402750" w:rsidRDefault="00402750" w:rsidP="00C54A8A">
      <w:pPr>
        <w:pStyle w:val="Bullet"/>
        <w:numPr>
          <w:ilvl w:val="0"/>
          <w:numId w:val="7"/>
        </w:numPr>
        <w:jc w:val="both"/>
        <w:rPr>
          <w:shd w:val="clear" w:color="auto" w:fill="FFFFFF"/>
        </w:rPr>
      </w:pPr>
      <w:r>
        <w:rPr>
          <w:shd w:val="clear" w:color="auto" w:fill="FFFFFF"/>
        </w:rPr>
        <w:t>J438 (Other emphysema)</w:t>
      </w:r>
    </w:p>
    <w:p w:rsidR="00402750" w:rsidRDefault="00402750" w:rsidP="00C54A8A">
      <w:pPr>
        <w:pStyle w:val="Bullet"/>
        <w:numPr>
          <w:ilvl w:val="0"/>
          <w:numId w:val="7"/>
        </w:numPr>
        <w:jc w:val="both"/>
        <w:rPr>
          <w:shd w:val="clear" w:color="auto" w:fill="FFFFFF"/>
        </w:rPr>
      </w:pPr>
      <w:r>
        <w:rPr>
          <w:shd w:val="clear" w:color="auto" w:fill="FFFFFF"/>
        </w:rPr>
        <w:t>J439 (Emphysema, unspecified)</w:t>
      </w:r>
    </w:p>
    <w:p w:rsidR="00402750" w:rsidRDefault="00402750" w:rsidP="00C54A8A">
      <w:pPr>
        <w:pStyle w:val="Bullet"/>
        <w:numPr>
          <w:ilvl w:val="0"/>
          <w:numId w:val="7"/>
        </w:numPr>
        <w:jc w:val="both"/>
        <w:rPr>
          <w:shd w:val="clear" w:color="auto" w:fill="FFFFFF"/>
        </w:rPr>
      </w:pPr>
      <w:r>
        <w:rPr>
          <w:shd w:val="clear" w:color="auto" w:fill="FFFFFF"/>
        </w:rPr>
        <w:t>J440 (Chronic obstructive pulmonary disease with acute lower respiratory infection)</w:t>
      </w:r>
    </w:p>
    <w:p w:rsidR="00402750" w:rsidRDefault="00402750" w:rsidP="00C54A8A">
      <w:pPr>
        <w:pStyle w:val="Bullet"/>
        <w:numPr>
          <w:ilvl w:val="0"/>
          <w:numId w:val="7"/>
        </w:numPr>
        <w:jc w:val="both"/>
        <w:rPr>
          <w:shd w:val="clear" w:color="auto" w:fill="FFFFFF"/>
        </w:rPr>
      </w:pPr>
      <w:r>
        <w:rPr>
          <w:shd w:val="clear" w:color="auto" w:fill="FFFFFF"/>
        </w:rPr>
        <w:t>J441 (Chronic obstructive pulmonary disease with acute exacerbation, unspeci</w:t>
      </w:r>
      <w:r w:rsidR="00E86EB4">
        <w:rPr>
          <w:shd w:val="clear" w:color="auto" w:fill="FFFFFF"/>
        </w:rPr>
        <w:t>fi</w:t>
      </w:r>
      <w:r>
        <w:rPr>
          <w:shd w:val="clear" w:color="auto" w:fill="FFFFFF"/>
        </w:rPr>
        <w:t>ed)</w:t>
      </w:r>
    </w:p>
    <w:p w:rsidR="00402750" w:rsidRDefault="00402750" w:rsidP="00C54A8A">
      <w:pPr>
        <w:pStyle w:val="Bullet"/>
        <w:numPr>
          <w:ilvl w:val="0"/>
          <w:numId w:val="7"/>
        </w:numPr>
        <w:jc w:val="both"/>
        <w:rPr>
          <w:shd w:val="clear" w:color="auto" w:fill="FFFFFF"/>
        </w:rPr>
      </w:pPr>
      <w:r>
        <w:rPr>
          <w:shd w:val="clear" w:color="auto" w:fill="FFFFFF"/>
        </w:rPr>
        <w:t>J448 (Other specified chronic obstructive pulmonary disease)</w:t>
      </w:r>
    </w:p>
    <w:p w:rsidR="00402750" w:rsidRDefault="00402750" w:rsidP="00C54A8A">
      <w:pPr>
        <w:pStyle w:val="Bullet"/>
        <w:numPr>
          <w:ilvl w:val="0"/>
          <w:numId w:val="7"/>
        </w:numPr>
        <w:jc w:val="both"/>
        <w:rPr>
          <w:shd w:val="clear" w:color="auto" w:fill="FFFFFF"/>
        </w:rPr>
      </w:pPr>
      <w:r>
        <w:rPr>
          <w:shd w:val="clear" w:color="auto" w:fill="FFFFFF"/>
        </w:rPr>
        <w:t>J449 (Chronic obstructive pulmonary disease, unspecified)</w:t>
      </w:r>
    </w:p>
    <w:p w:rsidR="00402750" w:rsidRDefault="00402750" w:rsidP="00C54A8A">
      <w:pPr>
        <w:pStyle w:val="Caption"/>
        <w:jc w:val="both"/>
      </w:pPr>
      <w:bookmarkStart w:id="184" w:name="_Ref365533501"/>
      <w:r>
        <w:t xml:space="preserve">Table </w:t>
      </w:r>
      <w:r>
        <w:fldChar w:fldCharType="begin"/>
      </w:r>
      <w:r>
        <w:instrText xml:space="preserve"> SEQ Table \* ARABIC </w:instrText>
      </w:r>
      <w:r>
        <w:fldChar w:fldCharType="separate"/>
      </w:r>
      <w:r w:rsidR="000B70CE">
        <w:rPr>
          <w:noProof/>
        </w:rPr>
        <w:t>5</w:t>
      </w:r>
      <w:r>
        <w:rPr>
          <w:noProof/>
        </w:rPr>
        <w:fldChar w:fldCharType="end"/>
      </w:r>
      <w:bookmarkEnd w:id="184"/>
      <w:r>
        <w:t xml:space="preserve">: Pharmaceuticals used in the New Zealand Health Tracker definition of COPD </w:t>
      </w:r>
    </w:p>
    <w:tbl>
      <w:tblPr>
        <w:tblStyle w:val="MediumShading1-Accent3"/>
        <w:tblW w:w="0" w:type="auto"/>
        <w:tblLook w:val="04A0" w:firstRow="1" w:lastRow="0" w:firstColumn="1" w:lastColumn="0" w:noHBand="0" w:noVBand="1"/>
      </w:tblPr>
      <w:tblGrid>
        <w:gridCol w:w="3312"/>
        <w:gridCol w:w="5930"/>
      </w:tblGrid>
      <w:tr w:rsidR="00402750" w:rsidRPr="00835256" w:rsidTr="00931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rsidR="00402750" w:rsidRPr="00835256" w:rsidRDefault="00402750" w:rsidP="00C54A8A">
            <w:pPr>
              <w:spacing w:after="0"/>
              <w:jc w:val="both"/>
              <w:rPr>
                <w:sz w:val="20"/>
                <w:szCs w:val="20"/>
              </w:rPr>
            </w:pPr>
            <w:r w:rsidRPr="00835256">
              <w:rPr>
                <w:sz w:val="20"/>
                <w:szCs w:val="20"/>
              </w:rPr>
              <w:t>Pharmaceutical</w:t>
            </w:r>
          </w:p>
        </w:tc>
        <w:tc>
          <w:tcPr>
            <w:tcW w:w="5930" w:type="dxa"/>
          </w:tcPr>
          <w:p w:rsidR="00402750" w:rsidRPr="00835256" w:rsidRDefault="00402750" w:rsidP="00C54A8A">
            <w:pPr>
              <w:spacing w:after="0"/>
              <w:jc w:val="both"/>
              <w:cnfStyle w:val="100000000000" w:firstRow="1" w:lastRow="0" w:firstColumn="0" w:lastColumn="0" w:oddVBand="0" w:evenVBand="0" w:oddHBand="0" w:evenHBand="0" w:firstRowFirstColumn="0" w:firstRowLastColumn="0" w:lastRowFirstColumn="0" w:lastRowLastColumn="0"/>
              <w:rPr>
                <w:sz w:val="20"/>
                <w:szCs w:val="20"/>
              </w:rPr>
            </w:pPr>
            <w:r w:rsidRPr="00835256">
              <w:rPr>
                <w:sz w:val="20"/>
                <w:szCs w:val="20"/>
              </w:rPr>
              <w:t>Comment</w:t>
            </w:r>
          </w:p>
        </w:tc>
      </w:tr>
      <w:tr w:rsidR="00402750" w:rsidRPr="00835256"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rsidR="00402750" w:rsidRPr="005A1FD7" w:rsidRDefault="00402750" w:rsidP="00C54A8A">
            <w:pPr>
              <w:spacing w:after="0"/>
              <w:jc w:val="both"/>
              <w:rPr>
                <w:sz w:val="16"/>
                <w:szCs w:val="16"/>
              </w:rPr>
            </w:pPr>
            <w:r w:rsidRPr="005A1FD7">
              <w:rPr>
                <w:sz w:val="16"/>
                <w:szCs w:val="16"/>
              </w:rPr>
              <w:t>Ipratropium bromide</w:t>
            </w:r>
          </w:p>
        </w:tc>
        <w:tc>
          <w:tcPr>
            <w:tcW w:w="5930" w:type="dxa"/>
          </w:tcPr>
          <w:p w:rsidR="00402750" w:rsidRPr="005A1FD7"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16"/>
                <w:szCs w:val="16"/>
              </w:rPr>
            </w:pPr>
            <w:r w:rsidRPr="005A1FD7">
              <w:rPr>
                <w:sz w:val="16"/>
                <w:szCs w:val="16"/>
              </w:rPr>
              <w:t>Often used as an inhaler to treat exacerbations.</w:t>
            </w:r>
          </w:p>
        </w:tc>
      </w:tr>
      <w:tr w:rsidR="00402750" w:rsidRPr="00835256" w:rsidTr="00931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rsidR="00402750" w:rsidRPr="005A1FD7" w:rsidRDefault="00402750" w:rsidP="00C54A8A">
            <w:pPr>
              <w:spacing w:after="0"/>
              <w:jc w:val="both"/>
              <w:rPr>
                <w:sz w:val="16"/>
                <w:szCs w:val="16"/>
              </w:rPr>
            </w:pPr>
            <w:r w:rsidRPr="005A1FD7">
              <w:rPr>
                <w:sz w:val="16"/>
                <w:szCs w:val="16"/>
              </w:rPr>
              <w:t>Salbutamol with ipratropium bromide</w:t>
            </w:r>
          </w:p>
        </w:tc>
        <w:tc>
          <w:tcPr>
            <w:tcW w:w="5930" w:type="dxa"/>
          </w:tcPr>
          <w:p w:rsidR="00402750" w:rsidRPr="005A1FD7"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16"/>
                <w:szCs w:val="16"/>
              </w:rPr>
            </w:pPr>
            <w:r w:rsidRPr="005A1FD7">
              <w:rPr>
                <w:sz w:val="16"/>
                <w:szCs w:val="16"/>
              </w:rPr>
              <w:t>Often used as an inhaler to treat exacerbations.</w:t>
            </w:r>
          </w:p>
        </w:tc>
      </w:tr>
      <w:tr w:rsidR="00402750" w:rsidRPr="00835256"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rsidR="00402750" w:rsidRPr="005A1FD7" w:rsidRDefault="00402750" w:rsidP="00C54A8A">
            <w:pPr>
              <w:spacing w:after="0"/>
              <w:jc w:val="both"/>
              <w:rPr>
                <w:sz w:val="16"/>
                <w:szCs w:val="16"/>
              </w:rPr>
            </w:pPr>
            <w:r w:rsidRPr="005A1FD7">
              <w:rPr>
                <w:sz w:val="16"/>
                <w:szCs w:val="16"/>
              </w:rPr>
              <w:t>Tiotropium bromide</w:t>
            </w:r>
          </w:p>
        </w:tc>
        <w:tc>
          <w:tcPr>
            <w:tcW w:w="5930" w:type="dxa"/>
          </w:tcPr>
          <w:p w:rsidR="00402750" w:rsidRPr="005A1FD7"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16"/>
                <w:szCs w:val="16"/>
              </w:rPr>
            </w:pPr>
            <w:r w:rsidRPr="005A1FD7">
              <w:rPr>
                <w:sz w:val="16"/>
                <w:szCs w:val="16"/>
              </w:rPr>
              <w:t>Dispensed since 2005.</w:t>
            </w:r>
          </w:p>
          <w:p w:rsidR="00402750" w:rsidRPr="005A1FD7"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16"/>
                <w:szCs w:val="16"/>
              </w:rPr>
            </w:pPr>
            <w:r w:rsidRPr="005A1FD7">
              <w:rPr>
                <w:rFonts w:ascii="Arial Mäori" w:hAnsi="Arial Mäori" w:cs="Arial Mäori"/>
                <w:color w:val="000000"/>
                <w:sz w:val="16"/>
                <w:szCs w:val="16"/>
              </w:rPr>
              <w:t>Long acting (more than 24 hours), modification of ip</w:t>
            </w:r>
            <w:r w:rsidR="00F74054">
              <w:rPr>
                <w:rFonts w:ascii="Arial Mäori" w:hAnsi="Arial Mäori" w:cs="Arial Mäori"/>
                <w:color w:val="000000"/>
                <w:sz w:val="16"/>
                <w:szCs w:val="16"/>
              </w:rPr>
              <w:t>r</w:t>
            </w:r>
            <w:r w:rsidRPr="005A1FD7">
              <w:rPr>
                <w:rFonts w:ascii="Arial Mäori" w:hAnsi="Arial Mäori" w:cs="Arial Mäori"/>
                <w:color w:val="000000"/>
                <w:sz w:val="16"/>
                <w:szCs w:val="16"/>
              </w:rPr>
              <w:t>atropium bromide.</w:t>
            </w:r>
          </w:p>
        </w:tc>
      </w:tr>
      <w:tr w:rsidR="00402750" w:rsidRPr="00835256" w:rsidTr="00931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rsidR="00402750" w:rsidRPr="005A1FD7" w:rsidRDefault="00402750" w:rsidP="00C54A8A">
            <w:pPr>
              <w:spacing w:after="0"/>
              <w:jc w:val="both"/>
              <w:rPr>
                <w:sz w:val="16"/>
                <w:szCs w:val="16"/>
              </w:rPr>
            </w:pPr>
            <w:r w:rsidRPr="005A1FD7">
              <w:rPr>
                <w:sz w:val="16"/>
                <w:szCs w:val="16"/>
              </w:rPr>
              <w:t>Theophylline</w:t>
            </w:r>
          </w:p>
        </w:tc>
        <w:tc>
          <w:tcPr>
            <w:tcW w:w="5930" w:type="dxa"/>
          </w:tcPr>
          <w:p w:rsidR="00E86EB4"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16"/>
                <w:szCs w:val="16"/>
              </w:rPr>
            </w:pPr>
            <w:r w:rsidRPr="005A1FD7">
              <w:rPr>
                <w:sz w:val="16"/>
                <w:szCs w:val="16"/>
              </w:rPr>
              <w:t>Relief of bronchospasm. Available orally via special application for long using patients. Currently only registered for intravenous use. Not regarded as front line treatment.</w:t>
            </w:r>
            <w:r w:rsidR="00E86EB4">
              <w:rPr>
                <w:sz w:val="16"/>
                <w:szCs w:val="16"/>
              </w:rPr>
              <w:t xml:space="preserve"> </w:t>
            </w:r>
          </w:p>
          <w:p w:rsidR="00402750" w:rsidRPr="005A1FD7" w:rsidRDefault="00E86EB4" w:rsidP="00C54A8A">
            <w:pPr>
              <w:spacing w:after="0"/>
              <w:jc w:val="both"/>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People who were only dispensed Theophylline or Aminophylline were only included as prevalent COPD if they had no prior (since 1988) recorded ICD diagnosis of asthma.</w:t>
            </w:r>
          </w:p>
        </w:tc>
      </w:tr>
      <w:tr w:rsidR="00402750" w:rsidRPr="00835256"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rsidR="00402750" w:rsidRPr="005A1FD7" w:rsidRDefault="00402750" w:rsidP="00C54A8A">
            <w:pPr>
              <w:spacing w:after="0"/>
              <w:jc w:val="both"/>
              <w:rPr>
                <w:sz w:val="16"/>
                <w:szCs w:val="16"/>
              </w:rPr>
            </w:pPr>
            <w:r w:rsidRPr="005A1FD7">
              <w:rPr>
                <w:sz w:val="16"/>
                <w:szCs w:val="16"/>
              </w:rPr>
              <w:t>Aminophylline</w:t>
            </w:r>
          </w:p>
        </w:tc>
        <w:tc>
          <w:tcPr>
            <w:tcW w:w="5930" w:type="dxa"/>
          </w:tcPr>
          <w:p w:rsidR="00E86EB4"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16"/>
                <w:szCs w:val="16"/>
              </w:rPr>
            </w:pPr>
            <w:r w:rsidRPr="005A1FD7">
              <w:rPr>
                <w:sz w:val="16"/>
                <w:szCs w:val="16"/>
              </w:rPr>
              <w:t>Relief of bronchospasm. Available orally via special application for long using patients. Currently only registered for intravenous use. Not regarded as front line treatment.</w:t>
            </w:r>
            <w:r w:rsidR="00E86EB4">
              <w:rPr>
                <w:sz w:val="16"/>
                <w:szCs w:val="16"/>
              </w:rPr>
              <w:t xml:space="preserve"> </w:t>
            </w:r>
          </w:p>
          <w:p w:rsidR="00402750" w:rsidRPr="005A1FD7" w:rsidRDefault="00E86EB4" w:rsidP="00C54A8A">
            <w:pPr>
              <w:spacing w:after="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People who were only dispensed Theophylline or Aminophylline were only included as prevalent COPD if they had no prior (since 1988) recorded ICD diagnosis of asthma.</w:t>
            </w:r>
          </w:p>
        </w:tc>
      </w:tr>
    </w:tbl>
    <w:p w:rsidR="00402750" w:rsidRDefault="00402750" w:rsidP="00C54A8A">
      <w:pPr>
        <w:pStyle w:val="SourceCaption"/>
        <w:jc w:val="both"/>
        <w:rPr>
          <w:lang w:val="en-GB" w:eastAsia="en-GB"/>
        </w:rPr>
      </w:pPr>
    </w:p>
    <w:p w:rsidR="00402750" w:rsidRDefault="00402750" w:rsidP="00C54A8A">
      <w:pPr>
        <w:pStyle w:val="Bullet"/>
        <w:numPr>
          <w:ilvl w:val="0"/>
          <w:numId w:val="0"/>
        </w:numPr>
        <w:ind w:left="1145"/>
        <w:jc w:val="both"/>
        <w:rPr>
          <w:shd w:val="clear" w:color="auto" w:fill="FFFFFF"/>
        </w:rPr>
      </w:pPr>
    </w:p>
    <w:p w:rsidR="00402750" w:rsidRDefault="00402750" w:rsidP="00C54A8A">
      <w:pPr>
        <w:jc w:val="both"/>
        <w:rPr>
          <w:shd w:val="clear" w:color="auto" w:fill="FFFFFF"/>
        </w:rPr>
      </w:pPr>
      <w:r>
        <w:rPr>
          <w:shd w:val="clear" w:color="auto" w:fill="FFFFFF"/>
        </w:rPr>
        <w:t xml:space="preserve">Of the </w:t>
      </w:r>
      <w:r w:rsidR="00D10B5D">
        <w:rPr>
          <w:shd w:val="clear" w:color="auto" w:fill="FFFFFF"/>
        </w:rPr>
        <w:t>138,833</w:t>
      </w:r>
      <w:r>
        <w:rPr>
          <w:shd w:val="clear" w:color="auto" w:fill="FFFFFF"/>
        </w:rPr>
        <w:t xml:space="preserve"> people identified as prevalent cases of COPD, the majority (</w:t>
      </w:r>
      <w:r w:rsidR="00D10B5D">
        <w:rPr>
          <w:shd w:val="clear" w:color="auto" w:fill="FFFFFF"/>
        </w:rPr>
        <w:t>65.1</w:t>
      </w:r>
      <w:r>
        <w:rPr>
          <w:shd w:val="clear" w:color="auto" w:fill="FFFFFF"/>
        </w:rPr>
        <w:t xml:space="preserve">%) were identified through their pharmaceutical history alone, </w:t>
      </w:r>
      <w:r w:rsidR="00D10B5D">
        <w:rPr>
          <w:shd w:val="clear" w:color="auto" w:fill="FFFFFF"/>
        </w:rPr>
        <w:t>9.3</w:t>
      </w:r>
      <w:r>
        <w:rPr>
          <w:shd w:val="clear" w:color="auto" w:fill="FFFFFF"/>
        </w:rPr>
        <w:t xml:space="preserve">% were identified through their diagnosis history alone, and </w:t>
      </w:r>
      <w:r w:rsidR="00D10B5D">
        <w:rPr>
          <w:shd w:val="clear" w:color="auto" w:fill="FFFFFF"/>
        </w:rPr>
        <w:t>25.7</w:t>
      </w:r>
      <w:r>
        <w:rPr>
          <w:shd w:val="clear" w:color="auto" w:fill="FFFFFF"/>
        </w:rPr>
        <w:t>% were identified through both their history of pharmaceuticals and their diagnoses (</w:t>
      </w:r>
      <w:r>
        <w:rPr>
          <w:shd w:val="clear" w:color="auto" w:fill="FFFFFF"/>
        </w:rPr>
        <w:fldChar w:fldCharType="begin"/>
      </w:r>
      <w:r>
        <w:rPr>
          <w:shd w:val="clear" w:color="auto" w:fill="FFFFFF"/>
        </w:rPr>
        <w:instrText xml:space="preserve"> REF _Ref367180715 \h </w:instrText>
      </w:r>
      <w:r w:rsidR="00C54A8A">
        <w:rPr>
          <w:shd w:val="clear" w:color="auto" w:fill="FFFFFF"/>
        </w:rPr>
        <w:instrText xml:space="preserve"> \* MERGEFORMAT </w:instrText>
      </w:r>
      <w:r>
        <w:rPr>
          <w:shd w:val="clear" w:color="auto" w:fill="FFFFFF"/>
        </w:rPr>
      </w:r>
      <w:r>
        <w:rPr>
          <w:shd w:val="clear" w:color="auto" w:fill="FFFFFF"/>
        </w:rPr>
        <w:fldChar w:fldCharType="separate"/>
      </w:r>
      <w:r w:rsidR="000B70CE">
        <w:t xml:space="preserve">Figure </w:t>
      </w:r>
      <w:r w:rsidR="000B70CE">
        <w:rPr>
          <w:noProof/>
        </w:rPr>
        <w:t>12</w:t>
      </w:r>
      <w:r>
        <w:rPr>
          <w:shd w:val="clear" w:color="auto" w:fill="FFFFFF"/>
        </w:rPr>
        <w:fldChar w:fldCharType="end"/>
      </w:r>
      <w:r>
        <w:rPr>
          <w:shd w:val="clear" w:color="auto" w:fill="FFFFFF"/>
        </w:rPr>
        <w:t>).</w:t>
      </w:r>
    </w:p>
    <w:p w:rsidR="00402750" w:rsidRDefault="00402750" w:rsidP="00C54A8A">
      <w:pPr>
        <w:jc w:val="both"/>
        <w:rPr>
          <w:shd w:val="clear" w:color="auto" w:fill="FFFFFF"/>
        </w:rPr>
      </w:pPr>
    </w:p>
    <w:p w:rsidR="00402750" w:rsidRDefault="00402750" w:rsidP="00C54A8A">
      <w:pPr>
        <w:jc w:val="both"/>
        <w:rPr>
          <w:shd w:val="clear" w:color="auto" w:fill="FFFFFF"/>
        </w:rPr>
      </w:pPr>
    </w:p>
    <w:p w:rsidR="00402750" w:rsidRDefault="00402750" w:rsidP="00C54A8A">
      <w:pPr>
        <w:jc w:val="both"/>
        <w:rPr>
          <w:shd w:val="clear" w:color="auto" w:fill="FFFFFF"/>
        </w:rPr>
      </w:pPr>
    </w:p>
    <w:p w:rsidR="00402750" w:rsidRDefault="00402750" w:rsidP="00C54A8A">
      <w:pPr>
        <w:jc w:val="both"/>
        <w:rPr>
          <w:shd w:val="clear" w:color="auto" w:fill="FFFFFF"/>
        </w:rPr>
      </w:pPr>
    </w:p>
    <w:p w:rsidR="00402750" w:rsidRDefault="00402750" w:rsidP="00C54A8A">
      <w:pPr>
        <w:jc w:val="both"/>
        <w:rPr>
          <w:shd w:val="clear" w:color="auto" w:fill="FFFFFF"/>
        </w:rPr>
      </w:pPr>
    </w:p>
    <w:p w:rsidR="00402750" w:rsidRDefault="00402750" w:rsidP="00C54A8A">
      <w:pPr>
        <w:pStyle w:val="Caption"/>
        <w:jc w:val="both"/>
      </w:pPr>
      <w:bookmarkStart w:id="185" w:name="_Ref367180715"/>
      <w:r>
        <w:t xml:space="preserve">Figure </w:t>
      </w:r>
      <w:r>
        <w:fldChar w:fldCharType="begin"/>
      </w:r>
      <w:r>
        <w:instrText xml:space="preserve"> SEQ Figure \* ARABIC </w:instrText>
      </w:r>
      <w:r>
        <w:fldChar w:fldCharType="separate"/>
      </w:r>
      <w:r w:rsidR="000B70CE">
        <w:rPr>
          <w:noProof/>
        </w:rPr>
        <w:t>12</w:t>
      </w:r>
      <w:r>
        <w:rPr>
          <w:noProof/>
        </w:rPr>
        <w:fldChar w:fldCharType="end"/>
      </w:r>
      <w:bookmarkEnd w:id="185"/>
      <w:r>
        <w:t>: Source of COPD prevalent population using NZ Health Tracker, 2010/11</w:t>
      </w:r>
    </w:p>
    <w:p w:rsidR="00402750" w:rsidRDefault="00E86EB4" w:rsidP="00C54A8A">
      <w:pPr>
        <w:jc w:val="both"/>
        <w:rPr>
          <w:lang w:val="en-GB" w:eastAsia="en-GB"/>
        </w:rPr>
      </w:pPr>
      <w:r w:rsidRPr="009F28F0">
        <w:rPr>
          <w:noProof/>
          <w:lang w:eastAsia="en-NZ"/>
        </w:rPr>
        <mc:AlternateContent>
          <mc:Choice Requires="wps">
            <w:drawing>
              <wp:anchor distT="0" distB="0" distL="114300" distR="114300" simplePos="0" relativeHeight="251663360" behindDoc="0" locked="0" layoutInCell="1" allowOverlap="1" wp14:anchorId="5D1B9C3E" wp14:editId="0745EA84">
                <wp:simplePos x="0" y="0"/>
                <wp:positionH relativeFrom="column">
                  <wp:posOffset>2713990</wp:posOffset>
                </wp:positionH>
                <wp:positionV relativeFrom="paragraph">
                  <wp:posOffset>1998345</wp:posOffset>
                </wp:positionV>
                <wp:extent cx="810895" cy="301625"/>
                <wp:effectExtent l="0" t="0" r="0" b="31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301625"/>
                        </a:xfrm>
                        <a:prstGeom prst="rect">
                          <a:avLst/>
                        </a:prstGeom>
                        <a:noFill/>
                        <a:ln w="9525">
                          <a:noFill/>
                          <a:miter lim="800000"/>
                          <a:headEnd/>
                          <a:tailEnd/>
                        </a:ln>
                      </wps:spPr>
                      <wps:txbx>
                        <w:txbxContent>
                          <w:p w:rsidR="00551E6B" w:rsidRDefault="00551E6B" w:rsidP="00402750">
                            <w:r>
                              <w:t>90,317</w:t>
                            </w:r>
                          </w:p>
                          <w:p w:rsidR="00551E6B" w:rsidRDefault="00551E6B" w:rsidP="004027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7pt;margin-top:157.35pt;width:63.85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" filled="f" stroked="f">
                <v:textbox>
                  <w:txbxContent>
                    <w:p w:rsidR="00551E6B" w:rsidRDefault="00551E6B" w:rsidP="00402750">
                      <w:r>
                        <w:t>90,317</w:t>
                      </w:r>
                    </w:p>
                    <w:p w:rsidR="00551E6B" w:rsidRDefault="00551E6B" w:rsidP="00402750"/>
                  </w:txbxContent>
                </v:textbox>
              </v:shape>
            </w:pict>
          </mc:Fallback>
        </mc:AlternateContent>
      </w:r>
      <w:r w:rsidRPr="009F28F0">
        <w:rPr>
          <w:noProof/>
          <w:lang w:eastAsia="en-NZ"/>
        </w:rPr>
        <mc:AlternateContent>
          <mc:Choice Requires="wps">
            <w:drawing>
              <wp:anchor distT="0" distB="0" distL="114300" distR="114300" simplePos="0" relativeHeight="251661312" behindDoc="0" locked="0" layoutInCell="1" allowOverlap="1" wp14:anchorId="20428453" wp14:editId="32DB2ABC">
                <wp:simplePos x="0" y="0"/>
                <wp:positionH relativeFrom="column">
                  <wp:posOffset>125730</wp:posOffset>
                </wp:positionH>
                <wp:positionV relativeFrom="paragraph">
                  <wp:posOffset>1990090</wp:posOffset>
                </wp:positionV>
                <wp:extent cx="643890" cy="3098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09880"/>
                        </a:xfrm>
                        <a:prstGeom prst="rect">
                          <a:avLst/>
                        </a:prstGeom>
                        <a:noFill/>
                        <a:ln w="9525">
                          <a:noFill/>
                          <a:miter lim="800000"/>
                          <a:headEnd/>
                          <a:tailEnd/>
                        </a:ln>
                      </wps:spPr>
                      <wps:txbx>
                        <w:txbxContent>
                          <w:p w:rsidR="00551E6B" w:rsidRDefault="00551E6B" w:rsidP="00402750">
                            <w:r>
                              <w:t>12,840</w:t>
                            </w:r>
                          </w:p>
                          <w:p w:rsidR="00551E6B" w:rsidRDefault="00551E6B" w:rsidP="004027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9pt;margin-top:156.7pt;width:50.7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" filled="f" stroked="f">
                <v:textbox>
                  <w:txbxContent>
                    <w:p w:rsidR="00551E6B" w:rsidRDefault="00551E6B" w:rsidP="00402750">
                      <w:r>
                        <w:t>12,840</w:t>
                      </w:r>
                    </w:p>
                    <w:p w:rsidR="00551E6B" w:rsidRDefault="00551E6B" w:rsidP="00402750"/>
                  </w:txbxContent>
                </v:textbox>
              </v:shape>
            </w:pict>
          </mc:Fallback>
        </mc:AlternateContent>
      </w:r>
      <w:r w:rsidRPr="009F28F0">
        <w:rPr>
          <w:noProof/>
          <w:lang w:eastAsia="en-NZ"/>
        </w:rPr>
        <mc:AlternateContent>
          <mc:Choice Requires="wps">
            <w:drawing>
              <wp:anchor distT="0" distB="0" distL="114300" distR="114300" simplePos="0" relativeHeight="251662336" behindDoc="0" locked="0" layoutInCell="1" allowOverlap="1" wp14:anchorId="1D034C2F" wp14:editId="228E7168">
                <wp:simplePos x="0" y="0"/>
                <wp:positionH relativeFrom="column">
                  <wp:posOffset>1160780</wp:posOffset>
                </wp:positionH>
                <wp:positionV relativeFrom="paragraph">
                  <wp:posOffset>1998345</wp:posOffset>
                </wp:positionV>
                <wp:extent cx="643890" cy="301625"/>
                <wp:effectExtent l="0" t="0" r="0" b="31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01625"/>
                        </a:xfrm>
                        <a:prstGeom prst="rect">
                          <a:avLst/>
                        </a:prstGeom>
                        <a:noFill/>
                        <a:ln w="9525">
                          <a:noFill/>
                          <a:miter lim="800000"/>
                          <a:headEnd/>
                          <a:tailEnd/>
                        </a:ln>
                      </wps:spPr>
                      <wps:txbx>
                        <w:txbxContent>
                          <w:p w:rsidR="00551E6B" w:rsidRDefault="00551E6B" w:rsidP="00402750">
                            <w:r>
                              <w:t>35,676</w:t>
                            </w:r>
                          </w:p>
                          <w:p w:rsidR="00551E6B" w:rsidRDefault="00551E6B" w:rsidP="004027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1.4pt;margin-top:157.35pt;width:50.7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" filled="f" stroked="f">
                <v:textbox>
                  <w:txbxContent>
                    <w:p w:rsidR="00551E6B" w:rsidRDefault="00551E6B" w:rsidP="00402750">
                      <w:r>
                        <w:t>35,676</w:t>
                      </w:r>
                    </w:p>
                    <w:p w:rsidR="00551E6B" w:rsidRDefault="00551E6B" w:rsidP="00402750"/>
                  </w:txbxContent>
                </v:textbox>
              </v:shape>
            </w:pict>
          </mc:Fallback>
        </mc:AlternateContent>
      </w:r>
      <w:r w:rsidR="00D10B5D">
        <w:rPr>
          <w:noProof/>
          <w:lang w:eastAsia="en-NZ"/>
        </w:rPr>
        <w:drawing>
          <wp:inline distT="0" distB="0" distL="0" distR="0" wp14:anchorId="4DA15D73" wp14:editId="428AE73C">
            <wp:extent cx="5939790" cy="4250504"/>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939790" cy="4250504"/>
                    </a:xfrm>
                    <a:prstGeom prst="rect">
                      <a:avLst/>
                    </a:prstGeom>
                  </pic:spPr>
                </pic:pic>
              </a:graphicData>
            </a:graphic>
          </wp:inline>
        </w:drawing>
      </w:r>
    </w:p>
    <w:p w:rsidR="00402750" w:rsidRPr="009F28F0" w:rsidRDefault="00402750" w:rsidP="00C54A8A">
      <w:pPr>
        <w:pStyle w:val="SourceCaption"/>
        <w:jc w:val="both"/>
        <w:rPr>
          <w:lang w:val="en-GB" w:eastAsia="en-GB"/>
        </w:rPr>
      </w:pPr>
      <w:r>
        <w:rPr>
          <w:lang w:val="en-GB" w:eastAsia="en-GB"/>
        </w:rPr>
        <w:t xml:space="preserve">Source: 2013 NHC analysis of 2010/11 NZHT </w:t>
      </w:r>
    </w:p>
    <w:p w:rsidR="00E86EB4" w:rsidRDefault="00E86EB4" w:rsidP="00C54A8A">
      <w:pPr>
        <w:pStyle w:val="Head2nonumber"/>
        <w:jc w:val="both"/>
      </w:pPr>
      <w:bookmarkStart w:id="186" w:name="_Toc370401401"/>
      <w:bookmarkStart w:id="187" w:name="_Toc370477243"/>
      <w:bookmarkStart w:id="188" w:name="_Toc371949682"/>
      <w:bookmarkStart w:id="189" w:name="_Toc382225534"/>
      <w:bookmarkStart w:id="190" w:name="_Toc382475516"/>
    </w:p>
    <w:p w:rsidR="00402750" w:rsidRDefault="00402750" w:rsidP="00C54A8A">
      <w:pPr>
        <w:pStyle w:val="Head2nonumber"/>
        <w:jc w:val="both"/>
      </w:pPr>
      <w:bookmarkStart w:id="191" w:name="_Toc382554903"/>
      <w:bookmarkStart w:id="192" w:name="_Toc382574757"/>
      <w:r>
        <w:t>Costs</w:t>
      </w:r>
      <w:bookmarkEnd w:id="186"/>
      <w:bookmarkEnd w:id="187"/>
      <w:bookmarkEnd w:id="188"/>
      <w:bookmarkEnd w:id="189"/>
      <w:bookmarkEnd w:id="190"/>
      <w:bookmarkEnd w:id="191"/>
      <w:bookmarkEnd w:id="192"/>
    </w:p>
    <w:p w:rsidR="00402750" w:rsidRPr="003D17D6" w:rsidRDefault="00402750" w:rsidP="00C54A8A">
      <w:pPr>
        <w:pStyle w:val="Head3-nonumber"/>
        <w:jc w:val="both"/>
      </w:pPr>
      <w:bookmarkStart w:id="193" w:name="_Toc369253758"/>
      <w:bookmarkStart w:id="194" w:name="_Toc370401402"/>
      <w:bookmarkStart w:id="195" w:name="_Toc370477244"/>
      <w:bookmarkStart w:id="196" w:name="_Toc371949683"/>
      <w:bookmarkStart w:id="197" w:name="_Toc382225535"/>
      <w:bookmarkStart w:id="198" w:name="_Toc382475517"/>
      <w:bookmarkStart w:id="199" w:name="_Toc382554904"/>
      <w:bookmarkStart w:id="200" w:name="_Toc382574758"/>
      <w:r w:rsidRPr="003D17D6">
        <w:t>Hospital events</w:t>
      </w:r>
      <w:bookmarkEnd w:id="193"/>
      <w:bookmarkEnd w:id="194"/>
      <w:bookmarkEnd w:id="195"/>
      <w:bookmarkEnd w:id="196"/>
      <w:bookmarkEnd w:id="197"/>
      <w:bookmarkEnd w:id="198"/>
      <w:bookmarkEnd w:id="199"/>
      <w:bookmarkEnd w:id="200"/>
    </w:p>
    <w:p w:rsidR="00402750" w:rsidRDefault="00402750" w:rsidP="00C54A8A">
      <w:pPr>
        <w:jc w:val="both"/>
      </w:pPr>
      <w:r>
        <w:t xml:space="preserve">Hospitalisation event </w:t>
      </w:r>
      <w:r w:rsidRPr="004062C7">
        <w:t>(inpatient and day patient) data</w:t>
      </w:r>
      <w:r>
        <w:t xml:space="preserve"> from the National Minimum Data Set</w:t>
      </w:r>
      <w:r w:rsidRPr="004062C7">
        <w:t xml:space="preserve"> </w:t>
      </w:r>
      <w:r>
        <w:t>for the 2010/11</w:t>
      </w:r>
      <w:r w:rsidRPr="004062C7">
        <w:t xml:space="preserve"> financial year </w:t>
      </w:r>
      <w:r>
        <w:t>were used</w:t>
      </w:r>
      <w:r w:rsidRPr="004062C7">
        <w:t xml:space="preserve"> with filtering to exclude non-publically funded and/or non-casemix purchased events.  The diagnosis code used w</w:t>
      </w:r>
      <w:r>
        <w:t>as either the primary diagnosis</w:t>
      </w:r>
      <w:r w:rsidRPr="004062C7">
        <w:t xml:space="preserve"> </w:t>
      </w:r>
      <w:r>
        <w:t xml:space="preserve">or </w:t>
      </w:r>
      <w:r w:rsidRPr="004062C7">
        <w:t>the secondary diagnosis if the primary diagnosis was a ‘Z’ code (Factors influencing health status an</w:t>
      </w:r>
      <w:r>
        <w:t>d contact with health services)</w:t>
      </w:r>
      <w:r w:rsidRPr="004062C7">
        <w:t xml:space="preserve">.  </w:t>
      </w:r>
      <w:r>
        <w:t xml:space="preserve">The ICD-10-AM codes listed above </w:t>
      </w:r>
      <w:r w:rsidR="00E86EB4">
        <w:t xml:space="preserve">in the Prevalence section </w:t>
      </w:r>
      <w:r>
        <w:t>were used to define COPD-related hospital events.</w:t>
      </w:r>
    </w:p>
    <w:p w:rsidR="00402750" w:rsidRPr="004062C7" w:rsidRDefault="00402750" w:rsidP="00C54A8A">
      <w:pPr>
        <w:jc w:val="both"/>
      </w:pPr>
      <w:r w:rsidRPr="004062C7">
        <w:t>Price has been used as a proxy for cost as it is more readily available and is correlated with the cost of the services being summarised.  Each (filtered) hospitalisation event has a resource-based volume measure of the relative resources used in the delivery of inpatient heath care based on the diagnosis code (derived using Weighted Inline Equivalent Separation methodology). For this analysis the WIESNZ10 caseweight has been multiplied by the national</w:t>
      </w:r>
      <w:r>
        <w:t xml:space="preserve"> unit price for 2010/11</w:t>
      </w:r>
      <w:r w:rsidRPr="004062C7">
        <w:t xml:space="preserve"> ($</w:t>
      </w:r>
      <w:r>
        <w:t>4,410.38</w:t>
      </w:r>
      <w:r w:rsidRPr="004062C7">
        <w:t>).</w:t>
      </w:r>
    </w:p>
    <w:p w:rsidR="00402750" w:rsidRPr="00DD7A52" w:rsidRDefault="00402750" w:rsidP="00C54A8A">
      <w:pPr>
        <w:pStyle w:val="Head3-nonumber"/>
        <w:jc w:val="both"/>
      </w:pPr>
      <w:bookmarkStart w:id="201" w:name="_Toc369253759"/>
      <w:bookmarkStart w:id="202" w:name="_Toc370401403"/>
      <w:bookmarkStart w:id="203" w:name="_Toc370477245"/>
      <w:bookmarkStart w:id="204" w:name="_Toc371949684"/>
      <w:bookmarkStart w:id="205" w:name="_Toc382225536"/>
      <w:bookmarkStart w:id="206" w:name="_Toc382475518"/>
      <w:bookmarkStart w:id="207" w:name="_Toc382554905"/>
      <w:bookmarkStart w:id="208" w:name="_Toc382574759"/>
      <w:r w:rsidRPr="00DD7A52">
        <w:t>Pharmaceuticals</w:t>
      </w:r>
      <w:bookmarkEnd w:id="201"/>
      <w:bookmarkEnd w:id="202"/>
      <w:bookmarkEnd w:id="203"/>
      <w:bookmarkEnd w:id="204"/>
      <w:bookmarkEnd w:id="205"/>
      <w:bookmarkEnd w:id="206"/>
      <w:bookmarkEnd w:id="207"/>
      <w:bookmarkEnd w:id="208"/>
    </w:p>
    <w:p w:rsidR="00402750" w:rsidRDefault="00402750" w:rsidP="00C54A8A">
      <w:pPr>
        <w:jc w:val="both"/>
      </w:pPr>
      <w:r w:rsidRPr="00DD7A52">
        <w:t xml:space="preserve">The Pharmaceutical Collection was used to identify the COPD-specific pharmaceuticals listed in </w:t>
      </w:r>
      <w:r w:rsidRPr="00DD7A52">
        <w:fldChar w:fldCharType="begin"/>
      </w:r>
      <w:r w:rsidRPr="00DD7A52">
        <w:instrText xml:space="preserve"> REF _Ref365533501 \h  \* MERGEFORMAT </w:instrText>
      </w:r>
      <w:r w:rsidRPr="00DD7A52">
        <w:fldChar w:fldCharType="separate"/>
      </w:r>
      <w:r w:rsidR="000B70CE">
        <w:t xml:space="preserve">Table </w:t>
      </w:r>
      <w:r w:rsidR="000B70CE">
        <w:rPr>
          <w:noProof/>
        </w:rPr>
        <w:t>5</w:t>
      </w:r>
      <w:r w:rsidRPr="00DD7A52">
        <w:fldChar w:fldCharType="end"/>
      </w:r>
      <w:r w:rsidR="004C3E14" w:rsidRPr="00DD7A52">
        <w:t xml:space="preserve">, other relevant respiratory pharmaceuticals and antibiotics, as well as influenza and pneumococcal vaccinations were also identified and </w:t>
      </w:r>
      <w:r w:rsidR="00D10B5D" w:rsidRPr="00DD7A52">
        <w:t>the reimbursement</w:t>
      </w:r>
      <w:r w:rsidRPr="00DD7A52">
        <w:t xml:space="preserve"> cost of the pharmaceuticals</w:t>
      </w:r>
      <w:r w:rsidR="004C3E14" w:rsidRPr="00DD7A52">
        <w:t xml:space="preserve"> included</w:t>
      </w:r>
      <w:r w:rsidRPr="00DD7A52">
        <w:t>. This is the cost from the supplier, the mark-up and the dispensing fee minus the patient contribution. The reimbursement cost also includes Goods and Services Tax (GST, 15%), so this was multiplied by 0.8695652174 to remove this.</w:t>
      </w:r>
    </w:p>
    <w:p w:rsidR="00402750" w:rsidRDefault="00402750" w:rsidP="00C54A8A">
      <w:pPr>
        <w:pStyle w:val="Head3-nonumber"/>
        <w:jc w:val="both"/>
      </w:pPr>
      <w:bookmarkStart w:id="209" w:name="_Toc369253760"/>
      <w:bookmarkStart w:id="210" w:name="_Toc370401404"/>
      <w:bookmarkStart w:id="211" w:name="_Toc370477246"/>
      <w:bookmarkStart w:id="212" w:name="_Toc371949685"/>
      <w:bookmarkStart w:id="213" w:name="_Toc382225537"/>
      <w:bookmarkStart w:id="214" w:name="_Toc382475519"/>
      <w:bookmarkStart w:id="215" w:name="_Toc382554906"/>
      <w:bookmarkStart w:id="216" w:name="_Toc382574760"/>
      <w:r w:rsidRPr="003D17D6">
        <w:t>General Practitioner (GP) visits</w:t>
      </w:r>
      <w:bookmarkEnd w:id="209"/>
      <w:bookmarkEnd w:id="210"/>
      <w:bookmarkEnd w:id="211"/>
      <w:bookmarkEnd w:id="212"/>
      <w:bookmarkEnd w:id="213"/>
      <w:bookmarkEnd w:id="214"/>
      <w:bookmarkEnd w:id="215"/>
      <w:bookmarkEnd w:id="216"/>
    </w:p>
    <w:p w:rsidR="00C54B8B" w:rsidRDefault="00C54B8B" w:rsidP="00C54B8B">
      <w:pPr>
        <w:jc w:val="both"/>
      </w:pPr>
      <w:r w:rsidRPr="003C5FED">
        <w:t>Analysis of the 2006/07 New Zealand Health Survey showed that people aged 45 years and ove</w:t>
      </w:r>
      <w:r>
        <w:t>r with diagnosed COPD saw a GP four</w:t>
      </w:r>
      <w:r w:rsidRPr="003C5FED">
        <w:t xml:space="preserve"> times on average (median) over a 12 month period.</w:t>
      </w:r>
      <w:r>
        <w:t xml:space="preserve"> To reflect some of the variability in the frequency with which COPD patients visit their GP we used information from the PHO database on how many quarters of the 2010/11 year that each patient had had contact with their PHO and whether or not a patient had had any COPD-specific medicines dispensed in 2010/11. A patient who had no PHO contact and no COPD-specific medicines dispensed in 2010/11 was assigned zero GP visits, one who had PHO contact in one quarter of 2010/11 and no COPD-specific medicines was assigned one GP visit, a patient who had PHO contact in one quarter of 2010/11 and did have COPD-specific medicines dispensed in 2010/11 was assigned two GP visits, a patient who had contact with their PHO in all four quarters of 2010/11 was assigned five GP visits (</w:t>
      </w:r>
      <w:r w:rsidRPr="00845311">
        <w:fldChar w:fldCharType="begin"/>
      </w:r>
      <w:r w:rsidRPr="00845311">
        <w:instrText xml:space="preserve"> REF _Ref365288255 \h  \* MERGEFORMAT </w:instrText>
      </w:r>
      <w:r w:rsidRPr="00845311">
        <w:fldChar w:fldCharType="separate"/>
      </w:r>
      <w:r>
        <w:t>Table 6</w:t>
      </w:r>
      <w:r w:rsidRPr="00845311">
        <w:fldChar w:fldCharType="end"/>
      </w:r>
      <w:r>
        <w:t>). Using this method of attributing GP visits results in an average (median) of four visits for the 12 month period.</w:t>
      </w:r>
    </w:p>
    <w:p w:rsidR="00C54A8A" w:rsidRDefault="00C54A8A" w:rsidP="00C54A8A">
      <w:pPr>
        <w:jc w:val="both"/>
      </w:pPr>
    </w:p>
    <w:p w:rsidR="00C54A8A" w:rsidRDefault="00C54A8A" w:rsidP="00C54A8A">
      <w:pPr>
        <w:jc w:val="both"/>
      </w:pPr>
    </w:p>
    <w:p w:rsidR="00C54A8A" w:rsidRDefault="00C54A8A" w:rsidP="00C54A8A">
      <w:pPr>
        <w:jc w:val="both"/>
      </w:pPr>
    </w:p>
    <w:p w:rsidR="00C54A8A" w:rsidRDefault="00C54A8A" w:rsidP="00C54A8A">
      <w:pPr>
        <w:jc w:val="both"/>
      </w:pPr>
    </w:p>
    <w:p w:rsidR="00C54A8A" w:rsidRDefault="00C54A8A" w:rsidP="00C54A8A">
      <w:pPr>
        <w:jc w:val="both"/>
      </w:pPr>
    </w:p>
    <w:p w:rsidR="00C54A8A" w:rsidRDefault="00C54A8A" w:rsidP="00C54A8A">
      <w:pPr>
        <w:jc w:val="both"/>
      </w:pPr>
    </w:p>
    <w:p w:rsidR="00C54A8A" w:rsidRDefault="00C54A8A" w:rsidP="00C54A8A">
      <w:pPr>
        <w:jc w:val="both"/>
      </w:pPr>
    </w:p>
    <w:p w:rsidR="00C54A8A" w:rsidRDefault="00C54A8A" w:rsidP="00C54A8A">
      <w:pPr>
        <w:jc w:val="both"/>
      </w:pPr>
    </w:p>
    <w:p w:rsidR="00C54A8A" w:rsidRDefault="00C54A8A" w:rsidP="00C54A8A">
      <w:pPr>
        <w:jc w:val="both"/>
      </w:pPr>
    </w:p>
    <w:p w:rsidR="00402750" w:rsidRDefault="00402750" w:rsidP="00C54A8A">
      <w:pPr>
        <w:pStyle w:val="Caption"/>
        <w:jc w:val="both"/>
      </w:pPr>
      <w:bookmarkStart w:id="217" w:name="_Ref365288255"/>
      <w:r>
        <w:t xml:space="preserve">Table </w:t>
      </w:r>
      <w:r>
        <w:fldChar w:fldCharType="begin"/>
      </w:r>
      <w:r>
        <w:instrText xml:space="preserve"> SEQ Table \* ARABIC </w:instrText>
      </w:r>
      <w:r>
        <w:fldChar w:fldCharType="separate"/>
      </w:r>
      <w:r w:rsidR="00C54B8B">
        <w:rPr>
          <w:noProof/>
        </w:rPr>
        <w:t>6</w:t>
      </w:r>
      <w:r>
        <w:rPr>
          <w:noProof/>
        </w:rPr>
        <w:fldChar w:fldCharType="end"/>
      </w:r>
      <w:bookmarkEnd w:id="217"/>
      <w:r>
        <w:t>: Medicines and PHO contact groupings used to assign number of GP visits to each COPD patient, 2010/11.</w:t>
      </w:r>
    </w:p>
    <w:tbl>
      <w:tblPr>
        <w:tblStyle w:val="MediumShading1-Accent3"/>
        <w:tblW w:w="9756" w:type="dxa"/>
        <w:tblCellMar>
          <w:top w:w="28" w:type="dxa"/>
          <w:bottom w:w="28" w:type="dxa"/>
        </w:tblCellMar>
        <w:tblLook w:val="04A0" w:firstRow="1" w:lastRow="0" w:firstColumn="1" w:lastColumn="0" w:noHBand="0" w:noVBand="1"/>
      </w:tblPr>
      <w:tblGrid>
        <w:gridCol w:w="2438"/>
        <w:gridCol w:w="2438"/>
        <w:gridCol w:w="2440"/>
        <w:gridCol w:w="2440"/>
      </w:tblGrid>
      <w:tr w:rsidR="00402750" w:rsidRPr="00877EE9" w:rsidTr="00C54A8A">
        <w:trPr>
          <w:cnfStyle w:val="100000000000" w:firstRow="1" w:lastRow="0" w:firstColumn="0" w:lastColumn="0" w:oddVBand="0" w:evenVBand="0" w:oddHBand="0"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2438" w:type="dxa"/>
          </w:tcPr>
          <w:p w:rsidR="00402750" w:rsidRPr="00877EE9" w:rsidRDefault="00402750" w:rsidP="00C54A8A">
            <w:pPr>
              <w:spacing w:after="0"/>
              <w:jc w:val="both"/>
              <w:rPr>
                <w:sz w:val="20"/>
                <w:szCs w:val="20"/>
              </w:rPr>
            </w:pPr>
            <w:r w:rsidRPr="00877EE9">
              <w:rPr>
                <w:sz w:val="20"/>
                <w:szCs w:val="20"/>
              </w:rPr>
              <w:t xml:space="preserve">No. of times </w:t>
            </w:r>
            <w:r>
              <w:rPr>
                <w:sz w:val="20"/>
                <w:szCs w:val="20"/>
              </w:rPr>
              <w:t>quarterly</w:t>
            </w:r>
            <w:r w:rsidRPr="00877EE9">
              <w:rPr>
                <w:sz w:val="20"/>
                <w:szCs w:val="20"/>
              </w:rPr>
              <w:t xml:space="preserve"> contact with PHO noted</w:t>
            </w:r>
          </w:p>
        </w:tc>
        <w:tc>
          <w:tcPr>
            <w:tcW w:w="2438" w:type="dxa"/>
          </w:tcPr>
          <w:p w:rsidR="00402750" w:rsidRPr="00877EE9" w:rsidRDefault="00402750" w:rsidP="00C54A8A">
            <w:pPr>
              <w:spacing w:after="0"/>
              <w:jc w:val="both"/>
              <w:cnfStyle w:val="100000000000" w:firstRow="1" w:lastRow="0" w:firstColumn="0" w:lastColumn="0" w:oddVBand="0" w:evenVBand="0" w:oddHBand="0" w:evenHBand="0" w:firstRowFirstColumn="0" w:firstRowLastColumn="0" w:lastRowFirstColumn="0" w:lastRowLastColumn="0"/>
              <w:rPr>
                <w:sz w:val="20"/>
                <w:szCs w:val="20"/>
              </w:rPr>
            </w:pPr>
            <w:r w:rsidRPr="00877EE9">
              <w:rPr>
                <w:sz w:val="20"/>
                <w:szCs w:val="20"/>
              </w:rPr>
              <w:t>Prescribed COPD medicine in past year</w:t>
            </w:r>
          </w:p>
        </w:tc>
        <w:tc>
          <w:tcPr>
            <w:tcW w:w="2440" w:type="dxa"/>
          </w:tcPr>
          <w:p w:rsidR="00402750" w:rsidRPr="00877EE9" w:rsidRDefault="00402750" w:rsidP="00C54A8A">
            <w:pPr>
              <w:spacing w:after="0"/>
              <w:jc w:val="both"/>
              <w:cnfStyle w:val="100000000000" w:firstRow="1" w:lastRow="0" w:firstColumn="0" w:lastColumn="0" w:oddVBand="0" w:evenVBand="0" w:oddHBand="0" w:evenHBand="0" w:firstRowFirstColumn="0" w:firstRowLastColumn="0" w:lastRowFirstColumn="0" w:lastRowLastColumn="0"/>
              <w:rPr>
                <w:sz w:val="20"/>
                <w:szCs w:val="20"/>
              </w:rPr>
            </w:pPr>
            <w:r w:rsidRPr="00877EE9">
              <w:rPr>
                <w:sz w:val="20"/>
                <w:szCs w:val="20"/>
              </w:rPr>
              <w:t>No.  of GP visits assigned</w:t>
            </w:r>
          </w:p>
        </w:tc>
        <w:tc>
          <w:tcPr>
            <w:tcW w:w="2440" w:type="dxa"/>
          </w:tcPr>
          <w:p w:rsidR="00402750" w:rsidRPr="00877EE9" w:rsidRDefault="00402750" w:rsidP="00C54A8A">
            <w:pPr>
              <w:spacing w:after="0"/>
              <w:jc w:val="both"/>
              <w:cnfStyle w:val="100000000000" w:firstRow="1" w:lastRow="0" w:firstColumn="0" w:lastColumn="0" w:oddVBand="0" w:evenVBand="0" w:oddHBand="0" w:evenHBand="0" w:firstRowFirstColumn="0" w:firstRowLastColumn="0" w:lastRowFirstColumn="0" w:lastRowLastColumn="0"/>
              <w:rPr>
                <w:sz w:val="20"/>
                <w:szCs w:val="20"/>
              </w:rPr>
            </w:pPr>
            <w:r w:rsidRPr="00877EE9">
              <w:rPr>
                <w:sz w:val="20"/>
                <w:szCs w:val="20"/>
              </w:rPr>
              <w:t>No. of people</w:t>
            </w:r>
          </w:p>
        </w:tc>
      </w:tr>
      <w:tr w:rsidR="00402750" w:rsidRPr="00877EE9" w:rsidTr="00C54A8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438" w:type="dxa"/>
          </w:tcPr>
          <w:p w:rsidR="00402750" w:rsidRPr="00B618C4" w:rsidRDefault="00402750" w:rsidP="00C54A8A">
            <w:pPr>
              <w:spacing w:after="0"/>
              <w:jc w:val="both"/>
              <w:rPr>
                <w:b w:val="0"/>
                <w:sz w:val="20"/>
                <w:szCs w:val="20"/>
              </w:rPr>
            </w:pPr>
            <w:r w:rsidRPr="00B618C4">
              <w:rPr>
                <w:b w:val="0"/>
                <w:sz w:val="20"/>
                <w:szCs w:val="20"/>
              </w:rPr>
              <w:t>0</w:t>
            </w:r>
          </w:p>
        </w:tc>
        <w:tc>
          <w:tcPr>
            <w:tcW w:w="2438" w:type="dxa"/>
          </w:tcPr>
          <w:p w:rsidR="00402750" w:rsidRPr="00877EE9"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sidRPr="00877EE9">
              <w:rPr>
                <w:sz w:val="20"/>
                <w:szCs w:val="20"/>
              </w:rPr>
              <w:t>No</w:t>
            </w:r>
          </w:p>
        </w:tc>
        <w:tc>
          <w:tcPr>
            <w:tcW w:w="2440" w:type="dxa"/>
          </w:tcPr>
          <w:p w:rsidR="00402750" w:rsidRPr="00877EE9"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sidRPr="00877EE9">
              <w:rPr>
                <w:sz w:val="20"/>
                <w:szCs w:val="20"/>
              </w:rPr>
              <w:t>0</w:t>
            </w:r>
          </w:p>
        </w:tc>
        <w:tc>
          <w:tcPr>
            <w:tcW w:w="2440" w:type="dxa"/>
          </w:tcPr>
          <w:p w:rsidR="00402750" w:rsidRPr="00877EE9" w:rsidRDefault="00D10B5D"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6905</w:t>
            </w:r>
          </w:p>
        </w:tc>
      </w:tr>
      <w:tr w:rsidR="00402750" w:rsidRPr="00877EE9" w:rsidTr="00C54A8A">
        <w:trPr>
          <w:cnfStyle w:val="000000010000" w:firstRow="0" w:lastRow="0" w:firstColumn="0" w:lastColumn="0" w:oddVBand="0" w:evenVBand="0" w:oddHBand="0" w:evenHBand="1"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438" w:type="dxa"/>
          </w:tcPr>
          <w:p w:rsidR="00402750" w:rsidRPr="00B618C4" w:rsidRDefault="00402750" w:rsidP="00C54A8A">
            <w:pPr>
              <w:spacing w:after="0"/>
              <w:jc w:val="both"/>
              <w:rPr>
                <w:b w:val="0"/>
                <w:sz w:val="20"/>
                <w:szCs w:val="20"/>
              </w:rPr>
            </w:pPr>
            <w:r w:rsidRPr="00B618C4">
              <w:rPr>
                <w:b w:val="0"/>
                <w:sz w:val="20"/>
                <w:szCs w:val="20"/>
              </w:rPr>
              <w:t>1</w:t>
            </w:r>
          </w:p>
        </w:tc>
        <w:tc>
          <w:tcPr>
            <w:tcW w:w="2438" w:type="dxa"/>
          </w:tcPr>
          <w:p w:rsidR="00402750" w:rsidRPr="00877EE9"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sidRPr="00877EE9">
              <w:rPr>
                <w:sz w:val="20"/>
                <w:szCs w:val="20"/>
              </w:rPr>
              <w:t>No</w:t>
            </w:r>
          </w:p>
        </w:tc>
        <w:tc>
          <w:tcPr>
            <w:tcW w:w="2440" w:type="dxa"/>
          </w:tcPr>
          <w:p w:rsidR="00402750" w:rsidRPr="00877EE9"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sidRPr="00877EE9">
              <w:rPr>
                <w:sz w:val="20"/>
                <w:szCs w:val="20"/>
              </w:rPr>
              <w:t>1</w:t>
            </w:r>
          </w:p>
        </w:tc>
        <w:tc>
          <w:tcPr>
            <w:tcW w:w="2440" w:type="dxa"/>
          </w:tcPr>
          <w:p w:rsidR="00402750" w:rsidRPr="00877EE9" w:rsidRDefault="00D10B5D"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3345</w:t>
            </w:r>
          </w:p>
        </w:tc>
      </w:tr>
      <w:tr w:rsidR="00402750" w:rsidRPr="00877EE9" w:rsidTr="00C54A8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438" w:type="dxa"/>
          </w:tcPr>
          <w:p w:rsidR="00402750" w:rsidRPr="00B618C4" w:rsidRDefault="00402750" w:rsidP="00C54A8A">
            <w:pPr>
              <w:spacing w:after="0"/>
              <w:jc w:val="both"/>
              <w:rPr>
                <w:b w:val="0"/>
                <w:sz w:val="20"/>
                <w:szCs w:val="20"/>
              </w:rPr>
            </w:pPr>
            <w:r w:rsidRPr="00B618C4">
              <w:rPr>
                <w:b w:val="0"/>
                <w:sz w:val="20"/>
                <w:szCs w:val="20"/>
              </w:rPr>
              <w:t>1</w:t>
            </w:r>
          </w:p>
        </w:tc>
        <w:tc>
          <w:tcPr>
            <w:tcW w:w="2438" w:type="dxa"/>
          </w:tcPr>
          <w:p w:rsidR="00402750" w:rsidRPr="00877EE9"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c>
          <w:tcPr>
            <w:tcW w:w="2440" w:type="dxa"/>
          </w:tcPr>
          <w:p w:rsidR="00402750" w:rsidRPr="00877EE9"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sidRPr="00877EE9">
              <w:rPr>
                <w:sz w:val="20"/>
                <w:szCs w:val="20"/>
              </w:rPr>
              <w:t>2</w:t>
            </w:r>
          </w:p>
        </w:tc>
        <w:tc>
          <w:tcPr>
            <w:tcW w:w="2440" w:type="dxa"/>
          </w:tcPr>
          <w:p w:rsidR="00402750" w:rsidRPr="00877EE9" w:rsidRDefault="00D10B5D"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5876</w:t>
            </w:r>
          </w:p>
        </w:tc>
      </w:tr>
      <w:tr w:rsidR="00402750" w:rsidRPr="00877EE9" w:rsidTr="00C54A8A">
        <w:trPr>
          <w:cnfStyle w:val="000000010000" w:firstRow="0" w:lastRow="0" w:firstColumn="0" w:lastColumn="0" w:oddVBand="0" w:evenVBand="0" w:oddHBand="0" w:evenHBand="1"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438" w:type="dxa"/>
          </w:tcPr>
          <w:p w:rsidR="00402750" w:rsidRPr="00B618C4" w:rsidRDefault="00402750" w:rsidP="00C54A8A">
            <w:pPr>
              <w:spacing w:after="0"/>
              <w:jc w:val="both"/>
              <w:rPr>
                <w:b w:val="0"/>
                <w:sz w:val="20"/>
                <w:szCs w:val="20"/>
              </w:rPr>
            </w:pPr>
            <w:r w:rsidRPr="00B618C4">
              <w:rPr>
                <w:b w:val="0"/>
                <w:sz w:val="20"/>
                <w:szCs w:val="20"/>
              </w:rPr>
              <w:t>2</w:t>
            </w:r>
          </w:p>
        </w:tc>
        <w:tc>
          <w:tcPr>
            <w:tcW w:w="2438" w:type="dxa"/>
          </w:tcPr>
          <w:p w:rsidR="00402750" w:rsidRPr="00877EE9"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sidRPr="00877EE9">
              <w:rPr>
                <w:sz w:val="20"/>
                <w:szCs w:val="20"/>
              </w:rPr>
              <w:t>N/A</w:t>
            </w:r>
          </w:p>
        </w:tc>
        <w:tc>
          <w:tcPr>
            <w:tcW w:w="2440" w:type="dxa"/>
          </w:tcPr>
          <w:p w:rsidR="00402750" w:rsidRPr="00877EE9"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sidRPr="00877EE9">
              <w:rPr>
                <w:sz w:val="20"/>
                <w:szCs w:val="20"/>
              </w:rPr>
              <w:t>3</w:t>
            </w:r>
          </w:p>
        </w:tc>
        <w:tc>
          <w:tcPr>
            <w:tcW w:w="2440" w:type="dxa"/>
          </w:tcPr>
          <w:p w:rsidR="00402750" w:rsidRPr="00877EE9" w:rsidRDefault="00D10B5D"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19274</w:t>
            </w:r>
          </w:p>
        </w:tc>
      </w:tr>
      <w:tr w:rsidR="00402750" w:rsidRPr="00877EE9" w:rsidTr="00C54A8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438" w:type="dxa"/>
          </w:tcPr>
          <w:p w:rsidR="00402750" w:rsidRPr="00B618C4" w:rsidRDefault="00402750" w:rsidP="00C54A8A">
            <w:pPr>
              <w:spacing w:after="0"/>
              <w:jc w:val="both"/>
              <w:rPr>
                <w:b w:val="0"/>
                <w:sz w:val="20"/>
                <w:szCs w:val="20"/>
              </w:rPr>
            </w:pPr>
            <w:r w:rsidRPr="00B618C4">
              <w:rPr>
                <w:b w:val="0"/>
                <w:sz w:val="20"/>
                <w:szCs w:val="20"/>
              </w:rPr>
              <w:t>3</w:t>
            </w:r>
          </w:p>
        </w:tc>
        <w:tc>
          <w:tcPr>
            <w:tcW w:w="2438" w:type="dxa"/>
          </w:tcPr>
          <w:p w:rsidR="00402750" w:rsidRPr="00877EE9"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sidRPr="00877EE9">
              <w:rPr>
                <w:sz w:val="20"/>
                <w:szCs w:val="20"/>
              </w:rPr>
              <w:t>N/A</w:t>
            </w:r>
          </w:p>
        </w:tc>
        <w:tc>
          <w:tcPr>
            <w:tcW w:w="2440" w:type="dxa"/>
          </w:tcPr>
          <w:p w:rsidR="00402750" w:rsidRPr="00877EE9"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sidRPr="00877EE9">
              <w:rPr>
                <w:sz w:val="20"/>
                <w:szCs w:val="20"/>
              </w:rPr>
              <w:t>4</w:t>
            </w:r>
          </w:p>
        </w:tc>
        <w:tc>
          <w:tcPr>
            <w:tcW w:w="2440" w:type="dxa"/>
          </w:tcPr>
          <w:p w:rsidR="00402750" w:rsidRPr="00877EE9" w:rsidRDefault="00D10B5D"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49402</w:t>
            </w:r>
          </w:p>
        </w:tc>
      </w:tr>
      <w:tr w:rsidR="00402750" w:rsidRPr="00877EE9" w:rsidTr="00C54A8A">
        <w:trPr>
          <w:cnfStyle w:val="000000010000" w:firstRow="0" w:lastRow="0" w:firstColumn="0" w:lastColumn="0" w:oddVBand="0" w:evenVBand="0" w:oddHBand="0" w:evenHBand="1"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438" w:type="dxa"/>
          </w:tcPr>
          <w:p w:rsidR="00402750" w:rsidRPr="00B618C4" w:rsidRDefault="00402750" w:rsidP="00C54A8A">
            <w:pPr>
              <w:spacing w:after="0"/>
              <w:jc w:val="both"/>
              <w:rPr>
                <w:b w:val="0"/>
                <w:sz w:val="20"/>
                <w:szCs w:val="20"/>
              </w:rPr>
            </w:pPr>
            <w:r w:rsidRPr="00B618C4">
              <w:rPr>
                <w:b w:val="0"/>
                <w:sz w:val="20"/>
                <w:szCs w:val="20"/>
              </w:rPr>
              <w:t>4</w:t>
            </w:r>
          </w:p>
        </w:tc>
        <w:tc>
          <w:tcPr>
            <w:tcW w:w="2438" w:type="dxa"/>
          </w:tcPr>
          <w:p w:rsidR="00402750" w:rsidRPr="00877EE9"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sidRPr="00877EE9">
              <w:rPr>
                <w:sz w:val="20"/>
                <w:szCs w:val="20"/>
              </w:rPr>
              <w:t>N/A</w:t>
            </w:r>
          </w:p>
        </w:tc>
        <w:tc>
          <w:tcPr>
            <w:tcW w:w="2440" w:type="dxa"/>
          </w:tcPr>
          <w:p w:rsidR="00402750" w:rsidRPr="00877EE9"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sidRPr="00877EE9">
              <w:rPr>
                <w:sz w:val="20"/>
                <w:szCs w:val="20"/>
              </w:rPr>
              <w:t>5</w:t>
            </w:r>
          </w:p>
        </w:tc>
        <w:tc>
          <w:tcPr>
            <w:tcW w:w="2440" w:type="dxa"/>
          </w:tcPr>
          <w:p w:rsidR="00402750" w:rsidRPr="00877EE9" w:rsidRDefault="00D10B5D"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54031</w:t>
            </w:r>
          </w:p>
        </w:tc>
      </w:tr>
    </w:tbl>
    <w:p w:rsidR="000B70CE" w:rsidRDefault="00402750" w:rsidP="00C54A8A">
      <w:pPr>
        <w:pStyle w:val="SourceCaption"/>
      </w:pPr>
      <w:r>
        <w:t>Source: 2013 NHC analysis of 2010/11 NZHT data</w:t>
      </w:r>
      <w:r w:rsidR="00F25F63">
        <w:t>.</w:t>
      </w:r>
      <w:r>
        <w:t xml:space="preserve"> </w:t>
      </w:r>
      <w:bookmarkStart w:id="218" w:name="_Ref365288263"/>
      <w:r>
        <w:t xml:space="preserve">This is a simplistic method used for the purpose of assigning the likely annual costs of a patient’s GP visits.  </w:t>
      </w:r>
      <w:r>
        <w:fldChar w:fldCharType="begin"/>
      </w:r>
      <w:r>
        <w:instrText xml:space="preserve"> REF _Ref370399990 \h </w:instrText>
      </w:r>
      <w:r w:rsidR="00F25F63">
        <w:instrText xml:space="preserve"> \* MERGEFORMAT </w:instrText>
      </w:r>
      <w:r>
        <w:fldChar w:fldCharType="separate"/>
      </w:r>
    </w:p>
    <w:p w:rsidR="00C54B8B" w:rsidRPr="00C54B8B" w:rsidRDefault="000B70CE" w:rsidP="00C54B8B">
      <w:pPr>
        <w:pStyle w:val="SourceCaption"/>
      </w:pPr>
      <w:r>
        <w:rPr>
          <w:noProof/>
        </w:rPr>
        <w:t>Table</w:t>
      </w:r>
      <w:r>
        <w:t xml:space="preserve"> </w:t>
      </w:r>
      <w:r>
        <w:rPr>
          <w:noProof/>
        </w:rPr>
        <w:t>7</w:t>
      </w:r>
      <w:r w:rsidR="00402750">
        <w:fldChar w:fldCharType="end"/>
      </w:r>
      <w:r w:rsidR="00402750">
        <w:t xml:space="preserve"> presents the government cost per GP visit for each of the relevant age groups</w:t>
      </w:r>
      <w:r w:rsidR="00402750">
        <w:fldChar w:fldCharType="begin"/>
      </w:r>
      <w:r w:rsidR="00551E6B">
        <w:instrText xml:space="preserve"> ADDIN EN.CITE &lt;EndNote&gt;&lt;Cite&gt;&lt;Author&gt;Foster&lt;/Author&gt;&lt;Year&gt;2013&lt;/Year&gt;&lt;RecNum&gt;742&lt;/RecNum&gt;&lt;DisplayText&gt;&lt;style face="superscript"&gt;(13)&lt;/style&gt;&lt;/DisplayText&gt;&lt;record&gt;&lt;rec-number&gt;742&lt;/rec-number&gt;&lt;foreign-keys&gt;&lt;key app="EN" db-id="22d09ravozpff5ea9zs509ewttsdavsvwr25"&gt;742&lt;/key&gt;&lt;/foreign-keys&gt;&lt;ref-type name="Report"&gt;27&lt;/ref-type&gt;&lt;contributors&gt;&lt;authors&gt;&lt;author&gt;Foster, R.&lt;/author&gt;&lt;author&gt;Blakely, T.&lt;/author&gt;&lt;author&gt;Wilson, N.&lt;/author&gt;&lt;author&gt;O&amp;apos;Dea, D.&lt;/author&gt;&lt;/authors&gt;&lt;/contributors&gt;&lt;titles&gt;&lt;title&gt;Protocol for Direct Costing of Health Sector Interventions for Economic Modelling (Including Event Pathways): Burden of Disease Epidemiology, Equity and Cost-Effectiveness Programme (BODE3)&lt;/title&gt;&lt;secondary-title&gt;Public Health Monograph Series&lt;/secondary-title&gt;&lt;/titles&gt;&lt;num-vols&gt;27&lt;/num-vols&gt;&lt;dates&gt;&lt;year&gt;2013&lt;/year&gt;&lt;/dates&gt;&lt;pub-location&gt;Wellington&lt;/pub-location&gt;&lt;publisher&gt;Department of Public Health, University of Otago&lt;/publisher&gt;&lt;isbn&gt;12&lt;/isbn&gt;&lt;urls&gt;&lt;/urls&gt;&lt;/record&gt;&lt;/Cite&gt;&lt;/EndNote&gt;</w:instrText>
      </w:r>
      <w:r w:rsidR="00402750">
        <w:fldChar w:fldCharType="separate"/>
      </w:r>
      <w:r w:rsidR="00551E6B" w:rsidRPr="00551E6B">
        <w:rPr>
          <w:noProof/>
          <w:vertAlign w:val="superscript"/>
        </w:rPr>
        <w:t>(</w:t>
      </w:r>
      <w:hyperlink w:anchor="_ENREF_13" w:tooltip="Foster, 2013 #742" w:history="1">
        <w:r w:rsidR="0029347A" w:rsidRPr="00551E6B">
          <w:rPr>
            <w:noProof/>
            <w:vertAlign w:val="superscript"/>
          </w:rPr>
          <w:t>13</w:t>
        </w:r>
      </w:hyperlink>
      <w:r w:rsidR="00551E6B" w:rsidRPr="00551E6B">
        <w:rPr>
          <w:noProof/>
          <w:vertAlign w:val="superscript"/>
        </w:rPr>
        <w:t>)</w:t>
      </w:r>
      <w:r w:rsidR="00402750">
        <w:fldChar w:fldCharType="end"/>
      </w:r>
      <w:r w:rsidR="00402750">
        <w:t>.</w:t>
      </w:r>
      <w:r w:rsidR="00402750" w:rsidRPr="00AC384F">
        <w:t xml:space="preserve"> </w:t>
      </w:r>
      <w:bookmarkStart w:id="219" w:name="_Ref370399990"/>
      <w:bookmarkStart w:id="220" w:name="_Ref370399983"/>
    </w:p>
    <w:p w:rsidR="00C54B8B" w:rsidRDefault="00C54B8B" w:rsidP="00C54B8B">
      <w:pPr>
        <w:jc w:val="both"/>
        <w:rPr>
          <w:rFonts w:cs="Arial"/>
        </w:rPr>
      </w:pPr>
    </w:p>
    <w:p w:rsidR="00C54B8B" w:rsidRPr="00C54B8B" w:rsidRDefault="00C54B8B" w:rsidP="00C54B8B">
      <w:pPr>
        <w:jc w:val="both"/>
        <w:rPr>
          <w:rFonts w:cs="Arial"/>
        </w:rPr>
      </w:pPr>
      <w:r>
        <w:rPr>
          <w:rFonts w:cs="Arial"/>
        </w:rPr>
        <w:t>GP visits are funded by a combination of government capitation-based (per capita) payments and (private) patient fees. The government funding is based on the age, sex, ethnicity and deprivation level of patients enrolled with a primary health organisation</w:t>
      </w:r>
      <w:r>
        <w:rPr>
          <w:rStyle w:val="FootnoteReference"/>
          <w:rFonts w:cs="Arial"/>
        </w:rPr>
        <w:footnoteReference w:id="5"/>
      </w:r>
      <w:r>
        <w:rPr>
          <w:rFonts w:cs="Arial"/>
        </w:rPr>
        <w:t xml:space="preserve">. The </w:t>
      </w:r>
      <w:r w:rsidRPr="001066D3">
        <w:rPr>
          <w:rFonts w:cs="Arial"/>
        </w:rPr>
        <w:t>Burden of Disease Epidemiology, Equity and cost-Effectiveness Programme (BODE</w:t>
      </w:r>
      <w:r w:rsidRPr="001066D3">
        <w:rPr>
          <w:rFonts w:cs="Arial"/>
          <w:vertAlign w:val="superscript"/>
        </w:rPr>
        <w:t>3</w:t>
      </w:r>
      <w:r w:rsidRPr="001066D3">
        <w:rPr>
          <w:rFonts w:cs="Arial"/>
        </w:rPr>
        <w:t>)</w:t>
      </w:r>
      <w:r>
        <w:rPr>
          <w:rFonts w:cs="Arial"/>
        </w:rPr>
        <w:t xml:space="preserve"> have analysed the government capitation funding formulae to produce some figures on </w:t>
      </w:r>
      <w:r w:rsidRPr="001066D3">
        <w:rPr>
          <w:rFonts w:cs="Arial"/>
        </w:rPr>
        <w:t xml:space="preserve">the </w:t>
      </w:r>
      <w:r>
        <w:rPr>
          <w:rFonts w:cs="Arial"/>
        </w:rPr>
        <w:t xml:space="preserve">average </w:t>
      </w:r>
      <w:r w:rsidRPr="001066D3">
        <w:rPr>
          <w:rFonts w:cs="Arial"/>
        </w:rPr>
        <w:t>government cost per GP visit for each of the relevant age groups</w:t>
      </w:r>
      <w:r w:rsidRPr="001066D3">
        <w:rPr>
          <w:rFonts w:cs="Arial"/>
        </w:rPr>
        <w:fldChar w:fldCharType="begin"/>
      </w:r>
      <w:r>
        <w:rPr>
          <w:rFonts w:cs="Arial"/>
        </w:rPr>
        <w:instrText xml:space="preserve"> ADDIN EN.CITE &lt;EndNote&gt;&lt;Cite&gt;&lt;Author&gt;Foster&lt;/Author&gt;&lt;Year&gt;2013&lt;/Year&gt;&lt;RecNum&gt;742&lt;/RecNum&gt;&lt;DisplayText&gt;&lt;style face="superscript"&gt;(13)&lt;/style&gt;&lt;/DisplayText&gt;&lt;record&gt;&lt;rec-number&gt;742&lt;/rec-number&gt;&lt;foreign-keys&gt;&lt;key app="EN" db-id="22d09ravozpff5ea9zs509ewttsdavsvwr25"&gt;742&lt;/key&gt;&lt;/foreign-keys&gt;&lt;ref-type name="Report"&gt;27&lt;/ref-type&gt;&lt;contributors&gt;&lt;authors&gt;&lt;author&gt;Foster, R.&lt;/author&gt;&lt;author&gt;Blakely, T.&lt;/author&gt;&lt;author&gt;Wilson, N.&lt;/author&gt;&lt;author&gt;O&amp;apos;Dea, D.&lt;/author&gt;&lt;/authors&gt;&lt;/contributors&gt;&lt;titles&gt;&lt;title&gt;Protocol for Direct Costing of Health Sector Interventions for Economic Modelling (Including Event Pathways): Burden of Disease Epidemiology, Equity and Cost-Effectiveness Programme (BODE3)&lt;/title&gt;&lt;secondary-title&gt;Public Health Monograph Series&lt;/secondary-title&gt;&lt;/titles&gt;&lt;num-vols&gt;27&lt;/num-vols&gt;&lt;dates&gt;&lt;year&gt;2013&lt;/year&gt;&lt;/dates&gt;&lt;pub-location&gt;Wellington&lt;/pub-location&gt;&lt;publisher&gt;Department of Public Health, University of Otago&lt;/publisher&gt;&lt;isbn&gt;12&lt;/isbn&gt;&lt;urls&gt;&lt;/urls&gt;&lt;/record&gt;&lt;/Cite&gt;&lt;/EndNote&gt;</w:instrText>
      </w:r>
      <w:r w:rsidRPr="001066D3">
        <w:rPr>
          <w:rFonts w:cs="Arial"/>
        </w:rPr>
        <w:fldChar w:fldCharType="separate"/>
      </w:r>
      <w:r w:rsidRPr="00C54B8B">
        <w:rPr>
          <w:rFonts w:cs="Arial"/>
          <w:noProof/>
          <w:vertAlign w:val="superscript"/>
        </w:rPr>
        <w:t>(</w:t>
      </w:r>
      <w:hyperlink w:anchor="_ENREF_13" w:tooltip="Foster, 2013 #742" w:history="1">
        <w:r w:rsidR="0029347A" w:rsidRPr="00C54B8B">
          <w:rPr>
            <w:rFonts w:cs="Arial"/>
            <w:noProof/>
            <w:vertAlign w:val="superscript"/>
          </w:rPr>
          <w:t>13</w:t>
        </w:r>
      </w:hyperlink>
      <w:r w:rsidRPr="00C54B8B">
        <w:rPr>
          <w:rFonts w:cs="Arial"/>
          <w:noProof/>
          <w:vertAlign w:val="superscript"/>
        </w:rPr>
        <w:t>)</w:t>
      </w:r>
      <w:r w:rsidRPr="001066D3">
        <w:rPr>
          <w:rFonts w:cs="Arial"/>
        </w:rPr>
        <w:fldChar w:fldCharType="end"/>
      </w:r>
      <w:r>
        <w:rPr>
          <w:rFonts w:cs="Arial"/>
        </w:rPr>
        <w:t xml:space="preserve"> (</w:t>
      </w:r>
      <w:r>
        <w:rPr>
          <w:rFonts w:cs="Arial"/>
        </w:rPr>
        <w:fldChar w:fldCharType="begin"/>
      </w:r>
      <w:r>
        <w:rPr>
          <w:rFonts w:cs="Arial"/>
        </w:rPr>
        <w:instrText xml:space="preserve"> REF _Ref383612836 \h </w:instrText>
      </w:r>
      <w:r>
        <w:rPr>
          <w:rFonts w:cs="Arial"/>
        </w:rPr>
      </w:r>
      <w:r>
        <w:rPr>
          <w:rFonts w:cs="Arial"/>
        </w:rPr>
        <w:fldChar w:fldCharType="separate"/>
      </w:r>
      <w:r>
        <w:t xml:space="preserve">Table </w:t>
      </w:r>
      <w:r>
        <w:rPr>
          <w:noProof/>
        </w:rPr>
        <w:t>7</w:t>
      </w:r>
      <w:r>
        <w:rPr>
          <w:rFonts w:cs="Arial"/>
        </w:rPr>
        <w:fldChar w:fldCharType="end"/>
      </w:r>
      <w:r>
        <w:rPr>
          <w:rFonts w:cs="Arial"/>
        </w:rPr>
        <w:t>).These are the ‘costs’ we have included for each GP visit.</w:t>
      </w:r>
    </w:p>
    <w:p w:rsidR="00402750" w:rsidRDefault="00402750" w:rsidP="00C54A8A">
      <w:pPr>
        <w:pStyle w:val="Caption"/>
        <w:jc w:val="both"/>
      </w:pPr>
      <w:bookmarkStart w:id="221" w:name="_Ref383612836"/>
      <w:r>
        <w:t xml:space="preserve">Table </w:t>
      </w:r>
      <w:r>
        <w:fldChar w:fldCharType="begin"/>
      </w:r>
      <w:r>
        <w:instrText xml:space="preserve"> SEQ Table \* ARABIC </w:instrText>
      </w:r>
      <w:r>
        <w:fldChar w:fldCharType="separate"/>
      </w:r>
      <w:r w:rsidR="000B70CE">
        <w:rPr>
          <w:noProof/>
        </w:rPr>
        <w:t>7</w:t>
      </w:r>
      <w:r>
        <w:rPr>
          <w:noProof/>
        </w:rPr>
        <w:fldChar w:fldCharType="end"/>
      </w:r>
      <w:bookmarkEnd w:id="218"/>
      <w:bookmarkEnd w:id="219"/>
      <w:bookmarkEnd w:id="221"/>
      <w:r>
        <w:t>: Average total cost per GP visit for enrolled patients by age (excluding GST)</w:t>
      </w:r>
      <w:bookmarkEnd w:id="220"/>
    </w:p>
    <w:tbl>
      <w:tblPr>
        <w:tblStyle w:val="MediumShading1-Accent3"/>
        <w:tblW w:w="0" w:type="auto"/>
        <w:tblCellMar>
          <w:top w:w="28" w:type="dxa"/>
          <w:bottom w:w="28" w:type="dxa"/>
        </w:tblCellMar>
        <w:tblLook w:val="04A0" w:firstRow="1" w:lastRow="0" w:firstColumn="1" w:lastColumn="0" w:noHBand="0" w:noVBand="1"/>
      </w:tblPr>
      <w:tblGrid>
        <w:gridCol w:w="4621"/>
        <w:gridCol w:w="4621"/>
      </w:tblGrid>
      <w:tr w:rsidR="00402750" w:rsidTr="00931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center"/>
          </w:tcPr>
          <w:p w:rsidR="00402750" w:rsidRPr="00B25A57" w:rsidRDefault="00402750" w:rsidP="00C54A8A">
            <w:pPr>
              <w:jc w:val="both"/>
              <w:rPr>
                <w:sz w:val="20"/>
                <w:szCs w:val="20"/>
              </w:rPr>
            </w:pPr>
            <w:r w:rsidRPr="00B25A57">
              <w:rPr>
                <w:sz w:val="20"/>
                <w:szCs w:val="20"/>
              </w:rPr>
              <w:t>Age group</w:t>
            </w:r>
          </w:p>
        </w:tc>
        <w:tc>
          <w:tcPr>
            <w:tcW w:w="4621" w:type="dxa"/>
            <w:vAlign w:val="center"/>
          </w:tcPr>
          <w:p w:rsidR="00402750" w:rsidRPr="00B25A57" w:rsidRDefault="00402750" w:rsidP="00C54A8A">
            <w:pPr>
              <w:jc w:val="both"/>
              <w:cnfStyle w:val="100000000000" w:firstRow="1" w:lastRow="0" w:firstColumn="0" w:lastColumn="0" w:oddVBand="0" w:evenVBand="0" w:oddHBand="0" w:evenHBand="0" w:firstRowFirstColumn="0" w:firstRowLastColumn="0" w:lastRowFirstColumn="0" w:lastRowLastColumn="0"/>
              <w:rPr>
                <w:sz w:val="20"/>
                <w:szCs w:val="20"/>
              </w:rPr>
            </w:pPr>
            <w:r w:rsidRPr="00B25A57">
              <w:rPr>
                <w:sz w:val="20"/>
                <w:szCs w:val="20"/>
              </w:rPr>
              <w:t>Average total government cost per visit ($)</w:t>
            </w:r>
          </w:p>
        </w:tc>
      </w:tr>
      <w:tr w:rsidR="00402750"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center"/>
          </w:tcPr>
          <w:p w:rsidR="00402750" w:rsidRPr="00B25A57" w:rsidRDefault="00402750" w:rsidP="00C54A8A">
            <w:pPr>
              <w:spacing w:after="0"/>
              <w:jc w:val="both"/>
              <w:rPr>
                <w:sz w:val="20"/>
                <w:szCs w:val="20"/>
              </w:rPr>
            </w:pPr>
            <w:r w:rsidRPr="00B25A57">
              <w:rPr>
                <w:sz w:val="20"/>
                <w:szCs w:val="20"/>
              </w:rPr>
              <w:t>25 to 44 years</w:t>
            </w:r>
          </w:p>
        </w:tc>
        <w:tc>
          <w:tcPr>
            <w:tcW w:w="4621" w:type="dxa"/>
            <w:vAlign w:val="center"/>
          </w:tcPr>
          <w:p w:rsidR="00402750" w:rsidRPr="00B25A57"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sidRPr="00B25A57">
              <w:rPr>
                <w:sz w:val="20"/>
                <w:szCs w:val="20"/>
              </w:rPr>
              <w:t>36.92</w:t>
            </w:r>
          </w:p>
        </w:tc>
      </w:tr>
      <w:tr w:rsidR="00402750" w:rsidTr="00931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center"/>
          </w:tcPr>
          <w:p w:rsidR="00402750" w:rsidRPr="00B25A57" w:rsidRDefault="00402750" w:rsidP="00C54A8A">
            <w:pPr>
              <w:spacing w:after="0"/>
              <w:jc w:val="both"/>
              <w:rPr>
                <w:sz w:val="20"/>
                <w:szCs w:val="20"/>
              </w:rPr>
            </w:pPr>
            <w:r w:rsidRPr="00B25A57">
              <w:rPr>
                <w:sz w:val="20"/>
                <w:szCs w:val="20"/>
              </w:rPr>
              <w:t>45 to 64 years</w:t>
            </w:r>
          </w:p>
        </w:tc>
        <w:tc>
          <w:tcPr>
            <w:tcW w:w="4621" w:type="dxa"/>
            <w:vAlign w:val="center"/>
          </w:tcPr>
          <w:p w:rsidR="00402750" w:rsidRPr="00B25A57"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sidRPr="00B25A57">
              <w:rPr>
                <w:sz w:val="20"/>
                <w:szCs w:val="20"/>
              </w:rPr>
              <w:t>35.43</w:t>
            </w:r>
          </w:p>
        </w:tc>
      </w:tr>
      <w:tr w:rsidR="00402750"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vAlign w:val="center"/>
          </w:tcPr>
          <w:p w:rsidR="00402750" w:rsidRPr="00B25A57" w:rsidRDefault="00402750" w:rsidP="00C54A8A">
            <w:pPr>
              <w:spacing w:after="0"/>
              <w:jc w:val="both"/>
              <w:rPr>
                <w:sz w:val="20"/>
                <w:szCs w:val="20"/>
              </w:rPr>
            </w:pPr>
            <w:r w:rsidRPr="00B25A57">
              <w:rPr>
                <w:sz w:val="20"/>
                <w:szCs w:val="20"/>
              </w:rPr>
              <w:t>65 years and over</w:t>
            </w:r>
          </w:p>
        </w:tc>
        <w:tc>
          <w:tcPr>
            <w:tcW w:w="4621" w:type="dxa"/>
            <w:vAlign w:val="center"/>
          </w:tcPr>
          <w:p w:rsidR="00402750" w:rsidRPr="00B25A57"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sidRPr="00B25A57">
              <w:rPr>
                <w:sz w:val="20"/>
                <w:szCs w:val="20"/>
              </w:rPr>
              <w:t>32.96</w:t>
            </w:r>
          </w:p>
        </w:tc>
      </w:tr>
    </w:tbl>
    <w:p w:rsidR="00402750" w:rsidRPr="00B25A57" w:rsidRDefault="00402750" w:rsidP="00C54A8A">
      <w:pPr>
        <w:pStyle w:val="SourceCaption"/>
        <w:jc w:val="both"/>
      </w:pPr>
      <w:r>
        <w:t>Source: Protocol for Direct Costing of Health Sector Interventions for Economic Modelling (Includin</w:t>
      </w:r>
      <w:r w:rsidR="00F25F63">
        <w:t>g Event Pathways): Burden of Di</w:t>
      </w:r>
      <w:r>
        <w:t>sease Epidemiology, Equity and cost-Effectiveness Programme (BODE</w:t>
      </w:r>
      <w:r>
        <w:rPr>
          <w:vertAlign w:val="superscript"/>
        </w:rPr>
        <w:t>3</w:t>
      </w:r>
      <w:r>
        <w:t>)</w:t>
      </w:r>
      <w:r>
        <w:fldChar w:fldCharType="begin"/>
      </w:r>
      <w:r w:rsidR="00551E6B">
        <w:instrText xml:space="preserve"> ADDIN EN.CITE &lt;EndNote&gt;&lt;Cite&gt;&lt;Author&gt;Foster&lt;/Author&gt;&lt;Year&gt;2013&lt;/Year&gt;&lt;RecNum&gt;742&lt;/RecNum&gt;&lt;DisplayText&gt;&lt;style face="superscript"&gt;(13)&lt;/style&gt;&lt;/DisplayText&gt;&lt;record&gt;&lt;rec-number&gt;742&lt;/rec-number&gt;&lt;foreign-keys&gt;&lt;key app="EN" db-id="22d09ravozpff5ea9zs509ewttsdavsvwr25"&gt;742&lt;/key&gt;&lt;/foreign-keys&gt;&lt;ref-type name="Report"&gt;27&lt;/ref-type&gt;&lt;contributors&gt;&lt;authors&gt;&lt;author&gt;Foster, R.&lt;/author&gt;&lt;author&gt;Blakely, T.&lt;/author&gt;&lt;author&gt;Wilson, N.&lt;/author&gt;&lt;author&gt;O&amp;apos;Dea, D.&lt;/author&gt;&lt;/authors&gt;&lt;/contributors&gt;&lt;titles&gt;&lt;title&gt;Protocol for Direct Costing of Health Sector Interventions for Economic Modelling (Including Event Pathways): Burden of Disease Epidemiology, Equity and Cost-Effectiveness Programme (BODE3)&lt;/title&gt;&lt;secondary-title&gt;Public Health Monograph Series&lt;/secondary-title&gt;&lt;/titles&gt;&lt;num-vols&gt;27&lt;/num-vols&gt;&lt;dates&gt;&lt;year&gt;2013&lt;/year&gt;&lt;/dates&gt;&lt;pub-location&gt;Wellington&lt;/pub-location&gt;&lt;publisher&gt;Department of Public Health, University of Otago&lt;/publisher&gt;&lt;isbn&gt;12&lt;/isbn&gt;&lt;urls&gt;&lt;/urls&gt;&lt;/record&gt;&lt;/Cite&gt;&lt;/EndNote&gt;</w:instrText>
      </w:r>
      <w:r>
        <w:fldChar w:fldCharType="separate"/>
      </w:r>
      <w:r w:rsidR="00551E6B" w:rsidRPr="00551E6B">
        <w:rPr>
          <w:noProof/>
          <w:vertAlign w:val="superscript"/>
        </w:rPr>
        <w:t>(</w:t>
      </w:r>
      <w:hyperlink w:anchor="_ENREF_13" w:tooltip="Foster, 2013 #742" w:history="1">
        <w:r w:rsidR="0029347A" w:rsidRPr="00551E6B">
          <w:rPr>
            <w:noProof/>
            <w:vertAlign w:val="superscript"/>
          </w:rPr>
          <w:t>13</w:t>
        </w:r>
      </w:hyperlink>
      <w:r w:rsidR="00551E6B" w:rsidRPr="00551E6B">
        <w:rPr>
          <w:noProof/>
          <w:vertAlign w:val="superscript"/>
        </w:rPr>
        <w:t>)</w:t>
      </w:r>
      <w:r>
        <w:fldChar w:fldCharType="end"/>
      </w:r>
    </w:p>
    <w:p w:rsidR="00E222C2" w:rsidRDefault="00E222C2" w:rsidP="00C54A8A">
      <w:pPr>
        <w:jc w:val="both"/>
      </w:pPr>
      <w:bookmarkStart w:id="222" w:name="_Ref365299547"/>
      <w:bookmarkStart w:id="223" w:name="_Toc369253761"/>
      <w:bookmarkStart w:id="224" w:name="_Toc370401405"/>
      <w:bookmarkStart w:id="225" w:name="_Toc370477247"/>
      <w:bookmarkStart w:id="226" w:name="_Toc371949686"/>
      <w:bookmarkStart w:id="227" w:name="_Toc382225538"/>
      <w:bookmarkStart w:id="228" w:name="_Toc382475520"/>
    </w:p>
    <w:p w:rsidR="00402750" w:rsidRPr="003D17D6" w:rsidRDefault="00402750" w:rsidP="00C54A8A">
      <w:pPr>
        <w:pStyle w:val="Head3-nonumber"/>
        <w:jc w:val="both"/>
      </w:pPr>
      <w:bookmarkStart w:id="229" w:name="_Toc382554907"/>
      <w:bookmarkStart w:id="230" w:name="_Toc382574761"/>
      <w:r w:rsidRPr="003D17D6">
        <w:t>Outpatient and E</w:t>
      </w:r>
      <w:r w:rsidR="00E86EB4">
        <w:t>mergency Department</w:t>
      </w:r>
      <w:r w:rsidRPr="003D17D6">
        <w:t xml:space="preserve"> visits</w:t>
      </w:r>
      <w:bookmarkEnd w:id="222"/>
      <w:bookmarkEnd w:id="223"/>
      <w:bookmarkEnd w:id="224"/>
      <w:bookmarkEnd w:id="225"/>
      <w:bookmarkEnd w:id="226"/>
      <w:bookmarkEnd w:id="227"/>
      <w:bookmarkEnd w:id="228"/>
      <w:bookmarkEnd w:id="229"/>
      <w:bookmarkEnd w:id="230"/>
    </w:p>
    <w:p w:rsidR="00402750" w:rsidRDefault="00402750" w:rsidP="00C54A8A">
      <w:pPr>
        <w:jc w:val="both"/>
      </w:pPr>
      <w:r w:rsidRPr="00E222C2">
        <w:t xml:space="preserve">The National Non-Admitted Patient Collection (NNPAC) includes data on outpatient and emergency department </w:t>
      </w:r>
      <w:r w:rsidR="00E86EB4">
        <w:t xml:space="preserve">(ED) </w:t>
      </w:r>
      <w:r w:rsidRPr="00E222C2">
        <w:t xml:space="preserve">visits. </w:t>
      </w:r>
      <w:r w:rsidR="00E86EB4">
        <w:t>ED</w:t>
      </w:r>
      <w:r w:rsidRPr="00E222C2">
        <w:t xml:space="preserve"> visits that result in an admission are priced as part of the hospita</w:t>
      </w:r>
      <w:r w:rsidRPr="00E86EB4">
        <w:t xml:space="preserve">l admission using the WIESNZ10 caseweight described in </w:t>
      </w:r>
      <w:r w:rsidR="00E86EB4">
        <w:t xml:space="preserve">the Hospital Events </w:t>
      </w:r>
      <w:r w:rsidRPr="00E86EB4">
        <w:t>Section</w:t>
      </w:r>
      <w:r>
        <w:t xml:space="preserve"> above. </w:t>
      </w:r>
    </w:p>
    <w:p w:rsidR="000B70CE" w:rsidRDefault="00402750" w:rsidP="000B70CE">
      <w:r>
        <w:t xml:space="preserve">The Nationwide Service Framework Library Purchase Unit Data Dictionary Version 16, 2010/11 was reviewed for COPD-relevant purchase unit codes, including emergency department visits and palliative care. These are outlined in </w:t>
      </w:r>
      <w:r>
        <w:fldChar w:fldCharType="begin"/>
      </w:r>
      <w:r>
        <w:instrText xml:space="preserve"> REF _Ref365296376 \h </w:instrText>
      </w:r>
      <w:r w:rsidR="00E222C2">
        <w:instrText xml:space="preserve"> \* MERGEFORMAT </w:instrText>
      </w:r>
      <w:r>
        <w:fldChar w:fldCharType="separate"/>
      </w:r>
    </w:p>
    <w:p w:rsidR="00402750" w:rsidRDefault="000B70CE" w:rsidP="00C54A8A">
      <w:pPr>
        <w:jc w:val="both"/>
      </w:pPr>
      <w:r>
        <w:t>Table</w:t>
      </w:r>
      <w:r>
        <w:rPr>
          <w:noProof/>
        </w:rPr>
        <w:t xml:space="preserve"> 8</w:t>
      </w:r>
      <w:r w:rsidR="00402750">
        <w:fldChar w:fldCharType="end"/>
      </w:r>
      <w:r w:rsidR="00402750">
        <w:t>.</w:t>
      </w:r>
      <w:r w:rsidR="00583EE6">
        <w:t xml:space="preserve">  For home oxygen and palliative care</w:t>
      </w:r>
      <w:r w:rsidR="00E97083">
        <w:t xml:space="preserve"> (DOM102 and M80005)</w:t>
      </w:r>
      <w:r w:rsidR="00583EE6">
        <w:t xml:space="preserve">, these costs were counted once per patient per year as they contain </w:t>
      </w:r>
      <w:r w:rsidR="00E97083">
        <w:t>a yearly purchase unit price</w:t>
      </w:r>
      <w:r w:rsidR="00583EE6">
        <w:t xml:space="preserve"> as opposed to one applied per visit.</w:t>
      </w:r>
    </w:p>
    <w:p w:rsidR="000B70CE" w:rsidRDefault="00402750" w:rsidP="000B70CE">
      <w:r>
        <w:t>It is important to note that not all the purchase unit codes are mandatory for DHBs to report (</w:t>
      </w:r>
      <w:r>
        <w:fldChar w:fldCharType="begin"/>
      </w:r>
      <w:r>
        <w:instrText xml:space="preserve"> REF _Ref365296376 \h </w:instrText>
      </w:r>
      <w:r w:rsidR="00E222C2">
        <w:instrText xml:space="preserve"> \* MERGEFORMAT </w:instrText>
      </w:r>
      <w:r>
        <w:fldChar w:fldCharType="separate"/>
      </w:r>
    </w:p>
    <w:p w:rsidR="00402750" w:rsidRDefault="000B70CE" w:rsidP="00C54A8A">
      <w:pPr>
        <w:jc w:val="both"/>
      </w:pPr>
      <w:r>
        <w:t xml:space="preserve">Table </w:t>
      </w:r>
      <w:r>
        <w:rPr>
          <w:noProof/>
        </w:rPr>
        <w:t>8</w:t>
      </w:r>
      <w:r w:rsidR="00402750">
        <w:fldChar w:fldCharType="end"/>
      </w:r>
      <w:r w:rsidR="00402750">
        <w:t>). This means that for some purchase units which we have data for, the data may not be complete as only some DHBs may have reported on these purchase units.</w:t>
      </w:r>
    </w:p>
    <w:p w:rsidR="00402750" w:rsidRDefault="00402750" w:rsidP="00C54A8A">
      <w:pPr>
        <w:jc w:val="both"/>
      </w:pPr>
      <w:r>
        <w:t>Each of the DHBs has a Production Plan (previously known as a Price Volume Schedule) which shows the planned price and volume for each purchase unit code for the coming year. These prices were mapped to each of the NNPAC events by DHB. Where no price was available from the production plan for a DHB the price used was as follows:</w:t>
      </w:r>
    </w:p>
    <w:p w:rsidR="00402750" w:rsidRPr="00766C54" w:rsidRDefault="00402750" w:rsidP="00C54A8A">
      <w:pPr>
        <w:pStyle w:val="ListParagraph"/>
        <w:numPr>
          <w:ilvl w:val="0"/>
          <w:numId w:val="9"/>
        </w:numPr>
        <w:jc w:val="both"/>
        <w:rPr>
          <w:szCs w:val="22"/>
        </w:rPr>
      </w:pPr>
      <w:r w:rsidRPr="00766C54">
        <w:rPr>
          <w:szCs w:val="22"/>
        </w:rPr>
        <w:t>the national price.</w:t>
      </w:r>
    </w:p>
    <w:p w:rsidR="00402750" w:rsidRPr="00766C54" w:rsidRDefault="00402750" w:rsidP="00C54A8A">
      <w:pPr>
        <w:pStyle w:val="ListParagraph"/>
        <w:numPr>
          <w:ilvl w:val="0"/>
          <w:numId w:val="9"/>
        </w:numPr>
        <w:jc w:val="both"/>
        <w:rPr>
          <w:szCs w:val="22"/>
        </w:rPr>
      </w:pPr>
      <w:r w:rsidRPr="00766C54">
        <w:rPr>
          <w:szCs w:val="22"/>
        </w:rPr>
        <w:t>the modal planned price of DHBs which had that purchase unit where there was no national price.</w:t>
      </w:r>
    </w:p>
    <w:p w:rsidR="00402750" w:rsidRDefault="00402750" w:rsidP="00C54A8A">
      <w:pPr>
        <w:pStyle w:val="ListParagraph"/>
        <w:numPr>
          <w:ilvl w:val="0"/>
          <w:numId w:val="9"/>
        </w:numPr>
        <w:jc w:val="both"/>
        <w:rPr>
          <w:szCs w:val="22"/>
        </w:rPr>
      </w:pPr>
      <w:r w:rsidRPr="00766C54">
        <w:rPr>
          <w:szCs w:val="22"/>
        </w:rPr>
        <w:t>the average planned price of DHBs which had that purchase unit where the price was a ‘bulk’ price and varied by DHB.</w:t>
      </w:r>
    </w:p>
    <w:p w:rsidR="002C2B78" w:rsidRDefault="00402750" w:rsidP="00937FCB">
      <w:pPr>
        <w:jc w:val="both"/>
        <w:rPr>
          <w:lang w:val="en-GB" w:eastAsia="en-GB"/>
        </w:rPr>
      </w:pPr>
      <w:r>
        <w:rPr>
          <w:lang w:val="en-GB" w:eastAsia="en-GB"/>
        </w:rPr>
        <w:t>The palliative care purchase units were only included if the patient died of COPD.</w:t>
      </w:r>
      <w:bookmarkStart w:id="231" w:name="_Ref365296376"/>
    </w:p>
    <w:p w:rsidR="00C54B8B" w:rsidRDefault="00C54B8B" w:rsidP="00937FCB">
      <w:pPr>
        <w:jc w:val="both"/>
        <w:rPr>
          <w:lang w:val="en-GB" w:eastAsia="en-GB"/>
        </w:rPr>
      </w:pPr>
    </w:p>
    <w:p w:rsidR="00C54B8B" w:rsidRDefault="00C54B8B" w:rsidP="00937FCB">
      <w:pPr>
        <w:jc w:val="both"/>
        <w:rPr>
          <w:lang w:val="en-GB" w:eastAsia="en-GB"/>
        </w:rPr>
      </w:pPr>
    </w:p>
    <w:p w:rsidR="00C54B8B" w:rsidRDefault="00C54B8B" w:rsidP="00937FCB">
      <w:pPr>
        <w:jc w:val="both"/>
        <w:rPr>
          <w:lang w:val="en-GB" w:eastAsia="en-GB"/>
        </w:rPr>
      </w:pPr>
    </w:p>
    <w:p w:rsidR="00C54B8B" w:rsidRDefault="00C54B8B" w:rsidP="00937FCB">
      <w:pPr>
        <w:jc w:val="both"/>
        <w:rPr>
          <w:lang w:val="en-GB" w:eastAsia="en-GB"/>
        </w:rPr>
      </w:pPr>
    </w:p>
    <w:p w:rsidR="00C54B8B" w:rsidRPr="00937FCB" w:rsidRDefault="00C54B8B" w:rsidP="00937FCB">
      <w:pPr>
        <w:jc w:val="both"/>
        <w:rPr>
          <w:lang w:val="en-GB" w:eastAsia="en-GB"/>
        </w:rPr>
      </w:pPr>
    </w:p>
    <w:p w:rsidR="00402750" w:rsidRDefault="00402750" w:rsidP="00C54A8A">
      <w:pPr>
        <w:pStyle w:val="Caption"/>
        <w:jc w:val="both"/>
      </w:pPr>
      <w:r>
        <w:t xml:space="preserve">Table </w:t>
      </w:r>
      <w:r>
        <w:fldChar w:fldCharType="begin"/>
      </w:r>
      <w:r>
        <w:instrText xml:space="preserve"> SEQ Table \* ARABIC </w:instrText>
      </w:r>
      <w:r>
        <w:fldChar w:fldCharType="separate"/>
      </w:r>
      <w:r w:rsidR="000B70CE">
        <w:rPr>
          <w:noProof/>
        </w:rPr>
        <w:t>8</w:t>
      </w:r>
      <w:r>
        <w:rPr>
          <w:noProof/>
        </w:rPr>
        <w:fldChar w:fldCharType="end"/>
      </w:r>
      <w:bookmarkEnd w:id="231"/>
      <w:r>
        <w:t>: COPD-relevant purchase unit codes, national prices and number of COPD patients, 2010/11</w:t>
      </w:r>
    </w:p>
    <w:tbl>
      <w:tblPr>
        <w:tblStyle w:val="MediumShading1-Accent3"/>
        <w:tblW w:w="10315" w:type="dxa"/>
        <w:tblInd w:w="-459" w:type="dxa"/>
        <w:tblLayout w:type="fixed"/>
        <w:tblLook w:val="04A0" w:firstRow="1" w:lastRow="0" w:firstColumn="1" w:lastColumn="0" w:noHBand="0" w:noVBand="1"/>
      </w:tblPr>
      <w:tblGrid>
        <w:gridCol w:w="1269"/>
        <w:gridCol w:w="1566"/>
        <w:gridCol w:w="3261"/>
        <w:gridCol w:w="1242"/>
        <w:gridCol w:w="993"/>
        <w:gridCol w:w="850"/>
        <w:gridCol w:w="1134"/>
      </w:tblGrid>
      <w:tr w:rsidR="00402750" w:rsidRPr="000203E3" w:rsidTr="00931F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sz w:val="20"/>
                <w:szCs w:val="20"/>
                <w:vertAlign w:val="superscript"/>
              </w:rPr>
            </w:pPr>
            <w:r w:rsidRPr="000203E3">
              <w:rPr>
                <w:sz w:val="20"/>
                <w:szCs w:val="20"/>
              </w:rPr>
              <w:t>Purchase Unit Code</w:t>
            </w:r>
            <w:r>
              <w:rPr>
                <w:sz w:val="20"/>
                <w:szCs w:val="20"/>
                <w:vertAlign w:val="superscript"/>
              </w:rPr>
              <w:t>a</w:t>
            </w:r>
          </w:p>
        </w:tc>
        <w:tc>
          <w:tcPr>
            <w:tcW w:w="1566" w:type="dxa"/>
          </w:tcPr>
          <w:p w:rsidR="00402750" w:rsidRPr="000203E3" w:rsidRDefault="00402750" w:rsidP="00C54A8A">
            <w:pPr>
              <w:spacing w:after="0"/>
              <w:jc w:val="both"/>
              <w:cnfStyle w:val="100000000000" w:firstRow="1" w:lastRow="0" w:firstColumn="0" w:lastColumn="0" w:oddVBand="0" w:evenVBand="0" w:oddHBand="0" w:evenHBand="0" w:firstRowFirstColumn="0" w:firstRowLastColumn="0" w:lastRowFirstColumn="0" w:lastRowLastColumn="0"/>
              <w:rPr>
                <w:sz w:val="20"/>
                <w:szCs w:val="20"/>
                <w:vertAlign w:val="superscript"/>
              </w:rPr>
            </w:pPr>
            <w:r w:rsidRPr="000203E3">
              <w:rPr>
                <w:sz w:val="20"/>
                <w:szCs w:val="20"/>
              </w:rPr>
              <w:t>Description</w:t>
            </w:r>
            <w:r>
              <w:rPr>
                <w:sz w:val="20"/>
                <w:szCs w:val="20"/>
                <w:vertAlign w:val="superscript"/>
              </w:rPr>
              <w:t>a</w:t>
            </w:r>
          </w:p>
        </w:tc>
        <w:tc>
          <w:tcPr>
            <w:tcW w:w="3261" w:type="dxa"/>
          </w:tcPr>
          <w:p w:rsidR="00402750" w:rsidRPr="000203E3" w:rsidRDefault="00402750" w:rsidP="00C54A8A">
            <w:pPr>
              <w:spacing w:after="0"/>
              <w:jc w:val="both"/>
              <w:cnfStyle w:val="100000000000" w:firstRow="1" w:lastRow="0" w:firstColumn="0" w:lastColumn="0" w:oddVBand="0" w:evenVBand="0" w:oddHBand="0" w:evenHBand="0" w:firstRowFirstColumn="0" w:firstRowLastColumn="0" w:lastRowFirstColumn="0" w:lastRowLastColumn="0"/>
              <w:rPr>
                <w:sz w:val="20"/>
                <w:szCs w:val="20"/>
                <w:vertAlign w:val="superscript"/>
              </w:rPr>
            </w:pPr>
            <w:r w:rsidRPr="000203E3">
              <w:rPr>
                <w:sz w:val="20"/>
                <w:szCs w:val="20"/>
              </w:rPr>
              <w:t>Definition</w:t>
            </w:r>
            <w:r>
              <w:rPr>
                <w:sz w:val="20"/>
                <w:szCs w:val="20"/>
                <w:vertAlign w:val="superscript"/>
              </w:rPr>
              <w:t>a</w:t>
            </w:r>
          </w:p>
        </w:tc>
        <w:tc>
          <w:tcPr>
            <w:tcW w:w="1242" w:type="dxa"/>
          </w:tcPr>
          <w:p w:rsidR="00402750" w:rsidRPr="000203E3" w:rsidRDefault="00402750" w:rsidP="00C54A8A">
            <w:pPr>
              <w:spacing w:after="0"/>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Mandatory to report</w:t>
            </w:r>
          </w:p>
        </w:tc>
        <w:tc>
          <w:tcPr>
            <w:tcW w:w="993" w:type="dxa"/>
          </w:tcPr>
          <w:p w:rsidR="00402750" w:rsidRPr="000203E3" w:rsidRDefault="00402750" w:rsidP="00C54A8A">
            <w:pPr>
              <w:spacing w:after="0"/>
              <w:jc w:val="both"/>
              <w:cnfStyle w:val="100000000000" w:firstRow="1" w:lastRow="0" w:firstColumn="0" w:lastColumn="0" w:oddVBand="0" w:evenVBand="0" w:oddHBand="0" w:evenHBand="0" w:firstRowFirstColumn="0" w:firstRowLastColumn="0" w:lastRowFirstColumn="0" w:lastRowLastColumn="0"/>
              <w:rPr>
                <w:sz w:val="20"/>
                <w:szCs w:val="20"/>
                <w:vertAlign w:val="superscript"/>
              </w:rPr>
            </w:pPr>
            <w:r w:rsidRPr="000203E3">
              <w:rPr>
                <w:sz w:val="20"/>
                <w:szCs w:val="20"/>
              </w:rPr>
              <w:t>Price</w:t>
            </w:r>
            <w:r>
              <w:rPr>
                <w:sz w:val="20"/>
                <w:szCs w:val="20"/>
              </w:rPr>
              <w:t xml:space="preserve"> ($)</w:t>
            </w:r>
            <w:r>
              <w:rPr>
                <w:sz w:val="20"/>
                <w:szCs w:val="20"/>
                <w:vertAlign w:val="superscript"/>
              </w:rPr>
              <w:t>b</w:t>
            </w:r>
          </w:p>
        </w:tc>
        <w:tc>
          <w:tcPr>
            <w:tcW w:w="850" w:type="dxa"/>
          </w:tcPr>
          <w:p w:rsidR="00402750" w:rsidRPr="00807BF0" w:rsidRDefault="00402750" w:rsidP="00C54A8A">
            <w:pPr>
              <w:spacing w:after="0"/>
              <w:jc w:val="both"/>
              <w:cnfStyle w:val="100000000000" w:firstRow="1" w:lastRow="0" w:firstColumn="0" w:lastColumn="0" w:oddVBand="0" w:evenVBand="0" w:oddHBand="0" w:evenHBand="0" w:firstRowFirstColumn="0" w:firstRowLastColumn="0" w:lastRowFirstColumn="0" w:lastRowLastColumn="0"/>
              <w:rPr>
                <w:sz w:val="20"/>
                <w:szCs w:val="20"/>
                <w:vertAlign w:val="superscript"/>
              </w:rPr>
            </w:pPr>
            <w:r>
              <w:rPr>
                <w:sz w:val="20"/>
                <w:szCs w:val="20"/>
              </w:rPr>
              <w:t xml:space="preserve">No. of </w:t>
            </w:r>
            <w:r w:rsidR="00E86EB4">
              <w:rPr>
                <w:sz w:val="20"/>
                <w:szCs w:val="20"/>
              </w:rPr>
              <w:t>v</w:t>
            </w:r>
            <w:r>
              <w:rPr>
                <w:sz w:val="20"/>
                <w:szCs w:val="20"/>
              </w:rPr>
              <w:t>isits</w:t>
            </w:r>
            <w:r>
              <w:rPr>
                <w:sz w:val="20"/>
                <w:szCs w:val="20"/>
                <w:vertAlign w:val="superscript"/>
              </w:rPr>
              <w:t>c</w:t>
            </w:r>
          </w:p>
        </w:tc>
        <w:tc>
          <w:tcPr>
            <w:tcW w:w="1134" w:type="dxa"/>
          </w:tcPr>
          <w:p w:rsidR="00402750" w:rsidRPr="000203E3" w:rsidRDefault="00402750" w:rsidP="00C54A8A">
            <w:pPr>
              <w:spacing w:after="0"/>
              <w:jc w:val="both"/>
              <w:cnfStyle w:val="100000000000" w:firstRow="1" w:lastRow="0" w:firstColumn="0" w:lastColumn="0" w:oddVBand="0" w:evenVBand="0" w:oddHBand="0" w:evenHBand="0" w:firstRowFirstColumn="0" w:firstRowLastColumn="0" w:lastRowFirstColumn="0" w:lastRowLastColumn="0"/>
              <w:rPr>
                <w:sz w:val="20"/>
                <w:szCs w:val="20"/>
              </w:rPr>
            </w:pPr>
            <w:r w:rsidRPr="000203E3">
              <w:rPr>
                <w:sz w:val="20"/>
                <w:szCs w:val="20"/>
              </w:rPr>
              <w:t>No. of COPD patients</w:t>
            </w:r>
            <w:r>
              <w:rPr>
                <w:sz w:val="20"/>
                <w:szCs w:val="20"/>
                <w:vertAlign w:val="superscript"/>
              </w:rPr>
              <w:t>c</w:t>
            </w:r>
            <w:r w:rsidRPr="000203E3">
              <w:rPr>
                <w:sz w:val="20"/>
                <w:szCs w:val="20"/>
              </w:rPr>
              <w:t xml:space="preserve"> </w:t>
            </w:r>
          </w:p>
        </w:tc>
      </w:tr>
      <w:tr w:rsidR="00402750" w:rsidRPr="000203E3"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Default="00402750" w:rsidP="00C54A8A">
            <w:pPr>
              <w:jc w:val="both"/>
              <w:rPr>
                <w:rFonts w:cs="Arial"/>
                <w:sz w:val="20"/>
                <w:szCs w:val="20"/>
              </w:rPr>
            </w:pPr>
            <w:r>
              <w:rPr>
                <w:rFonts w:cs="Arial"/>
                <w:sz w:val="20"/>
                <w:szCs w:val="20"/>
              </w:rPr>
              <w:t>ED02001</w:t>
            </w:r>
          </w:p>
        </w:tc>
        <w:tc>
          <w:tcPr>
            <w:tcW w:w="1566"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Emergency Dept - Level 2</w:t>
            </w:r>
          </w:p>
        </w:tc>
        <w:tc>
          <w:tcPr>
            <w:tcW w:w="3261"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Emergency service in small hospital with designated assessment and treatment areas.  Minor injuries and ailments can be treated.   Resuscitation and limited stabilisation capacity.  Nursing staff available to cover emergency presentations.  Visiting medical officer is on call.  May be local trauma service.</w:t>
            </w:r>
          </w:p>
        </w:tc>
        <w:tc>
          <w:tcPr>
            <w:tcW w:w="1242"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c>
          <w:tcPr>
            <w:tcW w:w="993" w:type="dxa"/>
          </w:tcPr>
          <w:p w:rsidR="00402750" w:rsidRDefault="00402750" w:rsidP="00C54A8A">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 263.39 </w:t>
            </w:r>
          </w:p>
        </w:tc>
        <w:tc>
          <w:tcPr>
            <w:tcW w:w="850" w:type="dxa"/>
          </w:tcPr>
          <w:p w:rsidR="00402750" w:rsidRPr="000203E3" w:rsidRDefault="00D10B5D"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1395</w:t>
            </w:r>
          </w:p>
        </w:tc>
        <w:tc>
          <w:tcPr>
            <w:tcW w:w="1134" w:type="dxa"/>
          </w:tcPr>
          <w:p w:rsidR="00402750" w:rsidRPr="000203E3" w:rsidRDefault="00D10B5D"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850</w:t>
            </w:r>
          </w:p>
        </w:tc>
      </w:tr>
      <w:tr w:rsidR="00402750" w:rsidRPr="000203E3" w:rsidTr="00931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Default="00402750" w:rsidP="00C54A8A">
            <w:pPr>
              <w:jc w:val="both"/>
              <w:rPr>
                <w:rFonts w:cs="Arial"/>
                <w:sz w:val="20"/>
                <w:szCs w:val="20"/>
              </w:rPr>
            </w:pPr>
            <w:r>
              <w:rPr>
                <w:rFonts w:cs="Arial"/>
                <w:sz w:val="20"/>
                <w:szCs w:val="20"/>
              </w:rPr>
              <w:t>ED03001</w:t>
            </w:r>
          </w:p>
        </w:tc>
        <w:tc>
          <w:tcPr>
            <w:tcW w:w="1566"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Emergency Dept - Level 3</w:t>
            </w:r>
          </w:p>
        </w:tc>
        <w:tc>
          <w:tcPr>
            <w:tcW w:w="3261"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As for level 2 plus: designated nursing staff available on 24-hour basis.  Has unit manager.  Some registered nurses have completed or are undertaking relevant post-basic studies. 24-hour access to medical officers on site or available within 10 minutes. Specialists in general surgery, anaesthetics, paediatrics and medicine available for consultation.  Full resuscitation facilities in separate area.  Access to allied health professionals and liaison psychiatry. </w:t>
            </w:r>
          </w:p>
        </w:tc>
        <w:tc>
          <w:tcPr>
            <w:tcW w:w="1242"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Yes</w:t>
            </w:r>
          </w:p>
        </w:tc>
        <w:tc>
          <w:tcPr>
            <w:tcW w:w="993" w:type="dxa"/>
          </w:tcPr>
          <w:p w:rsidR="00402750" w:rsidRDefault="00402750" w:rsidP="00C54A8A">
            <w:pPr>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263.39 </w:t>
            </w:r>
          </w:p>
        </w:tc>
        <w:tc>
          <w:tcPr>
            <w:tcW w:w="850" w:type="dxa"/>
          </w:tcPr>
          <w:p w:rsidR="00402750" w:rsidRPr="000203E3" w:rsidRDefault="00D10B5D"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3392</w:t>
            </w:r>
          </w:p>
        </w:tc>
        <w:tc>
          <w:tcPr>
            <w:tcW w:w="1134" w:type="dxa"/>
          </w:tcPr>
          <w:p w:rsidR="00402750" w:rsidRPr="000203E3" w:rsidRDefault="00D10B5D"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2001</w:t>
            </w:r>
          </w:p>
        </w:tc>
      </w:tr>
      <w:tr w:rsidR="00402750" w:rsidRPr="000203E3"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Default="00402750" w:rsidP="00C54A8A">
            <w:pPr>
              <w:jc w:val="both"/>
              <w:rPr>
                <w:rFonts w:cs="Arial"/>
                <w:sz w:val="20"/>
                <w:szCs w:val="20"/>
              </w:rPr>
            </w:pPr>
            <w:r>
              <w:rPr>
                <w:rFonts w:cs="Arial"/>
                <w:sz w:val="20"/>
                <w:szCs w:val="20"/>
              </w:rPr>
              <w:t>ED04001</w:t>
            </w:r>
          </w:p>
        </w:tc>
        <w:tc>
          <w:tcPr>
            <w:tcW w:w="1566"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Emergency Dept - Level 4</w:t>
            </w:r>
          </w:p>
        </w:tc>
        <w:tc>
          <w:tcPr>
            <w:tcW w:w="3261"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As for level 3 plus: can manage most emergencies.  Purpose-designed area.  Full-time director, experienced medical officer(s) and nursing staff on site 24 hours.  Experienced nursing staff on site 24 hours.  Specialists in general surgery, paediatrics, orthopaedics, anaesthetics and medicine on call 24 hours.  May send nursing and medical teams to disaster site.  Participation in regional adult retrieval system is desirable.  May be an area trauma service.</w:t>
            </w:r>
          </w:p>
        </w:tc>
        <w:tc>
          <w:tcPr>
            <w:tcW w:w="1242"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c>
          <w:tcPr>
            <w:tcW w:w="993"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263.</w:t>
            </w:r>
            <w:r w:rsidRPr="00301E0E">
              <w:rPr>
                <w:sz w:val="20"/>
                <w:szCs w:val="20"/>
              </w:rPr>
              <w:t>39</w:t>
            </w:r>
            <w:r>
              <w:rPr>
                <w:rFonts w:cs="Arial"/>
                <w:sz w:val="20"/>
                <w:szCs w:val="20"/>
              </w:rPr>
              <w:t xml:space="preserve"> </w:t>
            </w:r>
          </w:p>
        </w:tc>
        <w:tc>
          <w:tcPr>
            <w:tcW w:w="850" w:type="dxa"/>
          </w:tcPr>
          <w:p w:rsidR="00402750" w:rsidRPr="000203E3" w:rsidRDefault="009540D3"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10484</w:t>
            </w:r>
          </w:p>
        </w:tc>
        <w:tc>
          <w:tcPr>
            <w:tcW w:w="1134" w:type="dxa"/>
          </w:tcPr>
          <w:p w:rsidR="00402750" w:rsidRPr="000203E3" w:rsidRDefault="009540D3"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6605</w:t>
            </w:r>
          </w:p>
        </w:tc>
      </w:tr>
      <w:tr w:rsidR="00402750" w:rsidRPr="000203E3" w:rsidTr="00931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Default="00402750" w:rsidP="00C54A8A">
            <w:pPr>
              <w:jc w:val="both"/>
              <w:rPr>
                <w:rFonts w:cs="Arial"/>
                <w:sz w:val="20"/>
                <w:szCs w:val="20"/>
              </w:rPr>
            </w:pPr>
            <w:r>
              <w:rPr>
                <w:rFonts w:cs="Arial"/>
                <w:sz w:val="20"/>
                <w:szCs w:val="20"/>
              </w:rPr>
              <w:t>ED05001</w:t>
            </w:r>
          </w:p>
        </w:tc>
        <w:tc>
          <w:tcPr>
            <w:tcW w:w="1566"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Emergency Dept - Level 5</w:t>
            </w:r>
          </w:p>
        </w:tc>
        <w:tc>
          <w:tcPr>
            <w:tcW w:w="3261"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As for level 4 plus: can manage all emergencies and provide definitive care for most.  Access to specialist clinical nurse is desirable.  Has undergraduate teaching and undertakes research.  Has designated registrar.  May have neurology service. </w:t>
            </w:r>
          </w:p>
        </w:tc>
        <w:tc>
          <w:tcPr>
            <w:tcW w:w="1242"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Yes</w:t>
            </w:r>
          </w:p>
        </w:tc>
        <w:tc>
          <w:tcPr>
            <w:tcW w:w="993" w:type="dxa"/>
          </w:tcPr>
          <w:p w:rsidR="00402750" w:rsidRDefault="00402750" w:rsidP="00C54A8A">
            <w:pPr>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330.18 </w:t>
            </w:r>
          </w:p>
        </w:tc>
        <w:tc>
          <w:tcPr>
            <w:tcW w:w="850" w:type="dxa"/>
          </w:tcPr>
          <w:p w:rsidR="00402750" w:rsidRPr="000203E3" w:rsidRDefault="009540D3"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2781</w:t>
            </w:r>
          </w:p>
        </w:tc>
        <w:tc>
          <w:tcPr>
            <w:tcW w:w="1134" w:type="dxa"/>
          </w:tcPr>
          <w:p w:rsidR="00402750" w:rsidRPr="000203E3" w:rsidRDefault="009540D3"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1918</w:t>
            </w:r>
          </w:p>
        </w:tc>
      </w:tr>
      <w:tr w:rsidR="00402750" w:rsidRPr="000203E3"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Default="00402750" w:rsidP="00C54A8A">
            <w:pPr>
              <w:jc w:val="both"/>
              <w:rPr>
                <w:rFonts w:cs="Arial"/>
                <w:sz w:val="20"/>
                <w:szCs w:val="20"/>
              </w:rPr>
            </w:pPr>
            <w:r>
              <w:rPr>
                <w:rFonts w:cs="Arial"/>
                <w:sz w:val="20"/>
                <w:szCs w:val="20"/>
              </w:rPr>
              <w:t>ED06001</w:t>
            </w:r>
          </w:p>
        </w:tc>
        <w:tc>
          <w:tcPr>
            <w:tcW w:w="1566"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Emergency Dept - Level 6</w:t>
            </w:r>
          </w:p>
        </w:tc>
        <w:tc>
          <w:tcPr>
            <w:tcW w:w="3261"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As for level 5 plus: has neurosurgery and cardiothoracic surgery on site.  Sub-specialists available on rosters.  Has registrar on site 24 hours.  May be a Regional Trauma Service. </w:t>
            </w:r>
          </w:p>
        </w:tc>
        <w:tc>
          <w:tcPr>
            <w:tcW w:w="1242"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c>
          <w:tcPr>
            <w:tcW w:w="993" w:type="dxa"/>
          </w:tcPr>
          <w:p w:rsidR="00402750" w:rsidRDefault="00402750" w:rsidP="00C54A8A">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 330.18 </w:t>
            </w:r>
          </w:p>
        </w:tc>
        <w:tc>
          <w:tcPr>
            <w:tcW w:w="850" w:type="dxa"/>
          </w:tcPr>
          <w:p w:rsidR="00402750" w:rsidRPr="000203E3" w:rsidRDefault="009540D3"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5871</w:t>
            </w:r>
          </w:p>
        </w:tc>
        <w:tc>
          <w:tcPr>
            <w:tcW w:w="1134" w:type="dxa"/>
          </w:tcPr>
          <w:p w:rsidR="00402750" w:rsidRPr="000203E3" w:rsidRDefault="009540D3"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4403</w:t>
            </w:r>
          </w:p>
        </w:tc>
      </w:tr>
      <w:tr w:rsidR="00402750" w:rsidRPr="000203E3" w:rsidTr="00931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rFonts w:cs="Arial"/>
                <w:sz w:val="20"/>
                <w:szCs w:val="20"/>
              </w:rPr>
            </w:pPr>
            <w:r w:rsidRPr="000203E3">
              <w:rPr>
                <w:rFonts w:cs="Arial"/>
                <w:sz w:val="20"/>
                <w:szCs w:val="20"/>
              </w:rPr>
              <w:t>PH1011</w:t>
            </w:r>
          </w:p>
        </w:tc>
        <w:tc>
          <w:tcPr>
            <w:tcW w:w="1566"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0203E3">
              <w:rPr>
                <w:rFonts w:cs="Arial"/>
                <w:sz w:val="20"/>
                <w:szCs w:val="20"/>
              </w:rPr>
              <w:t>N</w:t>
            </w:r>
            <w:r w:rsidR="00E86EB4">
              <w:rPr>
                <w:rFonts w:cs="Arial"/>
                <w:sz w:val="20"/>
                <w:szCs w:val="20"/>
              </w:rPr>
              <w:t xml:space="preserve">icotine </w:t>
            </w:r>
            <w:r w:rsidRPr="000203E3">
              <w:rPr>
                <w:rFonts w:cs="Arial"/>
                <w:sz w:val="20"/>
                <w:szCs w:val="20"/>
              </w:rPr>
              <w:t>R</w:t>
            </w:r>
            <w:r w:rsidR="00E86EB4">
              <w:rPr>
                <w:rFonts w:cs="Arial"/>
                <w:sz w:val="20"/>
                <w:szCs w:val="20"/>
              </w:rPr>
              <w:t xml:space="preserve">eplacement </w:t>
            </w:r>
            <w:r w:rsidRPr="000203E3">
              <w:rPr>
                <w:rFonts w:cs="Arial"/>
                <w:sz w:val="20"/>
                <w:szCs w:val="20"/>
              </w:rPr>
              <w:t>T</w:t>
            </w:r>
            <w:r w:rsidR="00E86EB4">
              <w:rPr>
                <w:rFonts w:cs="Arial"/>
                <w:sz w:val="20"/>
                <w:szCs w:val="20"/>
              </w:rPr>
              <w:t>herapy</w:t>
            </w:r>
            <w:r w:rsidRPr="000203E3">
              <w:rPr>
                <w:rFonts w:cs="Arial"/>
                <w:sz w:val="20"/>
                <w:szCs w:val="20"/>
              </w:rPr>
              <w:t xml:space="preserve"> Services</w:t>
            </w:r>
          </w:p>
        </w:tc>
        <w:tc>
          <w:tcPr>
            <w:tcW w:w="3261"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0203E3">
              <w:rPr>
                <w:rFonts w:cs="Arial"/>
                <w:sz w:val="20"/>
                <w:szCs w:val="20"/>
              </w:rPr>
              <w:t>The provision of pharmaceutical</w:t>
            </w:r>
            <w:r w:rsidR="00E86EB4">
              <w:rPr>
                <w:rFonts w:cs="Arial"/>
                <w:sz w:val="20"/>
                <w:szCs w:val="20"/>
              </w:rPr>
              <w:t>s</w:t>
            </w:r>
            <w:r w:rsidRPr="000203E3">
              <w:rPr>
                <w:rFonts w:cs="Arial"/>
                <w:sz w:val="20"/>
                <w:szCs w:val="20"/>
              </w:rPr>
              <w:t xml:space="preserve"> for the specific purpose of </w:t>
            </w:r>
            <w:r w:rsidRPr="00E86EB4">
              <w:rPr>
                <w:rFonts w:cs="Arial"/>
                <w:sz w:val="20"/>
                <w:szCs w:val="20"/>
              </w:rPr>
              <w:t>smoking cessation</w:t>
            </w:r>
          </w:p>
        </w:tc>
        <w:tc>
          <w:tcPr>
            <w:tcW w:w="1242"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w:t>
            </w:r>
          </w:p>
        </w:tc>
        <w:tc>
          <w:tcPr>
            <w:tcW w:w="993"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N/A</w:t>
            </w:r>
          </w:p>
        </w:tc>
        <w:tc>
          <w:tcPr>
            <w:tcW w:w="850"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1134"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r>
      <w:tr w:rsidR="00402750" w:rsidRPr="000203E3"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rFonts w:cs="Arial"/>
                <w:sz w:val="20"/>
                <w:szCs w:val="20"/>
              </w:rPr>
            </w:pPr>
            <w:r w:rsidRPr="000203E3">
              <w:rPr>
                <w:rFonts w:cs="Arial"/>
                <w:sz w:val="20"/>
                <w:szCs w:val="20"/>
              </w:rPr>
              <w:t>PH1021</w:t>
            </w:r>
          </w:p>
        </w:tc>
        <w:tc>
          <w:tcPr>
            <w:tcW w:w="1566"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0203E3">
              <w:rPr>
                <w:rFonts w:cs="Arial"/>
                <w:sz w:val="20"/>
                <w:szCs w:val="20"/>
              </w:rPr>
              <w:t>Pharmacist Health Education Services</w:t>
            </w:r>
          </w:p>
        </w:tc>
        <w:tc>
          <w:tcPr>
            <w:tcW w:w="3261"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0203E3">
              <w:rPr>
                <w:rFonts w:cs="Arial"/>
                <w:sz w:val="20"/>
                <w:szCs w:val="20"/>
              </w:rPr>
              <w:t xml:space="preserve">Pharmacist Health Education Services provided to individuals or populations of patients on specified health areas as part of locally or nationally coordinated DHB, PHO or MoH approved public health programmes e.g. minimising the harm caused by alcohol, drug and illicit drug use, </w:t>
            </w:r>
            <w:r w:rsidRPr="007350F4">
              <w:rPr>
                <w:rFonts w:cs="Arial"/>
                <w:b/>
                <w:sz w:val="20"/>
                <w:szCs w:val="20"/>
              </w:rPr>
              <w:t>smoking cessation</w:t>
            </w:r>
            <w:r w:rsidRPr="000203E3">
              <w:rPr>
                <w:rFonts w:cs="Arial"/>
                <w:sz w:val="20"/>
                <w:szCs w:val="20"/>
              </w:rPr>
              <w:t>, reducing obesity.</w:t>
            </w:r>
          </w:p>
        </w:tc>
        <w:tc>
          <w:tcPr>
            <w:tcW w:w="1242"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Unknown</w:t>
            </w:r>
          </w:p>
        </w:tc>
        <w:tc>
          <w:tcPr>
            <w:tcW w:w="993"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850"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402750" w:rsidRPr="000203E3" w:rsidTr="00931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rFonts w:cs="Arial"/>
                <w:sz w:val="20"/>
                <w:szCs w:val="20"/>
              </w:rPr>
            </w:pPr>
            <w:r w:rsidRPr="000203E3">
              <w:rPr>
                <w:rFonts w:cs="Arial"/>
                <w:sz w:val="20"/>
                <w:szCs w:val="20"/>
              </w:rPr>
              <w:t>CS04008</w:t>
            </w:r>
          </w:p>
        </w:tc>
        <w:tc>
          <w:tcPr>
            <w:tcW w:w="1566"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0203E3">
              <w:rPr>
                <w:rFonts w:cs="Arial"/>
                <w:sz w:val="20"/>
                <w:szCs w:val="20"/>
              </w:rPr>
              <w:t>Community referred tests - respiratory</w:t>
            </w:r>
          </w:p>
        </w:tc>
        <w:tc>
          <w:tcPr>
            <w:tcW w:w="3261" w:type="dxa"/>
          </w:tcPr>
          <w:p w:rsidR="00402750" w:rsidRPr="00E86EB4"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E86EB4">
              <w:rPr>
                <w:rFonts w:cs="Arial"/>
                <w:sz w:val="20"/>
                <w:szCs w:val="20"/>
              </w:rPr>
              <w:t>Respiratory tests referred by a general practitioner or private specialist</w:t>
            </w:r>
            <w:r w:rsidR="00E86EB4">
              <w:rPr>
                <w:rFonts w:cs="Arial"/>
                <w:sz w:val="20"/>
                <w:szCs w:val="20"/>
              </w:rPr>
              <w:t>,</w:t>
            </w:r>
            <w:r w:rsidRPr="00E86EB4">
              <w:rPr>
                <w:rFonts w:cs="Arial"/>
                <w:sz w:val="20"/>
                <w:szCs w:val="20"/>
              </w:rPr>
              <w:t xml:space="preserve"> eg spirometry, lung function. Includes interpretation and reporting of the test.  Excludes tests referred by DHB staff.</w:t>
            </w:r>
          </w:p>
        </w:tc>
        <w:tc>
          <w:tcPr>
            <w:tcW w:w="1242"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Yes</w:t>
            </w:r>
          </w:p>
        </w:tc>
        <w:tc>
          <w:tcPr>
            <w:tcW w:w="993"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235.68</w:t>
            </w:r>
          </w:p>
        </w:tc>
        <w:tc>
          <w:tcPr>
            <w:tcW w:w="850" w:type="dxa"/>
          </w:tcPr>
          <w:p w:rsidR="00402750" w:rsidRPr="000203E3" w:rsidRDefault="009540D3"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2831</w:t>
            </w:r>
          </w:p>
        </w:tc>
        <w:tc>
          <w:tcPr>
            <w:tcW w:w="1134" w:type="dxa"/>
          </w:tcPr>
          <w:p w:rsidR="00402750" w:rsidRPr="000203E3" w:rsidRDefault="009540D3"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2355</w:t>
            </w:r>
          </w:p>
        </w:tc>
      </w:tr>
      <w:tr w:rsidR="00402750" w:rsidRPr="000203E3"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rFonts w:cs="Arial"/>
                <w:sz w:val="20"/>
                <w:szCs w:val="20"/>
              </w:rPr>
            </w:pPr>
            <w:r w:rsidRPr="000203E3">
              <w:rPr>
                <w:rFonts w:cs="Arial"/>
                <w:sz w:val="20"/>
                <w:szCs w:val="20"/>
              </w:rPr>
              <w:t>DOM102</w:t>
            </w:r>
          </w:p>
        </w:tc>
        <w:tc>
          <w:tcPr>
            <w:tcW w:w="1566"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0203E3">
              <w:rPr>
                <w:rFonts w:cs="Arial"/>
                <w:sz w:val="20"/>
                <w:szCs w:val="20"/>
              </w:rPr>
              <w:t>Community Services - home oxygen</w:t>
            </w:r>
          </w:p>
        </w:tc>
        <w:tc>
          <w:tcPr>
            <w:tcW w:w="3261"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0203E3">
              <w:rPr>
                <w:rFonts w:cs="Arial"/>
                <w:sz w:val="20"/>
                <w:szCs w:val="20"/>
              </w:rPr>
              <w:t xml:space="preserve">A regular supply of </w:t>
            </w:r>
            <w:r w:rsidRPr="00E86EB4">
              <w:rPr>
                <w:rFonts w:cs="Arial"/>
                <w:sz w:val="20"/>
                <w:szCs w:val="20"/>
              </w:rPr>
              <w:t>oxygen</w:t>
            </w:r>
            <w:r w:rsidRPr="000203E3">
              <w:rPr>
                <w:rFonts w:cs="Arial"/>
                <w:sz w:val="20"/>
                <w:szCs w:val="20"/>
              </w:rPr>
              <w:t xml:space="preserve"> to patients in the community by either oxygen concent</w:t>
            </w:r>
            <w:r>
              <w:rPr>
                <w:rFonts w:cs="Arial"/>
                <w:sz w:val="20"/>
                <w:szCs w:val="20"/>
              </w:rPr>
              <w:t>rator and/or oxygen cylinders</w:t>
            </w:r>
            <w:r w:rsidR="009540D3">
              <w:rPr>
                <w:rFonts w:cs="Arial"/>
                <w:sz w:val="20"/>
                <w:szCs w:val="20"/>
              </w:rPr>
              <w:t>, as</w:t>
            </w:r>
            <w:r w:rsidRPr="000203E3">
              <w:rPr>
                <w:rFonts w:cs="Arial"/>
                <w:sz w:val="20"/>
                <w:szCs w:val="20"/>
              </w:rPr>
              <w:t xml:space="preserve"> clinically indicated by the medical practitioner.  Includes initial education to patients and their families or carers on the correct use of domiciliary oxygen and the s</w:t>
            </w:r>
            <w:r>
              <w:rPr>
                <w:rFonts w:cs="Arial"/>
                <w:sz w:val="20"/>
                <w:szCs w:val="20"/>
              </w:rPr>
              <w:t>upplies or disposables required</w:t>
            </w:r>
            <w:r w:rsidRPr="000203E3">
              <w:rPr>
                <w:rFonts w:cs="Arial"/>
                <w:sz w:val="20"/>
                <w:szCs w:val="20"/>
              </w:rPr>
              <w:t>. Excludes ongoing domiciliary nursing visits.</w:t>
            </w:r>
          </w:p>
        </w:tc>
        <w:tc>
          <w:tcPr>
            <w:tcW w:w="1242"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c>
          <w:tcPr>
            <w:tcW w:w="993"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550.76</w:t>
            </w:r>
          </w:p>
        </w:tc>
        <w:tc>
          <w:tcPr>
            <w:tcW w:w="850" w:type="dxa"/>
          </w:tcPr>
          <w:p w:rsidR="00402750" w:rsidRPr="000203E3" w:rsidRDefault="00913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9683</w:t>
            </w:r>
          </w:p>
        </w:tc>
        <w:tc>
          <w:tcPr>
            <w:tcW w:w="1134" w:type="dxa"/>
          </w:tcPr>
          <w:p w:rsidR="00402750" w:rsidRPr="000203E3" w:rsidRDefault="009540D3"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1827</w:t>
            </w:r>
          </w:p>
        </w:tc>
      </w:tr>
      <w:tr w:rsidR="00402750" w:rsidRPr="000203E3" w:rsidTr="00931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rFonts w:cs="Arial"/>
                <w:sz w:val="20"/>
                <w:szCs w:val="20"/>
              </w:rPr>
            </w:pPr>
            <w:r w:rsidRPr="000203E3">
              <w:rPr>
                <w:rFonts w:cs="Arial"/>
                <w:sz w:val="20"/>
                <w:szCs w:val="20"/>
              </w:rPr>
              <w:t>M65002</w:t>
            </w:r>
          </w:p>
        </w:tc>
        <w:tc>
          <w:tcPr>
            <w:tcW w:w="1566"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0203E3">
              <w:rPr>
                <w:rFonts w:cs="Arial"/>
                <w:sz w:val="20"/>
                <w:szCs w:val="20"/>
              </w:rPr>
              <w:t>Respiratory - 1st attendance</w:t>
            </w:r>
          </w:p>
        </w:tc>
        <w:tc>
          <w:tcPr>
            <w:tcW w:w="3261"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0203E3">
              <w:rPr>
                <w:rFonts w:cs="Arial"/>
                <w:sz w:val="20"/>
                <w:szCs w:val="20"/>
              </w:rPr>
              <w:t xml:space="preserve">First attendance to </w:t>
            </w:r>
            <w:r w:rsidRPr="00E86EB4">
              <w:rPr>
                <w:rFonts w:cs="Arial"/>
                <w:sz w:val="20"/>
                <w:szCs w:val="20"/>
              </w:rPr>
              <w:t>respiratory</w:t>
            </w:r>
            <w:r w:rsidRPr="000203E3">
              <w:rPr>
                <w:rFonts w:cs="Arial"/>
                <w:sz w:val="20"/>
                <w:szCs w:val="20"/>
              </w:rPr>
              <w:t xml:space="preserve"> physician or medical officer at registrar level or above or nurse practitioner for specialist assessment.</w:t>
            </w:r>
          </w:p>
        </w:tc>
        <w:tc>
          <w:tcPr>
            <w:tcW w:w="1242"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Yes</w:t>
            </w:r>
          </w:p>
        </w:tc>
        <w:tc>
          <w:tcPr>
            <w:tcW w:w="993"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472.06</w:t>
            </w:r>
          </w:p>
        </w:tc>
        <w:tc>
          <w:tcPr>
            <w:tcW w:w="850" w:type="dxa"/>
          </w:tcPr>
          <w:p w:rsidR="00402750" w:rsidRPr="000203E3" w:rsidRDefault="009540D3"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4891</w:t>
            </w:r>
          </w:p>
        </w:tc>
        <w:tc>
          <w:tcPr>
            <w:tcW w:w="1134" w:type="dxa"/>
          </w:tcPr>
          <w:p w:rsidR="00402750" w:rsidRPr="000203E3" w:rsidRDefault="009540D3"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4403</w:t>
            </w:r>
          </w:p>
        </w:tc>
      </w:tr>
      <w:tr w:rsidR="00402750" w:rsidRPr="000203E3"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rFonts w:cs="Arial"/>
                <w:sz w:val="20"/>
                <w:szCs w:val="20"/>
              </w:rPr>
            </w:pPr>
            <w:r w:rsidRPr="000203E3">
              <w:rPr>
                <w:rFonts w:cs="Arial"/>
                <w:sz w:val="20"/>
                <w:szCs w:val="20"/>
              </w:rPr>
              <w:t>M65003</w:t>
            </w:r>
          </w:p>
        </w:tc>
        <w:tc>
          <w:tcPr>
            <w:tcW w:w="1566" w:type="dxa"/>
          </w:tcPr>
          <w:p w:rsidR="00402750" w:rsidRPr="00E86EB4"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E86EB4">
              <w:rPr>
                <w:rFonts w:cs="Arial"/>
                <w:sz w:val="20"/>
                <w:szCs w:val="20"/>
              </w:rPr>
              <w:t>Respiratory - Subsequent attendance</w:t>
            </w:r>
          </w:p>
        </w:tc>
        <w:tc>
          <w:tcPr>
            <w:tcW w:w="3261" w:type="dxa"/>
          </w:tcPr>
          <w:p w:rsidR="00402750" w:rsidRPr="00E86EB4"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E86EB4">
              <w:rPr>
                <w:rFonts w:cs="Arial"/>
                <w:sz w:val="20"/>
                <w:szCs w:val="20"/>
              </w:rPr>
              <w:t>Follow-up attendances to respiratory physician or medical officer at registrar level or above or nurse practitioner.  Excludes bronchoscopy.</w:t>
            </w:r>
          </w:p>
        </w:tc>
        <w:tc>
          <w:tcPr>
            <w:tcW w:w="1242"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c>
          <w:tcPr>
            <w:tcW w:w="993"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356.38</w:t>
            </w:r>
          </w:p>
        </w:tc>
        <w:tc>
          <w:tcPr>
            <w:tcW w:w="850" w:type="dxa"/>
          </w:tcPr>
          <w:p w:rsidR="00402750" w:rsidRPr="000203E3" w:rsidRDefault="009540D3"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13048</w:t>
            </w:r>
          </w:p>
        </w:tc>
        <w:tc>
          <w:tcPr>
            <w:tcW w:w="1134" w:type="dxa"/>
          </w:tcPr>
          <w:p w:rsidR="00402750" w:rsidRPr="000203E3" w:rsidRDefault="009540D3"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7421</w:t>
            </w:r>
          </w:p>
        </w:tc>
      </w:tr>
      <w:tr w:rsidR="00402750" w:rsidRPr="000203E3" w:rsidTr="00931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rFonts w:cs="Arial"/>
                <w:sz w:val="20"/>
                <w:szCs w:val="20"/>
              </w:rPr>
            </w:pPr>
            <w:r w:rsidRPr="000203E3">
              <w:rPr>
                <w:rFonts w:cs="Arial"/>
                <w:sz w:val="20"/>
                <w:szCs w:val="20"/>
              </w:rPr>
              <w:t>M65005</w:t>
            </w:r>
          </w:p>
        </w:tc>
        <w:tc>
          <w:tcPr>
            <w:tcW w:w="1566" w:type="dxa"/>
          </w:tcPr>
          <w:p w:rsidR="00402750" w:rsidRPr="00E86EB4"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E86EB4">
              <w:rPr>
                <w:rFonts w:cs="Arial"/>
                <w:sz w:val="20"/>
                <w:szCs w:val="20"/>
              </w:rPr>
              <w:t>Respiratory - Bronchoscopy</w:t>
            </w:r>
          </w:p>
        </w:tc>
        <w:tc>
          <w:tcPr>
            <w:tcW w:w="3261" w:type="dxa"/>
          </w:tcPr>
          <w:p w:rsidR="00402750" w:rsidRPr="00E86EB4"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E86EB4">
              <w:rPr>
                <w:rFonts w:cs="Arial"/>
                <w:sz w:val="20"/>
                <w:szCs w:val="20"/>
              </w:rPr>
              <w:t>Bronchoscopy, performed as an outpatient or day case.</w:t>
            </w:r>
          </w:p>
        </w:tc>
        <w:tc>
          <w:tcPr>
            <w:tcW w:w="1242"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Yes</w:t>
            </w:r>
          </w:p>
        </w:tc>
        <w:tc>
          <w:tcPr>
            <w:tcW w:w="993"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1142.46</w:t>
            </w:r>
          </w:p>
        </w:tc>
        <w:tc>
          <w:tcPr>
            <w:tcW w:w="850" w:type="dxa"/>
          </w:tcPr>
          <w:p w:rsidR="00402750" w:rsidRPr="000203E3" w:rsidRDefault="009540D3"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20</w:t>
            </w:r>
          </w:p>
        </w:tc>
        <w:tc>
          <w:tcPr>
            <w:tcW w:w="1134" w:type="dxa"/>
          </w:tcPr>
          <w:p w:rsidR="00402750" w:rsidRPr="000203E3" w:rsidRDefault="009540D3"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20</w:t>
            </w:r>
          </w:p>
        </w:tc>
      </w:tr>
      <w:tr w:rsidR="00402750" w:rsidRPr="000203E3"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rFonts w:cs="Arial"/>
                <w:sz w:val="20"/>
                <w:szCs w:val="20"/>
              </w:rPr>
            </w:pPr>
            <w:r w:rsidRPr="000203E3">
              <w:rPr>
                <w:rFonts w:cs="Arial"/>
                <w:sz w:val="20"/>
                <w:szCs w:val="20"/>
              </w:rPr>
              <w:t>M65010</w:t>
            </w:r>
          </w:p>
        </w:tc>
        <w:tc>
          <w:tcPr>
            <w:tcW w:w="1566" w:type="dxa"/>
          </w:tcPr>
          <w:p w:rsidR="00402750" w:rsidRPr="00E86EB4"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E86EB4">
              <w:rPr>
                <w:rFonts w:cs="Arial"/>
                <w:sz w:val="20"/>
                <w:szCs w:val="20"/>
              </w:rPr>
              <w:t>Smoking Cessation Initiative - Respiratory</w:t>
            </w:r>
          </w:p>
        </w:tc>
        <w:tc>
          <w:tcPr>
            <w:tcW w:w="3261" w:type="dxa"/>
          </w:tcPr>
          <w:p w:rsidR="00402750" w:rsidRPr="00E86EB4"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E86EB4">
              <w:rPr>
                <w:rFonts w:cs="Arial"/>
                <w:sz w:val="20"/>
                <w:szCs w:val="20"/>
              </w:rPr>
              <w:t>CHF project to provide support to prevent readmission and lower lengt</w:t>
            </w:r>
            <w:r w:rsidR="00F74054">
              <w:rPr>
                <w:rFonts w:cs="Arial"/>
                <w:sz w:val="20"/>
                <w:szCs w:val="20"/>
              </w:rPr>
              <w:t xml:space="preserve">h of stay. There is a Service </w:t>
            </w:r>
            <w:r w:rsidRPr="00E86EB4">
              <w:rPr>
                <w:rFonts w:cs="Arial"/>
                <w:sz w:val="20"/>
                <w:szCs w:val="20"/>
              </w:rPr>
              <w:t>Spec</w:t>
            </w:r>
            <w:r w:rsidR="00F74054">
              <w:rPr>
                <w:rFonts w:cs="Arial"/>
                <w:sz w:val="20"/>
                <w:szCs w:val="20"/>
              </w:rPr>
              <w:t>ification</w:t>
            </w:r>
            <w:r w:rsidRPr="00E86EB4">
              <w:rPr>
                <w:rFonts w:cs="Arial"/>
                <w:sz w:val="20"/>
                <w:szCs w:val="20"/>
              </w:rPr>
              <w:t xml:space="preserve"> &amp; reporting requirements, Integration project.</w:t>
            </w:r>
          </w:p>
        </w:tc>
        <w:tc>
          <w:tcPr>
            <w:tcW w:w="1242"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w:t>
            </w:r>
          </w:p>
        </w:tc>
        <w:tc>
          <w:tcPr>
            <w:tcW w:w="993"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31.58</w:t>
            </w:r>
          </w:p>
        </w:tc>
        <w:tc>
          <w:tcPr>
            <w:tcW w:w="850" w:type="dxa"/>
          </w:tcPr>
          <w:p w:rsidR="00402750" w:rsidRPr="000203E3" w:rsidRDefault="009540D3"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57</w:t>
            </w:r>
          </w:p>
        </w:tc>
        <w:tc>
          <w:tcPr>
            <w:tcW w:w="1134" w:type="dxa"/>
          </w:tcPr>
          <w:p w:rsidR="00402750" w:rsidRPr="000203E3" w:rsidRDefault="009540D3"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w:t>
            </w:r>
          </w:p>
        </w:tc>
      </w:tr>
      <w:tr w:rsidR="00402750" w:rsidRPr="000203E3" w:rsidTr="00931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rFonts w:cs="Arial"/>
                <w:sz w:val="20"/>
                <w:szCs w:val="20"/>
              </w:rPr>
            </w:pPr>
            <w:r w:rsidRPr="000203E3">
              <w:rPr>
                <w:rFonts w:cs="Arial"/>
                <w:sz w:val="20"/>
                <w:szCs w:val="20"/>
              </w:rPr>
              <w:t>M65012</w:t>
            </w:r>
          </w:p>
        </w:tc>
        <w:tc>
          <w:tcPr>
            <w:tcW w:w="1566" w:type="dxa"/>
          </w:tcPr>
          <w:p w:rsidR="00402750" w:rsidRPr="00E86EB4"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E86EB4">
              <w:rPr>
                <w:rFonts w:cs="Arial"/>
                <w:sz w:val="20"/>
                <w:szCs w:val="20"/>
              </w:rPr>
              <w:t>COPD Pilot</w:t>
            </w:r>
          </w:p>
        </w:tc>
        <w:tc>
          <w:tcPr>
            <w:tcW w:w="3261" w:type="dxa"/>
          </w:tcPr>
          <w:p w:rsidR="00402750" w:rsidRPr="00E86EB4"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E86EB4">
              <w:rPr>
                <w:rFonts w:cs="Arial"/>
                <w:sz w:val="20"/>
                <w:szCs w:val="20"/>
              </w:rPr>
              <w:t>COPD Models of Care Programme.  Includes Pulmonary Rehab</w:t>
            </w:r>
            <w:r w:rsidR="00E86EB4">
              <w:rPr>
                <w:rFonts w:cs="Arial"/>
                <w:sz w:val="20"/>
                <w:szCs w:val="20"/>
              </w:rPr>
              <w:t>ilitation</w:t>
            </w:r>
            <w:r w:rsidRPr="00E86EB4">
              <w:rPr>
                <w:rFonts w:cs="Arial"/>
                <w:sz w:val="20"/>
                <w:szCs w:val="20"/>
              </w:rPr>
              <w:t>, Respiratory Nurse and Respiratory Testing</w:t>
            </w:r>
          </w:p>
        </w:tc>
        <w:tc>
          <w:tcPr>
            <w:tcW w:w="1242"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w:t>
            </w:r>
          </w:p>
        </w:tc>
        <w:tc>
          <w:tcPr>
            <w:tcW w:w="993"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184.82</w:t>
            </w:r>
          </w:p>
        </w:tc>
        <w:tc>
          <w:tcPr>
            <w:tcW w:w="850" w:type="dxa"/>
          </w:tcPr>
          <w:p w:rsidR="00402750" w:rsidRPr="000203E3" w:rsidRDefault="009540D3"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2638</w:t>
            </w:r>
          </w:p>
        </w:tc>
        <w:tc>
          <w:tcPr>
            <w:tcW w:w="1134" w:type="dxa"/>
          </w:tcPr>
          <w:p w:rsidR="00402750" w:rsidRPr="000203E3" w:rsidRDefault="009540D3"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396</w:t>
            </w:r>
          </w:p>
        </w:tc>
      </w:tr>
      <w:tr w:rsidR="00402750" w:rsidRPr="000203E3"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rFonts w:cs="Arial"/>
                <w:sz w:val="20"/>
                <w:szCs w:val="20"/>
              </w:rPr>
            </w:pPr>
            <w:r w:rsidRPr="000203E3">
              <w:rPr>
                <w:rFonts w:cs="Arial"/>
                <w:sz w:val="20"/>
                <w:szCs w:val="20"/>
              </w:rPr>
              <w:t>COGP0010</w:t>
            </w:r>
          </w:p>
        </w:tc>
        <w:tc>
          <w:tcPr>
            <w:tcW w:w="1566" w:type="dxa"/>
          </w:tcPr>
          <w:p w:rsidR="00402750" w:rsidRPr="00E86EB4"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E86EB4">
              <w:rPr>
                <w:rFonts w:cs="Arial"/>
                <w:sz w:val="20"/>
                <w:szCs w:val="20"/>
              </w:rPr>
              <w:t>Immunisation Influenza</w:t>
            </w:r>
          </w:p>
        </w:tc>
        <w:tc>
          <w:tcPr>
            <w:tcW w:w="3261" w:type="dxa"/>
          </w:tcPr>
          <w:p w:rsidR="00402750" w:rsidRPr="00E86EB4"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E86EB4">
              <w:rPr>
                <w:rFonts w:cs="Arial"/>
                <w:sz w:val="20"/>
                <w:szCs w:val="20"/>
              </w:rPr>
              <w:t xml:space="preserve">Funding for influenza vaccines administered by General Practitioners </w:t>
            </w:r>
          </w:p>
        </w:tc>
        <w:tc>
          <w:tcPr>
            <w:tcW w:w="1242"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w:t>
            </w:r>
          </w:p>
        </w:tc>
        <w:tc>
          <w:tcPr>
            <w:tcW w:w="993"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850"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402750" w:rsidRPr="000203E3" w:rsidTr="00931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rFonts w:cs="Arial"/>
                <w:sz w:val="20"/>
                <w:szCs w:val="20"/>
              </w:rPr>
            </w:pPr>
            <w:r w:rsidRPr="000203E3">
              <w:rPr>
                <w:rFonts w:cs="Arial"/>
                <w:sz w:val="20"/>
                <w:szCs w:val="20"/>
              </w:rPr>
              <w:t>RM00111</w:t>
            </w:r>
          </w:p>
        </w:tc>
        <w:tc>
          <w:tcPr>
            <w:tcW w:w="1566" w:type="dxa"/>
          </w:tcPr>
          <w:p w:rsidR="00402750" w:rsidRPr="00E86EB4"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E86EB4">
              <w:rPr>
                <w:rFonts w:cs="Arial"/>
                <w:sz w:val="20"/>
                <w:szCs w:val="20"/>
              </w:rPr>
              <w:t>Tobacco Control</w:t>
            </w:r>
          </w:p>
        </w:tc>
        <w:tc>
          <w:tcPr>
            <w:tcW w:w="3261" w:type="dxa"/>
          </w:tcPr>
          <w:p w:rsidR="00402750" w:rsidRPr="00E86EB4"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E86EB4">
              <w:rPr>
                <w:rFonts w:cs="Arial"/>
                <w:sz w:val="20"/>
                <w:szCs w:val="20"/>
              </w:rPr>
              <w:t>Smoking reduction programmes and smokefree environments.</w:t>
            </w:r>
          </w:p>
        </w:tc>
        <w:tc>
          <w:tcPr>
            <w:tcW w:w="1242"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w:t>
            </w:r>
          </w:p>
        </w:tc>
        <w:tc>
          <w:tcPr>
            <w:tcW w:w="993"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N/A</w:t>
            </w:r>
          </w:p>
        </w:tc>
        <w:tc>
          <w:tcPr>
            <w:tcW w:w="850"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1134"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r>
      <w:tr w:rsidR="00402750" w:rsidRPr="000203E3"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rFonts w:cs="Arial"/>
                <w:sz w:val="20"/>
                <w:szCs w:val="20"/>
              </w:rPr>
            </w:pPr>
            <w:r w:rsidRPr="000203E3">
              <w:rPr>
                <w:rFonts w:cs="Arial"/>
                <w:sz w:val="20"/>
                <w:szCs w:val="20"/>
              </w:rPr>
              <w:t>T0105</w:t>
            </w:r>
          </w:p>
        </w:tc>
        <w:tc>
          <w:tcPr>
            <w:tcW w:w="1566" w:type="dxa"/>
          </w:tcPr>
          <w:p w:rsidR="00402750" w:rsidRPr="00E86EB4"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E86EB4">
              <w:rPr>
                <w:rFonts w:cs="Arial"/>
                <w:sz w:val="20"/>
                <w:szCs w:val="20"/>
              </w:rPr>
              <w:t>Specialised Heart/Lung Transplant Services - Lung transplant assessment</w:t>
            </w:r>
          </w:p>
        </w:tc>
        <w:tc>
          <w:tcPr>
            <w:tcW w:w="3261" w:type="dxa"/>
          </w:tcPr>
          <w:p w:rsidR="00402750" w:rsidRPr="00E86EB4"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E86EB4">
              <w:rPr>
                <w:rFonts w:cs="Arial"/>
                <w:sz w:val="20"/>
                <w:szCs w:val="20"/>
              </w:rPr>
              <w:t>Assessment against agreed criteria for access for lung transplant.</w:t>
            </w:r>
          </w:p>
        </w:tc>
        <w:tc>
          <w:tcPr>
            <w:tcW w:w="1242"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w:t>
            </w:r>
          </w:p>
        </w:tc>
        <w:tc>
          <w:tcPr>
            <w:tcW w:w="993"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850"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402750" w:rsidRPr="000203E3" w:rsidTr="00931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rFonts w:cs="Arial"/>
                <w:sz w:val="20"/>
                <w:szCs w:val="20"/>
              </w:rPr>
            </w:pPr>
            <w:r w:rsidRPr="000203E3">
              <w:rPr>
                <w:rFonts w:cs="Arial"/>
                <w:sz w:val="20"/>
                <w:szCs w:val="20"/>
              </w:rPr>
              <w:t>COOC0025</w:t>
            </w:r>
          </w:p>
        </w:tc>
        <w:tc>
          <w:tcPr>
            <w:tcW w:w="1566" w:type="dxa"/>
          </w:tcPr>
          <w:p w:rsidR="00402750" w:rsidRPr="00E86EB4"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E86EB4">
              <w:rPr>
                <w:rFonts w:cs="Arial"/>
                <w:sz w:val="20"/>
                <w:szCs w:val="20"/>
              </w:rPr>
              <w:t>Health Action Plans - Smoking Cessation</w:t>
            </w:r>
          </w:p>
        </w:tc>
        <w:tc>
          <w:tcPr>
            <w:tcW w:w="3261" w:type="dxa"/>
          </w:tcPr>
          <w:p w:rsidR="00402750" w:rsidRPr="00E86EB4"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E86EB4">
              <w:rPr>
                <w:rFonts w:cs="Arial"/>
                <w:sz w:val="20"/>
                <w:szCs w:val="20"/>
              </w:rPr>
              <w:t>Yet to be advised by DHBs</w:t>
            </w:r>
          </w:p>
        </w:tc>
        <w:tc>
          <w:tcPr>
            <w:tcW w:w="1242"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No</w:t>
            </w:r>
          </w:p>
        </w:tc>
        <w:tc>
          <w:tcPr>
            <w:tcW w:w="993"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N/A</w:t>
            </w:r>
          </w:p>
        </w:tc>
        <w:tc>
          <w:tcPr>
            <w:tcW w:w="850"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1134"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r>
      <w:tr w:rsidR="00402750" w:rsidRPr="000203E3"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rFonts w:cs="Arial"/>
                <w:sz w:val="20"/>
                <w:szCs w:val="20"/>
              </w:rPr>
            </w:pPr>
            <w:r w:rsidRPr="000203E3">
              <w:rPr>
                <w:rFonts w:cs="Arial"/>
                <w:sz w:val="20"/>
                <w:szCs w:val="20"/>
              </w:rPr>
              <w:t>COOC0039</w:t>
            </w:r>
          </w:p>
        </w:tc>
        <w:tc>
          <w:tcPr>
            <w:tcW w:w="1566" w:type="dxa"/>
          </w:tcPr>
          <w:p w:rsidR="00402750" w:rsidRPr="00E86EB4"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E86EB4">
              <w:rPr>
                <w:rFonts w:cs="Arial"/>
                <w:sz w:val="20"/>
                <w:szCs w:val="20"/>
              </w:rPr>
              <w:t>COPD/CHF Disease management</w:t>
            </w:r>
          </w:p>
        </w:tc>
        <w:tc>
          <w:tcPr>
            <w:tcW w:w="3261" w:type="dxa"/>
          </w:tcPr>
          <w:p w:rsidR="00402750" w:rsidRPr="00E86EB4"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E86EB4">
              <w:rPr>
                <w:rFonts w:cs="Arial"/>
                <w:sz w:val="20"/>
                <w:szCs w:val="20"/>
              </w:rPr>
              <w:t> </w:t>
            </w:r>
          </w:p>
        </w:tc>
        <w:tc>
          <w:tcPr>
            <w:tcW w:w="1242"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w:t>
            </w:r>
          </w:p>
        </w:tc>
        <w:tc>
          <w:tcPr>
            <w:tcW w:w="993"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850"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402750" w:rsidRPr="000203E3" w:rsidTr="00931F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rFonts w:cs="Arial"/>
                <w:sz w:val="20"/>
                <w:szCs w:val="20"/>
              </w:rPr>
            </w:pPr>
            <w:r w:rsidRPr="000203E3">
              <w:rPr>
                <w:rFonts w:cs="Arial"/>
                <w:sz w:val="20"/>
                <w:szCs w:val="20"/>
              </w:rPr>
              <w:t>M80004</w:t>
            </w:r>
          </w:p>
        </w:tc>
        <w:tc>
          <w:tcPr>
            <w:tcW w:w="1566"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0203E3">
              <w:rPr>
                <w:rFonts w:cs="Arial"/>
                <w:sz w:val="20"/>
                <w:szCs w:val="20"/>
              </w:rPr>
              <w:t>Palliative Care - Outpatient Services</w:t>
            </w:r>
          </w:p>
        </w:tc>
        <w:tc>
          <w:tcPr>
            <w:tcW w:w="3261"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0203E3">
              <w:rPr>
                <w:rFonts w:cs="Arial"/>
                <w:sz w:val="20"/>
                <w:szCs w:val="20"/>
              </w:rPr>
              <w:t>First attendance to palliative care medicine specialist or medical officer at registrar level or above or nurse practitioner for specialist assessment.</w:t>
            </w:r>
          </w:p>
        </w:tc>
        <w:tc>
          <w:tcPr>
            <w:tcW w:w="1242" w:type="dxa"/>
          </w:tcPr>
          <w:p w:rsidR="00402750"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Yes</w:t>
            </w:r>
          </w:p>
        </w:tc>
        <w:tc>
          <w:tcPr>
            <w:tcW w:w="993"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167.82</w:t>
            </w:r>
          </w:p>
        </w:tc>
        <w:tc>
          <w:tcPr>
            <w:tcW w:w="850"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c>
          <w:tcPr>
            <w:tcW w:w="1134" w:type="dxa"/>
          </w:tcPr>
          <w:p w:rsidR="00402750" w:rsidRPr="000203E3" w:rsidRDefault="00402750" w:rsidP="00C54A8A">
            <w:pPr>
              <w:spacing w:after="0"/>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0</w:t>
            </w:r>
          </w:p>
        </w:tc>
      </w:tr>
      <w:tr w:rsidR="00402750" w:rsidRPr="000203E3" w:rsidTr="0093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rsidR="00402750" w:rsidRPr="000203E3" w:rsidRDefault="00402750" w:rsidP="00C54A8A">
            <w:pPr>
              <w:spacing w:after="0"/>
              <w:jc w:val="both"/>
              <w:rPr>
                <w:rFonts w:cs="Arial"/>
                <w:sz w:val="20"/>
                <w:szCs w:val="20"/>
              </w:rPr>
            </w:pPr>
            <w:r w:rsidRPr="000203E3">
              <w:rPr>
                <w:rFonts w:cs="Arial"/>
                <w:sz w:val="20"/>
                <w:szCs w:val="20"/>
              </w:rPr>
              <w:t>M80005</w:t>
            </w:r>
          </w:p>
        </w:tc>
        <w:tc>
          <w:tcPr>
            <w:tcW w:w="1566"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0203E3">
              <w:rPr>
                <w:rFonts w:cs="Arial"/>
                <w:sz w:val="20"/>
                <w:szCs w:val="20"/>
              </w:rPr>
              <w:t>Palliative Care - Community Services</w:t>
            </w:r>
          </w:p>
        </w:tc>
        <w:tc>
          <w:tcPr>
            <w:tcW w:w="3261"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0203E3">
              <w:rPr>
                <w:rFonts w:cs="Arial"/>
                <w:sz w:val="20"/>
                <w:szCs w:val="20"/>
              </w:rPr>
              <w:t xml:space="preserve">Programme of community-based care for people assessed as requiring specialist palliative care.  </w:t>
            </w:r>
          </w:p>
        </w:tc>
        <w:tc>
          <w:tcPr>
            <w:tcW w:w="1242" w:type="dxa"/>
          </w:tcPr>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w:t>
            </w:r>
          </w:p>
          <w:p w:rsidR="00402750"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993"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1168.57</w:t>
            </w:r>
          </w:p>
        </w:tc>
        <w:tc>
          <w:tcPr>
            <w:tcW w:w="850" w:type="dxa"/>
          </w:tcPr>
          <w:p w:rsidR="00402750" w:rsidRPr="000203E3" w:rsidRDefault="00913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c>
          <w:tcPr>
            <w:tcW w:w="1134" w:type="dxa"/>
          </w:tcPr>
          <w:p w:rsidR="00402750" w:rsidRPr="000203E3" w:rsidRDefault="00402750" w:rsidP="00C54A8A">
            <w:pPr>
              <w:spacing w:after="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bl>
    <w:p w:rsidR="00402750" w:rsidRDefault="00402750" w:rsidP="00C54A8A">
      <w:pPr>
        <w:pStyle w:val="SourceCaption"/>
        <w:jc w:val="both"/>
      </w:pPr>
      <w:r>
        <w:t>Source:</w:t>
      </w:r>
      <w:r>
        <w:tab/>
        <w:t>a) The Nationwide Service Framework Library Purchase Unit Data Dictionary Version 16, 2010/11</w:t>
      </w:r>
      <w:r>
        <w:tab/>
      </w:r>
      <w:r>
        <w:tab/>
        <w:t>b) National/Modal/Average price as defined in</w:t>
      </w:r>
      <w:r w:rsidR="00E86EB4">
        <w:t xml:space="preserve"> the text</w:t>
      </w:r>
      <w:r>
        <w:tab/>
      </w:r>
      <w:r>
        <w:tab/>
      </w:r>
      <w:r>
        <w:tab/>
      </w:r>
      <w:r>
        <w:tab/>
      </w:r>
      <w:r>
        <w:tab/>
        <w:t>c) 2013 NHC analysis of 2010/11 National Non-admitted Patient Collection</w:t>
      </w:r>
      <w:r w:rsidR="00E86EB4">
        <w:t xml:space="preserve"> data</w:t>
      </w:r>
    </w:p>
    <w:p w:rsidR="00E222C2" w:rsidRDefault="00E222C2" w:rsidP="00C54A8A">
      <w:pPr>
        <w:jc w:val="both"/>
        <w:rPr>
          <w:lang w:val="en-GB" w:eastAsia="en-GB"/>
        </w:rPr>
      </w:pPr>
    </w:p>
    <w:p w:rsidR="00C54B8B" w:rsidRDefault="00402750" w:rsidP="00C54A8A">
      <w:pPr>
        <w:jc w:val="both"/>
        <w:rPr>
          <w:lang w:val="en-GB" w:eastAsia="en-GB"/>
        </w:rPr>
      </w:pPr>
      <w:r>
        <w:rPr>
          <w:lang w:val="en-GB" w:eastAsia="en-GB"/>
        </w:rPr>
        <w:t xml:space="preserve">A limitation of the non-admitted ED data is that there is no description of diagnosis associated with it. This means that COPD-specific non-admitted ED visits cannot be measured. However, COPD patients are significantly more likely to have had a non-admitted ED visit than people not in the COPD-prevalent population (odds ratio = </w:t>
      </w:r>
      <w:r w:rsidR="0022299A">
        <w:rPr>
          <w:lang w:val="en-GB" w:eastAsia="en-GB"/>
        </w:rPr>
        <w:t>2.16, 2.12</w:t>
      </w:r>
      <w:r>
        <w:rPr>
          <w:lang w:val="en-GB" w:eastAsia="en-GB"/>
        </w:rPr>
        <w:t>–</w:t>
      </w:r>
      <w:r w:rsidR="0022299A">
        <w:rPr>
          <w:lang w:val="en-GB" w:eastAsia="en-GB"/>
        </w:rPr>
        <w:t>2.20</w:t>
      </w:r>
      <w:r>
        <w:rPr>
          <w:lang w:val="en-GB" w:eastAsia="en-GB"/>
        </w:rPr>
        <w:t>) (</w:t>
      </w:r>
      <w:r>
        <w:rPr>
          <w:lang w:val="en-GB" w:eastAsia="en-GB"/>
        </w:rPr>
        <w:fldChar w:fldCharType="begin"/>
      </w:r>
      <w:r>
        <w:rPr>
          <w:lang w:val="en-GB" w:eastAsia="en-GB"/>
        </w:rPr>
        <w:instrText xml:space="preserve"> REF _Ref366151642 \h </w:instrText>
      </w:r>
      <w:r w:rsidR="00C54A8A">
        <w:rPr>
          <w:lang w:val="en-GB" w:eastAsia="en-GB"/>
        </w:rPr>
        <w:instrText xml:space="preserve"> \* MERGEFORMAT </w:instrText>
      </w:r>
      <w:r>
        <w:rPr>
          <w:lang w:val="en-GB" w:eastAsia="en-GB"/>
        </w:rPr>
      </w:r>
      <w:r>
        <w:rPr>
          <w:lang w:val="en-GB" w:eastAsia="en-GB"/>
        </w:rPr>
        <w:fldChar w:fldCharType="separate"/>
      </w:r>
      <w:r w:rsidR="000B70CE">
        <w:t xml:space="preserve">Figure </w:t>
      </w:r>
      <w:r w:rsidR="000B70CE">
        <w:rPr>
          <w:noProof/>
        </w:rPr>
        <w:t>13</w:t>
      </w:r>
      <w:r>
        <w:rPr>
          <w:lang w:val="en-GB" w:eastAsia="en-GB"/>
        </w:rPr>
        <w:fldChar w:fldCharType="end"/>
      </w:r>
      <w:r>
        <w:rPr>
          <w:lang w:val="en-GB" w:eastAsia="en-GB"/>
        </w:rPr>
        <w:t xml:space="preserve">). For the purposes of this analysis 50% </w:t>
      </w:r>
      <w:r w:rsidR="004C3E14">
        <w:rPr>
          <w:lang w:val="en-GB" w:eastAsia="en-GB"/>
        </w:rPr>
        <w:t xml:space="preserve">of the ‘cost’ of </w:t>
      </w:r>
      <w:r>
        <w:rPr>
          <w:lang w:val="en-GB" w:eastAsia="en-GB"/>
        </w:rPr>
        <w:t>all non-admitted ED visits have been included as attributable to COPD (the proportion of ED visits above a comparable, non-COPD population).</w:t>
      </w:r>
    </w:p>
    <w:p w:rsidR="00402750" w:rsidRDefault="00402750" w:rsidP="00C54A8A">
      <w:pPr>
        <w:pStyle w:val="Caption"/>
        <w:jc w:val="both"/>
      </w:pPr>
      <w:bookmarkStart w:id="232" w:name="_Ref366151642"/>
      <w:r>
        <w:t xml:space="preserve">Figure </w:t>
      </w:r>
      <w:r>
        <w:fldChar w:fldCharType="begin"/>
      </w:r>
      <w:r>
        <w:instrText xml:space="preserve"> SEQ Figure \* ARABIC </w:instrText>
      </w:r>
      <w:r>
        <w:fldChar w:fldCharType="separate"/>
      </w:r>
      <w:r w:rsidR="000B70CE">
        <w:rPr>
          <w:noProof/>
        </w:rPr>
        <w:t>13</w:t>
      </w:r>
      <w:r>
        <w:rPr>
          <w:noProof/>
        </w:rPr>
        <w:fldChar w:fldCharType="end"/>
      </w:r>
      <w:bookmarkEnd w:id="232"/>
      <w:r>
        <w:t>: Number of non-admitted E</w:t>
      </w:r>
      <w:r w:rsidR="00E86EB4">
        <w:t xml:space="preserve">mergency </w:t>
      </w:r>
      <w:r>
        <w:t>D</w:t>
      </w:r>
      <w:r w:rsidR="00E86EB4">
        <w:t>epartment</w:t>
      </w:r>
      <w:r>
        <w:t xml:space="preserve"> visits for COPD and Non-COPD-prevalent populations, 2010/11</w:t>
      </w:r>
    </w:p>
    <w:p w:rsidR="00402750" w:rsidRDefault="008734EE" w:rsidP="00C54A8A">
      <w:pPr>
        <w:spacing w:after="0"/>
        <w:jc w:val="both"/>
        <w:rPr>
          <w:lang w:val="en-GB" w:eastAsia="en-GB"/>
        </w:rPr>
      </w:pPr>
      <w:r w:rsidRPr="008734EE">
        <w:rPr>
          <w:noProof/>
          <w:lang w:eastAsia="en-NZ"/>
        </w:rPr>
        <w:drawing>
          <wp:inline distT="0" distB="0" distL="0" distR="0" wp14:anchorId="65D5B632" wp14:editId="52BB8E5B">
            <wp:extent cx="4572000" cy="2733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inline>
        </w:drawing>
      </w:r>
    </w:p>
    <w:p w:rsidR="00402750" w:rsidRPr="00C234A7" w:rsidRDefault="00402750" w:rsidP="00C54A8A">
      <w:pPr>
        <w:pStyle w:val="SourceCaption"/>
        <w:spacing w:before="0"/>
        <w:jc w:val="both"/>
        <w:rPr>
          <w:lang w:val="en-GB" w:eastAsia="en-GB"/>
        </w:rPr>
      </w:pPr>
      <w:r>
        <w:rPr>
          <w:lang w:val="en-GB" w:eastAsia="en-GB"/>
        </w:rPr>
        <w:t xml:space="preserve">Source: 2013 NHC analysis of 2010/11 NZ Health Tracker and </w:t>
      </w:r>
      <w:r w:rsidR="00E86EB4" w:rsidRPr="00E86EB4">
        <w:rPr>
          <w:lang w:val="en-GB" w:eastAsia="en-GB"/>
        </w:rPr>
        <w:t>National Non-admitted Patient Collection</w:t>
      </w:r>
      <w:r w:rsidR="00E86EB4">
        <w:rPr>
          <w:lang w:val="en-GB" w:eastAsia="en-GB"/>
        </w:rPr>
        <w:t xml:space="preserve"> data</w:t>
      </w:r>
    </w:p>
    <w:p w:rsidR="00E222C2" w:rsidRDefault="00E222C2" w:rsidP="00C54A8A">
      <w:pPr>
        <w:jc w:val="both"/>
      </w:pPr>
      <w:bookmarkStart w:id="233" w:name="_Toc369253762"/>
      <w:bookmarkStart w:id="234" w:name="_Toc370401406"/>
      <w:bookmarkStart w:id="235" w:name="_Toc370477248"/>
      <w:bookmarkStart w:id="236" w:name="_Toc371949687"/>
      <w:bookmarkStart w:id="237" w:name="_Toc382225539"/>
      <w:bookmarkStart w:id="238" w:name="_Toc382475521"/>
    </w:p>
    <w:p w:rsidR="00402750" w:rsidRPr="003D17D6" w:rsidRDefault="00402750" w:rsidP="00C54A8A">
      <w:pPr>
        <w:pStyle w:val="Head3-nonumber"/>
        <w:jc w:val="both"/>
      </w:pPr>
      <w:bookmarkStart w:id="239" w:name="_Toc382554908"/>
      <w:bookmarkStart w:id="240" w:name="_Toc382574762"/>
      <w:r w:rsidRPr="003D17D6">
        <w:t>Contract costs</w:t>
      </w:r>
      <w:bookmarkEnd w:id="233"/>
      <w:bookmarkEnd w:id="234"/>
      <w:bookmarkEnd w:id="235"/>
      <w:bookmarkEnd w:id="236"/>
      <w:bookmarkEnd w:id="237"/>
      <w:bookmarkEnd w:id="238"/>
      <w:bookmarkEnd w:id="239"/>
      <w:bookmarkEnd w:id="240"/>
    </w:p>
    <w:p w:rsidR="00402750" w:rsidRDefault="00402750" w:rsidP="00C54A8A">
      <w:pPr>
        <w:jc w:val="both"/>
      </w:pPr>
      <w:r>
        <w:t>Another purchase unit (COOC0036) was identified when the Purchase Unit Data Dictionary was searched</w:t>
      </w:r>
      <w:r w:rsidR="00E86EB4">
        <w:t>:</w:t>
      </w:r>
      <w:r>
        <w:t xml:space="preserve">- </w:t>
      </w:r>
    </w:p>
    <w:p w:rsidR="00402750" w:rsidRPr="00171A4A" w:rsidRDefault="00402750" w:rsidP="00C54A8A">
      <w:pPr>
        <w:jc w:val="both"/>
        <w:rPr>
          <w:i/>
        </w:rPr>
      </w:pPr>
      <w:r>
        <w:rPr>
          <w:i/>
        </w:rPr>
        <w:t xml:space="preserve">Community Asthma Services: </w:t>
      </w:r>
      <w:r w:rsidRPr="00171A4A">
        <w:rPr>
          <w:i/>
        </w:rPr>
        <w:t>Community based asthma and chronic obstructive pulmonary disease care and education service provi</w:t>
      </w:r>
      <w:r>
        <w:rPr>
          <w:i/>
        </w:rPr>
        <w:t xml:space="preserve">ded by interdisciplinary, cross </w:t>
      </w:r>
      <w:r w:rsidRPr="00171A4A">
        <w:rPr>
          <w:i/>
        </w:rPr>
        <w:t>sectoral care teams providing comprehensive, holistic and continuous health services to enrolled populations of people with asthma and COPD. The service is delivered within the primary care sector utilising a team approach.</w:t>
      </w:r>
    </w:p>
    <w:p w:rsidR="00402750" w:rsidRDefault="00402750" w:rsidP="00C54A8A">
      <w:pPr>
        <w:jc w:val="both"/>
      </w:pPr>
      <w:r>
        <w:t xml:space="preserve">This purchase unit was not reported in NNPAC but instead is associated with contracts. </w:t>
      </w:r>
      <w:r w:rsidR="00F74054">
        <w:t xml:space="preserve">This </w:t>
      </w:r>
      <w:r>
        <w:t xml:space="preserve">means that the value associated with these services is not easily matched with patient records, meaning that it is difficult to ascertain how much was ‘spent’ on COPD patients and what severity those patients were. </w:t>
      </w:r>
    </w:p>
    <w:p w:rsidR="00402750" w:rsidRDefault="00402750" w:rsidP="00C54A8A">
      <w:pPr>
        <w:jc w:val="both"/>
      </w:pPr>
      <w:r>
        <w:t>In 2010/11 $5,402,624 was contracted for these ‘Community Asthma Services’. However this may differ from the figure actually spent. There is no data on how much of this service is used by COPD patients compared with asthma patients; however if the service use ratio was the same as the ratio of health loss reported in the NZBDS</w:t>
      </w:r>
      <w:r w:rsidR="00E86EB4">
        <w:t xml:space="preserve"> </w:t>
      </w:r>
      <w:r>
        <w:t>(69.8% COPD)</w:t>
      </w:r>
      <w:r>
        <w:fldChar w:fldCharType="begin"/>
      </w:r>
      <w:r w:rsidR="00551E6B">
        <w:instrText xml:space="preserve"> ADDIN EN.CITE &lt;EndNote&gt;&lt;Cite&gt;&lt;Author&gt;Ministry of Health&lt;/Author&gt;&lt;Year&gt;2013&lt;/Year&gt;&lt;RecNum&gt;743&lt;/RecNum&gt;&lt;DisplayText&gt;&lt;style face="superscript"&gt;(15)&lt;/style&gt;&lt;/DisplayText&gt;&lt;record&gt;&lt;rec-number&gt;743&lt;/rec-number&gt;&lt;foreign-keys&gt;&lt;key app="EN" db-id="22d09ravozpff5ea9zs509ewttsdavsvwr25"&gt;743&lt;/key&gt;&lt;/foreign-keys&gt;&lt;ref-type name="Report"&gt;27&lt;/ref-type&gt;&lt;contributors&gt;&lt;authors&gt;&lt;author&gt;Ministry of Health,&lt;/author&gt;&lt;/authors&gt;&lt;tertiary-authors&gt;&lt;author&gt;Ministry of Health&lt;/author&gt;&lt;/tertiary-authors&gt;&lt;/contributors&gt;&lt;titles&gt;&lt;title&gt;Health Loss in New Zealand: A report from the New Zealand Burden of Diseases, Injuries and Risk Factors Study, 2006-2016&lt;/title&gt;&lt;/titles&gt;&lt;dates&gt;&lt;year&gt;2013&lt;/year&gt;&lt;/dates&gt;&lt;pub-location&gt;Wellington&lt;/pub-location&gt;&lt;publisher&gt;Ministry of Health&lt;/publisher&gt;&lt;urls&gt;&lt;related-urls&gt;&lt;url&gt;http://www.health.govt.nz/publication/health-loss-new-zealand-report-new-zealand-burden-diseases-injuries-and-risk-factors-study-2006-2016&lt;/url&gt;&lt;/related-urls&gt;&lt;/urls&gt;&lt;access-date&gt;9 September 2013&lt;/access-date&gt;&lt;/record&gt;&lt;/Cite&gt;&lt;/EndNote&gt;</w:instrText>
      </w:r>
      <w:r>
        <w:fldChar w:fldCharType="separate"/>
      </w:r>
      <w:r w:rsidR="00551E6B" w:rsidRPr="00551E6B">
        <w:rPr>
          <w:noProof/>
          <w:vertAlign w:val="superscript"/>
        </w:rPr>
        <w:t>(</w:t>
      </w:r>
      <w:hyperlink w:anchor="_ENREF_15" w:tooltip="Ministry of Health, 2013 #743" w:history="1">
        <w:r w:rsidR="0029347A" w:rsidRPr="00551E6B">
          <w:rPr>
            <w:noProof/>
            <w:vertAlign w:val="superscript"/>
          </w:rPr>
          <w:t>15</w:t>
        </w:r>
      </w:hyperlink>
      <w:r w:rsidR="00551E6B" w:rsidRPr="00551E6B">
        <w:rPr>
          <w:noProof/>
          <w:vertAlign w:val="superscript"/>
        </w:rPr>
        <w:t>)</w:t>
      </w:r>
      <w:r>
        <w:fldChar w:fldCharType="end"/>
      </w:r>
      <w:r>
        <w:t xml:space="preserve"> then this would indicate that $3,771,643.21 was spent on ‘Community Asthma Services’ for COPD patients in 2010/11. </w:t>
      </w:r>
    </w:p>
    <w:p w:rsidR="00402750" w:rsidRDefault="00402750" w:rsidP="00C54A8A">
      <w:pPr>
        <w:jc w:val="both"/>
      </w:pPr>
      <w:r>
        <w:t>For the purposes of the analyses set out in this document this figure has not been included; however the information is still of use to decision-makers.</w:t>
      </w:r>
    </w:p>
    <w:p w:rsidR="00402750" w:rsidRPr="003D17D6" w:rsidRDefault="00402750" w:rsidP="00C54A8A">
      <w:pPr>
        <w:pStyle w:val="Head3-nonumber"/>
        <w:jc w:val="both"/>
      </w:pPr>
      <w:bookmarkStart w:id="241" w:name="_Toc369253763"/>
      <w:bookmarkStart w:id="242" w:name="_Toc370401407"/>
      <w:bookmarkStart w:id="243" w:name="_Toc370477249"/>
      <w:bookmarkStart w:id="244" w:name="_Toc371949688"/>
      <w:bookmarkStart w:id="245" w:name="_Toc382225540"/>
      <w:bookmarkStart w:id="246" w:name="_Toc382475522"/>
      <w:bookmarkStart w:id="247" w:name="_Toc382554909"/>
      <w:bookmarkStart w:id="248" w:name="_Toc382574763"/>
      <w:r w:rsidRPr="003D17D6">
        <w:t>Total patient costs</w:t>
      </w:r>
      <w:bookmarkEnd w:id="241"/>
      <w:bookmarkEnd w:id="242"/>
      <w:bookmarkEnd w:id="243"/>
      <w:bookmarkEnd w:id="244"/>
      <w:bookmarkEnd w:id="245"/>
      <w:bookmarkEnd w:id="246"/>
      <w:bookmarkEnd w:id="247"/>
      <w:bookmarkEnd w:id="248"/>
    </w:p>
    <w:p w:rsidR="00402750" w:rsidRDefault="00402750" w:rsidP="00C54A8A">
      <w:pPr>
        <w:jc w:val="both"/>
      </w:pPr>
      <w:r>
        <w:t xml:space="preserve">Each patient’s pharmaceutical, GP, outpatient, </w:t>
      </w:r>
      <w:r w:rsidR="00E86EB4">
        <w:t>ED</w:t>
      </w:r>
      <w:r>
        <w:t xml:space="preserve"> and hospital ‘costs’ have been summed to create a cost-per-patient. </w:t>
      </w:r>
    </w:p>
    <w:p w:rsidR="000B70CE" w:rsidRDefault="00402750" w:rsidP="000B70CE">
      <w:r>
        <w:t xml:space="preserve">There are other costs to the health system that result from COPD.  For example a COPD patient admitted to hospital with pneumonia may have a longer stay than a patient without COPD for the same admission. COPD is a degenerative disease and may be the reason for a patient needing community services such as home help or needing to move into an aged care facility. COPD patients may receive occupational and physiotherapy. To provide a picture of the COPD cost data in a timely manner, only the costs mentioned above (pharmaceutical, GP, ED and the outpatient costs listed in </w:t>
      </w:r>
      <w:r>
        <w:rPr>
          <w:rFonts w:eastAsiaTheme="minorEastAsia"/>
          <w:b/>
          <w:bCs/>
          <w:color w:val="23532C"/>
          <w:sz w:val="18"/>
          <w:szCs w:val="20"/>
          <w:lang w:val="en-GB" w:eastAsia="en-GB"/>
        </w:rPr>
        <w:fldChar w:fldCharType="begin"/>
      </w:r>
      <w:r>
        <w:instrText xml:space="preserve"> REF _Ref365296376 \h </w:instrText>
      </w:r>
      <w:r w:rsidR="001E007B">
        <w:instrText xml:space="preserve"> \* MERGEFORMAT </w:instrText>
      </w:r>
      <w:r>
        <w:rPr>
          <w:rFonts w:eastAsiaTheme="minorEastAsia"/>
          <w:b/>
          <w:bCs/>
          <w:color w:val="23532C"/>
          <w:sz w:val="18"/>
          <w:szCs w:val="20"/>
          <w:lang w:val="en-GB" w:eastAsia="en-GB"/>
        </w:rPr>
      </w:r>
      <w:r>
        <w:rPr>
          <w:rFonts w:eastAsiaTheme="minorEastAsia"/>
          <w:b/>
          <w:bCs/>
          <w:color w:val="23532C"/>
          <w:sz w:val="18"/>
          <w:szCs w:val="20"/>
          <w:lang w:val="en-GB" w:eastAsia="en-GB"/>
        </w:rPr>
        <w:fldChar w:fldCharType="separate"/>
      </w:r>
    </w:p>
    <w:p w:rsidR="00402750" w:rsidRDefault="000B70CE" w:rsidP="00C54A8A">
      <w:pPr>
        <w:jc w:val="both"/>
      </w:pPr>
      <w:r>
        <w:t>Table</w:t>
      </w:r>
      <w:r>
        <w:rPr>
          <w:noProof/>
        </w:rPr>
        <w:t xml:space="preserve"> 8</w:t>
      </w:r>
      <w:r w:rsidR="00402750">
        <w:fldChar w:fldCharType="end"/>
      </w:r>
      <w:r w:rsidR="00402750">
        <w:t xml:space="preserve"> have been included. While these are not comprehensive, they provide enough information to assess the COPD pathway in terms of the interventions that should be assessed to improve health outcomes for New Zealanders.</w:t>
      </w:r>
    </w:p>
    <w:p w:rsidR="00C54B8B" w:rsidRPr="001066D3" w:rsidRDefault="00C54B8B" w:rsidP="00C54B8B">
      <w:pPr>
        <w:pStyle w:val="Head3-nonumber"/>
      </w:pPr>
      <w:r>
        <w:t>Private patient fees</w:t>
      </w:r>
    </w:p>
    <w:p w:rsidR="00C54B8B" w:rsidRDefault="00C54B8B" w:rsidP="00C54B8B">
      <w:r>
        <w:t>It is important to note that private patient fees are not included in our cost analyses, GP patient fees, fees for collecting prescriptions, and any medical treatment paid for directly by the patient, or the patient’s insurer are not included. The prescription and GP fees can be a barrier to patients accessing public health services, with 8% of adults not collecting a prescription and one in seven (14%) not going to a GP because of the cost in 2011/12. This was even more of a barrier to Māori and more deprived patients</w:t>
      </w:r>
      <w:r>
        <w:fldChar w:fldCharType="begin"/>
      </w:r>
      <w:r>
        <w:instrText xml:space="preserve"> ADDIN EN.CITE &lt;EndNote&gt;&lt;Cite&gt;&lt;Author&gt;Ministry of Health&lt;/Author&gt;&lt;Year&gt;2012&lt;/Year&gt;&lt;RecNum&gt;757&lt;/RecNum&gt;&lt;DisplayText&gt;&lt;style face="superscript"&gt;(28)&lt;/style&gt;&lt;/DisplayText&gt;&lt;record&gt;&lt;rec-number&gt;757&lt;/rec-number&gt;&lt;foreign-keys&gt;&lt;key app="EN" db-id="22d09ravozpff5ea9zs509ewttsdavsvwr25"&gt;757&lt;/key&gt;&lt;/foreign-keys&gt;&lt;ref-type name="Report"&gt;27&lt;/ref-type&gt;&lt;contributors&gt;&lt;authors&gt;&lt;author&gt;Ministry of Health,&lt;/author&gt;&lt;/authors&gt;&lt;/contributors&gt;&lt;titles&gt;&lt;title&gt;The Health of New Zealand Adults 2011/12: Key findings of the New Zealand health Survey&lt;/title&gt;&lt;/titles&gt;&lt;dates&gt;&lt;year&gt;2012&lt;/year&gt;&lt;/dates&gt;&lt;pub-location&gt;Wellington&lt;/pub-location&gt;&lt;publisher&gt;Ministry of Health&lt;/publisher&gt;&lt;urls&gt;&lt;related-urls&gt;&lt;url&gt;http://www.health.govt.nz/publication/health-new-zealand-adults-2011-12&lt;/url&gt;&lt;/related-urls&gt;&lt;/urls&gt;&lt;/record&gt;&lt;/Cite&gt;&lt;/EndNote&gt;</w:instrText>
      </w:r>
      <w:r>
        <w:fldChar w:fldCharType="separate"/>
      </w:r>
      <w:r w:rsidRPr="00C54B8B">
        <w:rPr>
          <w:noProof/>
          <w:vertAlign w:val="superscript"/>
        </w:rPr>
        <w:t>(</w:t>
      </w:r>
      <w:hyperlink w:anchor="_ENREF_28" w:tooltip="Ministry of Health, 2012 #757" w:history="1">
        <w:r w:rsidR="0029347A" w:rsidRPr="00C54B8B">
          <w:rPr>
            <w:noProof/>
            <w:vertAlign w:val="superscript"/>
          </w:rPr>
          <w:t>28</w:t>
        </w:r>
      </w:hyperlink>
      <w:r w:rsidRPr="00C54B8B">
        <w:rPr>
          <w:noProof/>
          <w:vertAlign w:val="superscript"/>
        </w:rPr>
        <w:t>)</w:t>
      </w:r>
      <w:r>
        <w:fldChar w:fldCharType="end"/>
      </w:r>
      <w:r>
        <w:t>. While these fees have not been included in our cost analysis they should be considered in any pathway of care as patients not taking pharmaceuticals they have been prescribed, or not seeing a GP when they need to can have flow on effects in terms of a patient attending ED, which has no patient fee. Barriers to patients not managing their condition in the best way leads to a poorer quality of life, or increased risk of a severe exacerbation, and earlier death than if they had accessed the care needed.</w:t>
      </w:r>
    </w:p>
    <w:p w:rsidR="00C54B8B" w:rsidRDefault="00C54B8B" w:rsidP="00C54A8A">
      <w:pPr>
        <w:jc w:val="both"/>
      </w:pPr>
    </w:p>
    <w:p w:rsidR="00C54B8B" w:rsidRDefault="00C54B8B" w:rsidP="00C54A8A">
      <w:pPr>
        <w:jc w:val="both"/>
      </w:pPr>
    </w:p>
    <w:p w:rsidR="00402750" w:rsidRPr="003C5FED" w:rsidRDefault="00402750" w:rsidP="00C54A8A">
      <w:pPr>
        <w:pStyle w:val="Head2nonumber"/>
        <w:jc w:val="both"/>
      </w:pPr>
      <w:bookmarkStart w:id="249" w:name="_Toc370401408"/>
      <w:bookmarkStart w:id="250" w:name="_Toc370477250"/>
      <w:bookmarkStart w:id="251" w:name="_Toc371949689"/>
      <w:bookmarkStart w:id="252" w:name="_Toc382225541"/>
      <w:bookmarkStart w:id="253" w:name="_Toc382475523"/>
      <w:bookmarkStart w:id="254" w:name="_Toc382554910"/>
      <w:bookmarkStart w:id="255" w:name="_Toc382574764"/>
      <w:r w:rsidRPr="003C5FED">
        <w:t xml:space="preserve">Patient </w:t>
      </w:r>
      <w:r>
        <w:t>Stratification</w:t>
      </w:r>
      <w:bookmarkEnd w:id="249"/>
      <w:bookmarkEnd w:id="250"/>
      <w:bookmarkEnd w:id="251"/>
      <w:bookmarkEnd w:id="252"/>
      <w:bookmarkEnd w:id="253"/>
      <w:bookmarkEnd w:id="254"/>
      <w:bookmarkEnd w:id="255"/>
    </w:p>
    <w:p w:rsidR="00F74054" w:rsidRDefault="00402750" w:rsidP="00C54A8A">
      <w:pPr>
        <w:jc w:val="both"/>
      </w:pPr>
      <w:r>
        <w:t xml:space="preserve">Patients have been put into mutually exclusive groups indicative of the severity of their COPD as outlined in </w:t>
      </w:r>
      <w:r>
        <w:fldChar w:fldCharType="begin"/>
      </w:r>
      <w:r>
        <w:instrText xml:space="preserve"> REF _Ref365534886 \h </w:instrText>
      </w:r>
      <w:r w:rsidR="00C54A8A">
        <w:instrText xml:space="preserve"> \* MERGEFORMAT </w:instrText>
      </w:r>
      <w:r>
        <w:fldChar w:fldCharType="separate"/>
      </w:r>
      <w:r w:rsidR="000B70CE">
        <w:t xml:space="preserve">Table </w:t>
      </w:r>
      <w:r w:rsidR="000B70CE">
        <w:rPr>
          <w:noProof/>
        </w:rPr>
        <w:t>3</w:t>
      </w:r>
      <w:r>
        <w:fldChar w:fldCharType="end"/>
      </w:r>
      <w:r w:rsidR="00E86EB4">
        <w:t xml:space="preserve"> of the main text: early stable; minor exacerbation; late stable; moderate-severe exacerbation; end-stage disease. </w:t>
      </w:r>
      <w:r>
        <w:t xml:space="preserve"> </w:t>
      </w:r>
      <w:r w:rsidR="0059413C">
        <w:t>Patients have been classed according to their service use and costs, not by their lung function and exacerbations.</w:t>
      </w:r>
    </w:p>
    <w:p w:rsidR="00402750" w:rsidRDefault="00402750" w:rsidP="00C54A8A">
      <w:pPr>
        <w:jc w:val="both"/>
      </w:pPr>
      <w:r>
        <w:t xml:space="preserve">It is important to note that most of the data are from 2010/11; however, the Mortality Collection is currently only available until December 2010 so it is likely that end stage is underestimated. </w:t>
      </w:r>
    </w:p>
    <w:p w:rsidR="0025374C" w:rsidRDefault="0025374C" w:rsidP="00C54A8A">
      <w:pPr>
        <w:pStyle w:val="Head2nonumber"/>
        <w:jc w:val="both"/>
      </w:pPr>
      <w:bookmarkStart w:id="256" w:name="_Toc382475524"/>
      <w:bookmarkStart w:id="257" w:name="_Toc382554911"/>
      <w:bookmarkStart w:id="258" w:name="_Toc382574765"/>
      <w:r>
        <w:t>Comorbidities</w:t>
      </w:r>
      <w:bookmarkEnd w:id="256"/>
      <w:bookmarkEnd w:id="257"/>
      <w:bookmarkEnd w:id="258"/>
    </w:p>
    <w:p w:rsidR="0025374C" w:rsidRDefault="0025374C" w:rsidP="00C54A8A">
      <w:pPr>
        <w:jc w:val="both"/>
        <w:rPr>
          <w:lang w:val="en-GB" w:eastAsia="en-GB"/>
        </w:rPr>
      </w:pPr>
      <w:r>
        <w:rPr>
          <w:lang w:val="en-GB" w:eastAsia="en-GB"/>
        </w:rPr>
        <w:t>As mentioned above if a person is hospitalised with a condition it may be the presence of another condition that result</w:t>
      </w:r>
      <w:r w:rsidR="00E86EB4">
        <w:rPr>
          <w:lang w:val="en-GB" w:eastAsia="en-GB"/>
        </w:rPr>
        <w:t>s in an extended length of stay</w:t>
      </w:r>
      <w:r>
        <w:rPr>
          <w:lang w:val="en-GB" w:eastAsia="en-GB"/>
        </w:rPr>
        <w:t xml:space="preserve"> or higher costs. To provide some insight into the comorbidities of people with COPD we appraised the list of conditions with the highest disability-adjusted life years and years lived with disability in New Zealand</w:t>
      </w:r>
      <w:r>
        <w:rPr>
          <w:lang w:val="en-GB" w:eastAsia="en-GB"/>
        </w:rPr>
        <w:fldChar w:fldCharType="begin"/>
      </w:r>
      <w:r w:rsidR="00551E6B">
        <w:rPr>
          <w:lang w:val="en-GB" w:eastAsia="en-GB"/>
        </w:rPr>
        <w:instrText xml:space="preserve"> ADDIN EN.CITE &lt;EndNote&gt;&lt;Cite&gt;&lt;Author&gt;Ministry of Health&lt;/Author&gt;&lt;Year&gt;2013&lt;/Year&gt;&lt;RecNum&gt;743&lt;/RecNum&gt;&lt;DisplayText&gt;&lt;style face="superscript"&gt;(15)&lt;/style&gt;&lt;/DisplayText&gt;&lt;record&gt;&lt;rec-number&gt;743&lt;/rec-number&gt;&lt;foreign-keys&gt;&lt;key app="EN" db-id="22d09ravozpff5ea9zs509ewttsdavsvwr25"&gt;743&lt;/key&gt;&lt;/foreign-keys&gt;&lt;ref-type name="Report"&gt;27&lt;/ref-type&gt;&lt;contributors&gt;&lt;authors&gt;&lt;author&gt;Ministry of Health,&lt;/author&gt;&lt;/authors&gt;&lt;tertiary-authors&gt;&lt;author&gt;Ministry of Health&lt;/author&gt;&lt;/tertiary-authors&gt;&lt;/contributors&gt;&lt;titles&gt;&lt;title&gt;Health Loss in New Zealand: A report from the New Zealand Burden of Diseases, Injuries and Risk Factors Study, 2006-2016&lt;/title&gt;&lt;/titles&gt;&lt;dates&gt;&lt;year&gt;2013&lt;/year&gt;&lt;/dates&gt;&lt;pub-location&gt;Wellington&lt;/pub-location&gt;&lt;publisher&gt;Ministry of Health&lt;/publisher&gt;&lt;urls&gt;&lt;related-urls&gt;&lt;url&gt;http://www.health.govt.nz/publication/health-loss-new-zealand-report-new-zealand-burden-diseases-injuries-and-risk-factors-study-2006-2016&lt;/url&gt;&lt;/related-urls&gt;&lt;/urls&gt;&lt;access-date&gt;9 September 2013&lt;/access-date&gt;&lt;/record&gt;&lt;/Cite&gt;&lt;/EndNote&gt;</w:instrText>
      </w:r>
      <w:r>
        <w:rPr>
          <w:lang w:val="en-GB" w:eastAsia="en-GB"/>
        </w:rPr>
        <w:fldChar w:fldCharType="separate"/>
      </w:r>
      <w:r w:rsidR="00551E6B" w:rsidRPr="00551E6B">
        <w:rPr>
          <w:noProof/>
          <w:vertAlign w:val="superscript"/>
          <w:lang w:val="en-GB" w:eastAsia="en-GB"/>
        </w:rPr>
        <w:t>(</w:t>
      </w:r>
      <w:hyperlink w:anchor="_ENREF_15" w:tooltip="Ministry of Health, 2013 #743" w:history="1">
        <w:r w:rsidR="0029347A" w:rsidRPr="00551E6B">
          <w:rPr>
            <w:noProof/>
            <w:vertAlign w:val="superscript"/>
            <w:lang w:val="en-GB" w:eastAsia="en-GB"/>
          </w:rPr>
          <w:t>15</w:t>
        </w:r>
      </w:hyperlink>
      <w:r w:rsidR="00551E6B" w:rsidRPr="00551E6B">
        <w:rPr>
          <w:noProof/>
          <w:vertAlign w:val="superscript"/>
          <w:lang w:val="en-GB" w:eastAsia="en-GB"/>
        </w:rPr>
        <w:t>)</w:t>
      </w:r>
      <w:r>
        <w:rPr>
          <w:lang w:val="en-GB" w:eastAsia="en-GB"/>
        </w:rPr>
        <w:fldChar w:fldCharType="end"/>
      </w:r>
      <w:r>
        <w:rPr>
          <w:lang w:val="en-GB" w:eastAsia="en-GB"/>
        </w:rPr>
        <w:t xml:space="preserve"> alongside available data and clinical advice. From this a list of potential comorbidities was selected to investigate among COPD patients for 2010/11: </w:t>
      </w:r>
    </w:p>
    <w:p w:rsidR="0025374C" w:rsidRDefault="0025374C" w:rsidP="00C54A8A">
      <w:pPr>
        <w:pStyle w:val="ListParagraph"/>
        <w:numPr>
          <w:ilvl w:val="0"/>
          <w:numId w:val="27"/>
        </w:numPr>
        <w:spacing w:line="240" w:lineRule="auto"/>
        <w:jc w:val="both"/>
      </w:pPr>
      <w:r>
        <w:t>lung cancer</w:t>
      </w:r>
    </w:p>
    <w:p w:rsidR="0025374C" w:rsidRDefault="0025374C" w:rsidP="00C54A8A">
      <w:pPr>
        <w:pStyle w:val="ListParagraph"/>
        <w:numPr>
          <w:ilvl w:val="0"/>
          <w:numId w:val="27"/>
        </w:numPr>
        <w:spacing w:line="240" w:lineRule="auto"/>
        <w:jc w:val="both"/>
      </w:pPr>
      <w:r>
        <w:t>colorectal cancer</w:t>
      </w:r>
    </w:p>
    <w:p w:rsidR="0025374C" w:rsidRDefault="0025374C" w:rsidP="00C54A8A">
      <w:pPr>
        <w:pStyle w:val="ListParagraph"/>
        <w:numPr>
          <w:ilvl w:val="0"/>
          <w:numId w:val="27"/>
        </w:numPr>
        <w:spacing w:line="240" w:lineRule="auto"/>
        <w:jc w:val="both"/>
      </w:pPr>
      <w:r>
        <w:t>(female) breast cancer</w:t>
      </w:r>
    </w:p>
    <w:p w:rsidR="0025374C" w:rsidRDefault="0025374C" w:rsidP="00C54A8A">
      <w:pPr>
        <w:pStyle w:val="ListParagraph"/>
        <w:numPr>
          <w:ilvl w:val="0"/>
          <w:numId w:val="27"/>
        </w:numPr>
        <w:spacing w:line="240" w:lineRule="auto"/>
        <w:jc w:val="both"/>
      </w:pPr>
      <w:r>
        <w:t>prostate cancer</w:t>
      </w:r>
    </w:p>
    <w:p w:rsidR="0025374C" w:rsidRDefault="0025374C" w:rsidP="00C54A8A">
      <w:pPr>
        <w:pStyle w:val="ListParagraph"/>
        <w:numPr>
          <w:ilvl w:val="0"/>
          <w:numId w:val="27"/>
        </w:numPr>
        <w:spacing w:line="240" w:lineRule="auto"/>
        <w:jc w:val="both"/>
      </w:pPr>
      <w:r>
        <w:t>other cancer/s</w:t>
      </w:r>
    </w:p>
    <w:p w:rsidR="0025374C" w:rsidRDefault="0025374C" w:rsidP="00C54A8A">
      <w:pPr>
        <w:pStyle w:val="ListParagraph"/>
        <w:numPr>
          <w:ilvl w:val="0"/>
          <w:numId w:val="27"/>
        </w:numPr>
        <w:spacing w:line="240" w:lineRule="auto"/>
        <w:jc w:val="both"/>
      </w:pPr>
      <w:r>
        <w:t>ischaemic heart disease</w:t>
      </w:r>
    </w:p>
    <w:p w:rsidR="0025374C" w:rsidRDefault="0025374C" w:rsidP="00C54A8A">
      <w:pPr>
        <w:pStyle w:val="ListParagraph"/>
        <w:numPr>
          <w:ilvl w:val="0"/>
          <w:numId w:val="27"/>
        </w:numPr>
        <w:spacing w:line="240" w:lineRule="auto"/>
        <w:jc w:val="both"/>
      </w:pPr>
      <w:r>
        <w:t>ever-hospitalised stroke</w:t>
      </w:r>
    </w:p>
    <w:p w:rsidR="0025374C" w:rsidRDefault="0025374C" w:rsidP="00C54A8A">
      <w:pPr>
        <w:pStyle w:val="ListParagraph"/>
        <w:numPr>
          <w:ilvl w:val="0"/>
          <w:numId w:val="27"/>
        </w:numPr>
        <w:spacing w:line="240" w:lineRule="auto"/>
        <w:jc w:val="both"/>
      </w:pPr>
      <w:r>
        <w:t>anxiety and/or depression (past 12 months)</w:t>
      </w:r>
    </w:p>
    <w:p w:rsidR="0025374C" w:rsidRDefault="0025374C" w:rsidP="00C54A8A">
      <w:pPr>
        <w:pStyle w:val="ListParagraph"/>
        <w:numPr>
          <w:ilvl w:val="0"/>
          <w:numId w:val="27"/>
        </w:numPr>
        <w:spacing w:line="240" w:lineRule="auto"/>
        <w:jc w:val="both"/>
      </w:pPr>
      <w:r>
        <w:t>gout</w:t>
      </w:r>
    </w:p>
    <w:p w:rsidR="0025374C" w:rsidRDefault="0025374C" w:rsidP="00C54A8A">
      <w:pPr>
        <w:pStyle w:val="ListParagraph"/>
        <w:numPr>
          <w:ilvl w:val="0"/>
          <w:numId w:val="27"/>
        </w:numPr>
        <w:spacing w:line="240" w:lineRule="auto"/>
        <w:jc w:val="both"/>
      </w:pPr>
      <w:r>
        <w:t>diabetes</w:t>
      </w:r>
    </w:p>
    <w:p w:rsidR="00F74054" w:rsidRDefault="0025374C" w:rsidP="00C54A8A">
      <w:pPr>
        <w:pStyle w:val="ListParagraph"/>
        <w:numPr>
          <w:ilvl w:val="0"/>
          <w:numId w:val="27"/>
        </w:numPr>
        <w:spacing w:line="240" w:lineRule="auto"/>
        <w:jc w:val="both"/>
      </w:pPr>
      <w:r>
        <w:t>heart failure</w:t>
      </w:r>
    </w:p>
    <w:p w:rsidR="0025374C" w:rsidRDefault="00F74054" w:rsidP="00C54A8A">
      <w:pPr>
        <w:pStyle w:val="ListParagraph"/>
        <w:numPr>
          <w:ilvl w:val="0"/>
          <w:numId w:val="27"/>
        </w:numPr>
        <w:spacing w:line="240" w:lineRule="auto"/>
        <w:jc w:val="both"/>
      </w:pPr>
      <w:r>
        <w:t>dementia</w:t>
      </w:r>
      <w:r w:rsidR="0025374C">
        <w:t>.</w:t>
      </w:r>
    </w:p>
    <w:p w:rsidR="0025374C" w:rsidRDefault="0025374C" w:rsidP="00C54A8A">
      <w:pPr>
        <w:jc w:val="both"/>
      </w:pPr>
      <w:r w:rsidRPr="00134D9C">
        <w:t>Note that the current definition of asthma in the New Zealand Health Tracker means that patients cannot have asthma if they have COPD.</w:t>
      </w:r>
      <w:r>
        <w:t xml:space="preserve"> To simplify comparisons this has also been excluded from the conditions in the ‘total population’.</w:t>
      </w:r>
    </w:p>
    <w:p w:rsidR="0025374C" w:rsidRDefault="0025374C" w:rsidP="00C54A8A">
      <w:pPr>
        <w:jc w:val="both"/>
      </w:pPr>
      <w:r>
        <w:t>The methods and limitations of how each of these diseases have been measured are outlined below.</w:t>
      </w:r>
    </w:p>
    <w:p w:rsidR="0025374C" w:rsidRDefault="0025374C" w:rsidP="00C54A8A">
      <w:pPr>
        <w:pStyle w:val="Head3-nonumber"/>
        <w:jc w:val="both"/>
      </w:pPr>
      <w:bookmarkStart w:id="259" w:name="_Toc382475525"/>
      <w:bookmarkStart w:id="260" w:name="_Toc382554912"/>
      <w:bookmarkStart w:id="261" w:name="_Toc382574766"/>
      <w:r>
        <w:t>Cancer</w:t>
      </w:r>
      <w:bookmarkEnd w:id="259"/>
      <w:bookmarkEnd w:id="260"/>
      <w:bookmarkEnd w:id="261"/>
    </w:p>
    <w:p w:rsidR="0025374C" w:rsidRDefault="0025374C" w:rsidP="00C54A8A">
      <w:pPr>
        <w:jc w:val="both"/>
      </w:pPr>
      <w:r w:rsidRPr="000D5D63">
        <w:t>The New Zealand Cancer Registry (NZCR) is a population-based register of all primary malignant diseases diagnosed in New Zealand, excluding squamous and basal cell skin cancers.</w:t>
      </w:r>
      <w:r>
        <w:fldChar w:fldCharType="begin"/>
      </w:r>
      <w:r w:rsidR="00C54B8B">
        <w:instrText xml:space="preserve"> ADDIN EN.CITE &lt;EndNote&gt;&lt;Cite&gt;&lt;Author&gt;Health&lt;/Author&gt;&lt;Year&gt;2013&lt;/Year&gt;&lt;RecNum&gt;749&lt;/RecNum&gt;&lt;DisplayText&gt;&lt;style face="superscript"&gt;(29)&lt;/style&gt;&lt;/DisplayText&gt;&lt;record&gt;&lt;rec-number&gt;749&lt;/rec-number&gt;&lt;foreign-keys&gt;&lt;key app="EN" db-id="22d09ravozpff5ea9zs509ewttsdavsvwr25"&gt;749&lt;/key&gt;&lt;/foreign-keys&gt;&lt;ref-type name="Web Page"&gt;12&lt;/ref-type&gt;&lt;contributors&gt;&lt;authors&gt;&lt;author&gt;Ministry of Health,&lt;/author&gt;&lt;/authors&gt;&lt;/contributors&gt;&lt;titles&gt;&lt;title&gt;New Zealand Cancer Registry (NZCR)&lt;/title&gt;&lt;/titles&gt;&lt;volume&gt;2014&lt;/volume&gt;&lt;number&gt;January 24&lt;/number&gt;&lt;dates&gt;&lt;year&gt;2013&lt;/year&gt;&lt;pub-dates&gt;&lt;date&gt;19 July 2013&lt;/date&gt;&lt;/pub-dates&gt;&lt;/dates&gt;&lt;pub-location&gt;Wellington&lt;/pub-location&gt;&lt;publisher&gt;Ministry of Health&lt;/publisher&gt;&lt;urls&gt;&lt;related-urls&gt;&lt;url&gt;http://www.health.govt.nz/nz-health-statistics/national-collections-and-surveys/collections/new-zealand-cancer-registry-nzcr&lt;/url&gt;&lt;/related-urls&gt;&lt;/urls&gt;&lt;/record&gt;&lt;/Cite&gt;&lt;/EndNote&gt;</w:instrText>
      </w:r>
      <w:r>
        <w:fldChar w:fldCharType="separate"/>
      </w:r>
      <w:r w:rsidR="00C54B8B" w:rsidRPr="00C54B8B">
        <w:rPr>
          <w:noProof/>
          <w:vertAlign w:val="superscript"/>
        </w:rPr>
        <w:t>(</w:t>
      </w:r>
      <w:hyperlink w:anchor="_ENREF_29" w:tooltip="Ministry of Health, 2013 #749" w:history="1">
        <w:r w:rsidR="0029347A" w:rsidRPr="00C54B8B">
          <w:rPr>
            <w:noProof/>
            <w:vertAlign w:val="superscript"/>
          </w:rPr>
          <w:t>29</w:t>
        </w:r>
      </w:hyperlink>
      <w:r w:rsidR="00C54B8B" w:rsidRPr="00C54B8B">
        <w:rPr>
          <w:noProof/>
          <w:vertAlign w:val="superscript"/>
        </w:rPr>
        <w:t>)</w:t>
      </w:r>
      <w:r>
        <w:fldChar w:fldCharType="end"/>
      </w:r>
      <w:r>
        <w:t xml:space="preserve"> NZCR data (including preliminary 2011 data) have been used to provide 2010/11 measures with an effective cure time of five years</w:t>
      </w:r>
      <w:r>
        <w:rPr>
          <w:rStyle w:val="FootnoteReference"/>
        </w:rPr>
        <w:footnoteReference w:id="6"/>
      </w:r>
      <w:r>
        <w:t xml:space="preserve">.  The ICD-10 codes used for colorectal cancer were C18 to C21, lung cancer were C33 and C34, breast cancer was C50 and was limited to females and prostate cancer was C61 and limited to males. </w:t>
      </w:r>
      <w:r w:rsidR="00E86EB4">
        <w:t>“</w:t>
      </w:r>
      <w:r>
        <w:t>Other cancer/s</w:t>
      </w:r>
      <w:r w:rsidR="00E86EB4">
        <w:t>”</w:t>
      </w:r>
      <w:r>
        <w:t xml:space="preserve"> was made up of the residual C-codes.</w:t>
      </w:r>
    </w:p>
    <w:p w:rsidR="0025374C" w:rsidRDefault="0025374C" w:rsidP="00C54A8A">
      <w:pPr>
        <w:pStyle w:val="Head3-nonumber"/>
        <w:jc w:val="both"/>
      </w:pPr>
      <w:bookmarkStart w:id="262" w:name="_Toc382475526"/>
      <w:bookmarkStart w:id="263" w:name="_Toc382554913"/>
      <w:bookmarkStart w:id="264" w:name="_Toc382574767"/>
      <w:r>
        <w:t>Ischaemic Heart Disease</w:t>
      </w:r>
      <w:bookmarkEnd w:id="262"/>
      <w:bookmarkEnd w:id="263"/>
      <w:bookmarkEnd w:id="264"/>
    </w:p>
    <w:p w:rsidR="00C54A8A" w:rsidRPr="00C54B8B" w:rsidRDefault="0025374C" w:rsidP="00C54A8A">
      <w:pPr>
        <w:jc w:val="both"/>
      </w:pPr>
      <w:r>
        <w:t xml:space="preserve">The definition for a prevalent ischaemic heart disease (IHD) case used here is the same as that used in the </w:t>
      </w:r>
      <w:r w:rsidRPr="00040044">
        <w:rPr>
          <w:i/>
        </w:rPr>
        <w:t>New Zealand Burden of Diseases, Injuries and Risk Factors Study, 2006–2016</w:t>
      </w:r>
      <w:r>
        <w:rPr>
          <w:i/>
        </w:rPr>
        <w:t xml:space="preserve"> </w:t>
      </w:r>
      <w:r>
        <w:t>(NZBDS)</w:t>
      </w:r>
      <w:r>
        <w:rPr>
          <w:i/>
        </w:rPr>
        <w:fldChar w:fldCharType="begin"/>
      </w:r>
      <w:r w:rsidR="00551E6B">
        <w:rPr>
          <w:i/>
        </w:rPr>
        <w:instrText xml:space="preserve"> ADDIN EN.CITE &lt;EndNote&gt;&lt;Cite&gt;&lt;Author&gt;Ministry of Health&lt;/Author&gt;&lt;Year&gt;2013&lt;/Year&gt;&lt;RecNum&gt;743&lt;/RecNum&gt;&lt;DisplayText&gt;&lt;style face="superscript"&gt;(15)&lt;/style&gt;&lt;/DisplayText&gt;&lt;record&gt;&lt;rec-number&gt;743&lt;/rec-number&gt;&lt;foreign-keys&gt;&lt;key app="EN" db-id="22d09ravozpff5ea9zs509ewttsdavsvwr25"&gt;743&lt;/key&gt;&lt;/foreign-keys&gt;&lt;ref-type name="Report"&gt;27&lt;/ref-type&gt;&lt;contributors&gt;&lt;authors&gt;&lt;author&gt;Ministry of Health,&lt;/author&gt;&lt;/authors&gt;&lt;tertiary-authors&gt;&lt;author&gt;Ministry of Health&lt;/author&gt;&lt;/tertiary-authors&gt;&lt;/contributors&gt;&lt;titles&gt;&lt;title&gt;Health Loss in New Zealand: A report from the New Zealand Burden of Diseases, Injuries and Risk Factors Study, 2006-2016&lt;/title&gt;&lt;/titles&gt;&lt;dates&gt;&lt;year&gt;2013&lt;/year&gt;&lt;/dates&gt;&lt;pub-location&gt;Wellington&lt;/pub-location&gt;&lt;publisher&gt;Ministry of Health&lt;/publisher&gt;&lt;urls&gt;&lt;related-urls&gt;&lt;url&gt;http://www.health.govt.nz/publication/health-loss-new-zealand-report-new-zealand-burden-diseases-injuries-and-risk-factors-study-2006-2016&lt;/url&gt;&lt;/related-urls&gt;&lt;/urls&gt;&lt;access-date&gt;9 September 2013&lt;/access-date&gt;&lt;/record&gt;&lt;/Cite&gt;&lt;/EndNote&gt;</w:instrText>
      </w:r>
      <w:r>
        <w:rPr>
          <w:i/>
        </w:rPr>
        <w:fldChar w:fldCharType="separate"/>
      </w:r>
      <w:r w:rsidR="00551E6B" w:rsidRPr="00551E6B">
        <w:rPr>
          <w:i/>
          <w:noProof/>
          <w:vertAlign w:val="superscript"/>
        </w:rPr>
        <w:t>(</w:t>
      </w:r>
      <w:hyperlink w:anchor="_ENREF_15" w:tooltip="Ministry of Health, 2013 #743" w:history="1">
        <w:r w:rsidR="0029347A" w:rsidRPr="00551E6B">
          <w:rPr>
            <w:i/>
            <w:noProof/>
            <w:vertAlign w:val="superscript"/>
          </w:rPr>
          <w:t>15</w:t>
        </w:r>
      </w:hyperlink>
      <w:r w:rsidR="00551E6B" w:rsidRPr="00551E6B">
        <w:rPr>
          <w:i/>
          <w:noProof/>
          <w:vertAlign w:val="superscript"/>
        </w:rPr>
        <w:t>)</w:t>
      </w:r>
      <w:r>
        <w:rPr>
          <w:i/>
        </w:rPr>
        <w:fldChar w:fldCharType="end"/>
      </w:r>
      <w:r>
        <w:rPr>
          <w:i/>
        </w:rPr>
        <w:t xml:space="preserve"> </w:t>
      </w:r>
      <w:r w:rsidRPr="006D72C8">
        <w:t xml:space="preserve">aside from the age limitation which was </w:t>
      </w:r>
      <w:r>
        <w:t>amended retrospectively to 2</w:t>
      </w:r>
      <w:r w:rsidRPr="006D72C8">
        <w:t>5 years in the NZBDS.</w:t>
      </w:r>
      <w:r>
        <w:rPr>
          <w:i/>
        </w:rPr>
        <w:t xml:space="preserve"> </w:t>
      </w:r>
      <w:r>
        <w:t>The hospital records for this analysis go back to 1988.</w:t>
      </w:r>
      <w:r>
        <w:rPr>
          <w:i/>
        </w:rPr>
        <w:t xml:space="preserve"> </w:t>
      </w:r>
      <w:r w:rsidRPr="0019051E">
        <w:t>Th</w:t>
      </w:r>
      <w:r>
        <w:t xml:space="preserve">e IHD definition used here is outlined in </w:t>
      </w:r>
      <w:r>
        <w:fldChar w:fldCharType="begin"/>
      </w:r>
      <w:r>
        <w:instrText xml:space="preserve"> REF _Ref373158609 \h </w:instrText>
      </w:r>
      <w:r w:rsidR="00C54A8A">
        <w:instrText xml:space="preserve"> \* MERGEFORMAT </w:instrText>
      </w:r>
      <w:r>
        <w:fldChar w:fldCharType="separate"/>
      </w:r>
      <w:r w:rsidR="000B70CE">
        <w:t xml:space="preserve">Table </w:t>
      </w:r>
      <w:r w:rsidR="000B70CE">
        <w:rPr>
          <w:noProof/>
        </w:rPr>
        <w:t>9</w:t>
      </w:r>
      <w:r>
        <w:fldChar w:fldCharType="end"/>
      </w:r>
      <w:r>
        <w:t>.</w:t>
      </w:r>
      <w:r w:rsidRPr="0019051E">
        <w:t xml:space="preserve"> </w:t>
      </w:r>
    </w:p>
    <w:p w:rsidR="0025374C" w:rsidRDefault="0025374C" w:rsidP="00C54A8A">
      <w:pPr>
        <w:pStyle w:val="Caption"/>
        <w:jc w:val="both"/>
      </w:pPr>
      <w:bookmarkStart w:id="265" w:name="_Ref373158609"/>
      <w:r>
        <w:t xml:space="preserve">Table </w:t>
      </w:r>
      <w:r>
        <w:fldChar w:fldCharType="begin"/>
      </w:r>
      <w:r>
        <w:instrText xml:space="preserve"> SEQ Table \* ARABIC </w:instrText>
      </w:r>
      <w:r>
        <w:fldChar w:fldCharType="separate"/>
      </w:r>
      <w:r w:rsidR="000B70CE">
        <w:rPr>
          <w:noProof/>
        </w:rPr>
        <w:t>9</w:t>
      </w:r>
      <w:r>
        <w:rPr>
          <w:noProof/>
        </w:rPr>
        <w:fldChar w:fldCharType="end"/>
      </w:r>
      <w:bookmarkEnd w:id="265"/>
      <w:r>
        <w:t>, Definition criteria for New Zealand Health Tracker IHD indicator</w:t>
      </w:r>
    </w:p>
    <w:tbl>
      <w:tblPr>
        <w:tblStyle w:val="MediumGrid3-Accent3"/>
        <w:tblW w:w="9993" w:type="dxa"/>
        <w:tblLook w:val="04A0" w:firstRow="1" w:lastRow="0" w:firstColumn="1" w:lastColumn="0" w:noHBand="0" w:noVBand="1"/>
      </w:tblPr>
      <w:tblGrid>
        <w:gridCol w:w="2299"/>
        <w:gridCol w:w="3528"/>
        <w:gridCol w:w="4166"/>
      </w:tblGrid>
      <w:tr w:rsidR="0025374C" w:rsidRPr="00F6098E" w:rsidTr="00C54B8B">
        <w:trPr>
          <w:cnfStyle w:val="100000000000" w:firstRow="1" w:lastRow="0" w:firstColumn="0" w:lastColumn="0" w:oddVBand="0" w:evenVBand="0" w:oddHBand="0" w:evenHBand="0" w:firstRowFirstColumn="0" w:firstRowLastColumn="0" w:lastRowFirstColumn="0" w:lastRowLastColumn="0"/>
          <w:trHeight w:val="143"/>
          <w:tblHeader/>
        </w:trPr>
        <w:tc>
          <w:tcPr>
            <w:cnfStyle w:val="001000000000" w:firstRow="0" w:lastRow="0" w:firstColumn="1" w:lastColumn="0" w:oddVBand="0" w:evenVBand="0" w:oddHBand="0" w:evenHBand="0" w:firstRowFirstColumn="0" w:firstRowLastColumn="0" w:lastRowFirstColumn="0" w:lastRowLastColumn="0"/>
            <w:tcW w:w="2299" w:type="dxa"/>
          </w:tcPr>
          <w:p w:rsidR="0025374C" w:rsidRPr="00C54B8B" w:rsidRDefault="0025374C" w:rsidP="00C54A8A">
            <w:pPr>
              <w:spacing w:after="0" w:line="240" w:lineRule="auto"/>
              <w:jc w:val="both"/>
              <w:rPr>
                <w:rFonts w:asciiTheme="minorHAnsi" w:hAnsiTheme="minorHAnsi"/>
                <w:sz w:val="16"/>
                <w:szCs w:val="16"/>
                <w:lang w:val="en-GB" w:eastAsia="en-GB"/>
              </w:rPr>
            </w:pPr>
          </w:p>
        </w:tc>
        <w:tc>
          <w:tcPr>
            <w:tcW w:w="3528" w:type="dxa"/>
          </w:tcPr>
          <w:p w:rsidR="0025374C" w:rsidRPr="00C54B8B" w:rsidRDefault="0025374C"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Description</w:t>
            </w:r>
          </w:p>
        </w:tc>
        <w:tc>
          <w:tcPr>
            <w:tcW w:w="4166" w:type="dxa"/>
          </w:tcPr>
          <w:p w:rsidR="0025374C" w:rsidRPr="00C54B8B" w:rsidRDefault="0025374C" w:rsidP="00C54A8A">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Definition</w:t>
            </w:r>
          </w:p>
        </w:tc>
      </w:tr>
      <w:tr w:rsidR="0025374C" w:rsidRPr="00F6098E" w:rsidTr="00C54B8B">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299" w:type="dxa"/>
            <w:vMerge w:val="restart"/>
          </w:tcPr>
          <w:p w:rsidR="0025374C" w:rsidRPr="00C54B8B" w:rsidRDefault="0025374C" w:rsidP="00C54A8A">
            <w:pPr>
              <w:spacing w:after="0" w:line="240" w:lineRule="auto"/>
              <w:jc w:val="both"/>
              <w:rPr>
                <w:rFonts w:asciiTheme="minorHAnsi" w:hAnsiTheme="minorHAnsi"/>
                <w:sz w:val="16"/>
                <w:szCs w:val="16"/>
                <w:lang w:val="en-GB" w:eastAsia="en-GB"/>
              </w:rPr>
            </w:pPr>
            <w:r w:rsidRPr="00C54B8B">
              <w:rPr>
                <w:rFonts w:asciiTheme="minorHAnsi" w:hAnsiTheme="minorHAnsi"/>
                <w:sz w:val="16"/>
                <w:szCs w:val="16"/>
                <w:lang w:val="en-GB" w:eastAsia="en-GB"/>
              </w:rPr>
              <w:t>Any one of these diagnoses or procedures when aged 25 years or over:</w:t>
            </w:r>
          </w:p>
        </w:tc>
        <w:tc>
          <w:tcPr>
            <w:tcW w:w="3528" w:type="dxa"/>
          </w:tcPr>
          <w:p w:rsidR="0025374C" w:rsidRPr="00C54B8B" w:rsidRDefault="0025374C"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Ischaemic heart disease</w:t>
            </w:r>
          </w:p>
        </w:tc>
        <w:tc>
          <w:tcPr>
            <w:tcW w:w="4166" w:type="dxa"/>
          </w:tcPr>
          <w:p w:rsidR="0025374C" w:rsidRPr="00C54B8B" w:rsidRDefault="0025374C"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ICD-9: 410–414</w:t>
            </w:r>
          </w:p>
          <w:p w:rsidR="0025374C" w:rsidRPr="00C54B8B" w:rsidRDefault="0025374C"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ICD-10: I20–I25</w:t>
            </w:r>
          </w:p>
        </w:tc>
      </w:tr>
      <w:tr w:rsidR="0025374C" w:rsidRPr="00F6098E" w:rsidTr="00C54B8B">
        <w:trPr>
          <w:trHeight w:val="55"/>
        </w:trPr>
        <w:tc>
          <w:tcPr>
            <w:cnfStyle w:val="001000000000" w:firstRow="0" w:lastRow="0" w:firstColumn="1" w:lastColumn="0" w:oddVBand="0" w:evenVBand="0" w:oddHBand="0" w:evenHBand="0" w:firstRowFirstColumn="0" w:firstRowLastColumn="0" w:lastRowFirstColumn="0" w:lastRowLastColumn="0"/>
            <w:tcW w:w="2299" w:type="dxa"/>
            <w:vMerge/>
          </w:tcPr>
          <w:p w:rsidR="0025374C" w:rsidRPr="00C54B8B" w:rsidRDefault="0025374C" w:rsidP="00C54A8A">
            <w:pPr>
              <w:spacing w:after="0" w:line="240" w:lineRule="auto"/>
              <w:jc w:val="both"/>
              <w:rPr>
                <w:rFonts w:asciiTheme="minorHAnsi" w:hAnsiTheme="minorHAnsi"/>
                <w:sz w:val="16"/>
                <w:szCs w:val="16"/>
                <w:lang w:val="en-GB" w:eastAsia="en-GB"/>
              </w:rPr>
            </w:pPr>
          </w:p>
        </w:tc>
        <w:tc>
          <w:tcPr>
            <w:tcW w:w="3528" w:type="dxa"/>
          </w:tcPr>
          <w:p w:rsidR="0025374C" w:rsidRPr="00C54B8B" w:rsidRDefault="0025374C"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Presence of aortocoronary bypass graft</w:t>
            </w:r>
          </w:p>
        </w:tc>
        <w:tc>
          <w:tcPr>
            <w:tcW w:w="4166" w:type="dxa"/>
          </w:tcPr>
          <w:p w:rsidR="0025374C" w:rsidRPr="00C54B8B" w:rsidRDefault="0025374C"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ICD-9: V45.81</w:t>
            </w:r>
          </w:p>
          <w:p w:rsidR="0025374C" w:rsidRPr="00C54B8B" w:rsidRDefault="0025374C"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ICD-10: Z95.1</w:t>
            </w:r>
          </w:p>
        </w:tc>
      </w:tr>
      <w:tr w:rsidR="0025374C" w:rsidRPr="00F6098E" w:rsidTr="00C54B8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299" w:type="dxa"/>
            <w:vMerge/>
          </w:tcPr>
          <w:p w:rsidR="0025374C" w:rsidRPr="00C54B8B" w:rsidRDefault="0025374C" w:rsidP="00C54A8A">
            <w:pPr>
              <w:spacing w:after="0" w:line="240" w:lineRule="auto"/>
              <w:jc w:val="both"/>
              <w:rPr>
                <w:rFonts w:asciiTheme="minorHAnsi" w:hAnsiTheme="minorHAnsi"/>
                <w:sz w:val="16"/>
                <w:szCs w:val="16"/>
                <w:lang w:val="en-GB" w:eastAsia="en-GB"/>
              </w:rPr>
            </w:pPr>
          </w:p>
        </w:tc>
        <w:tc>
          <w:tcPr>
            <w:tcW w:w="3528" w:type="dxa"/>
          </w:tcPr>
          <w:p w:rsidR="0025374C" w:rsidRPr="00C54B8B" w:rsidRDefault="0025374C"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Presence of coronary angioplasty implant and graft</w:t>
            </w:r>
          </w:p>
        </w:tc>
        <w:tc>
          <w:tcPr>
            <w:tcW w:w="4166" w:type="dxa"/>
          </w:tcPr>
          <w:p w:rsidR="0025374C" w:rsidRPr="00C54B8B" w:rsidRDefault="0025374C"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ICD-9: V45.82</w:t>
            </w:r>
          </w:p>
          <w:p w:rsidR="0025374C" w:rsidRPr="00C54B8B" w:rsidRDefault="0025374C"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ICD-10: Z95.5</w:t>
            </w:r>
          </w:p>
        </w:tc>
      </w:tr>
      <w:tr w:rsidR="0025374C" w:rsidRPr="00F6098E" w:rsidTr="00C54B8B">
        <w:trPr>
          <w:trHeight w:val="55"/>
        </w:trPr>
        <w:tc>
          <w:tcPr>
            <w:cnfStyle w:val="001000000000" w:firstRow="0" w:lastRow="0" w:firstColumn="1" w:lastColumn="0" w:oddVBand="0" w:evenVBand="0" w:oddHBand="0" w:evenHBand="0" w:firstRowFirstColumn="0" w:firstRowLastColumn="0" w:lastRowFirstColumn="0" w:lastRowLastColumn="0"/>
            <w:tcW w:w="2299" w:type="dxa"/>
            <w:vMerge/>
          </w:tcPr>
          <w:p w:rsidR="0025374C" w:rsidRPr="00C54B8B" w:rsidRDefault="0025374C" w:rsidP="00C54A8A">
            <w:pPr>
              <w:spacing w:after="0" w:line="240" w:lineRule="auto"/>
              <w:jc w:val="both"/>
              <w:rPr>
                <w:rFonts w:asciiTheme="minorHAnsi" w:hAnsiTheme="minorHAnsi"/>
                <w:sz w:val="16"/>
                <w:szCs w:val="16"/>
                <w:lang w:val="en-GB" w:eastAsia="en-GB"/>
              </w:rPr>
            </w:pPr>
          </w:p>
        </w:tc>
        <w:tc>
          <w:tcPr>
            <w:tcW w:w="3528" w:type="dxa"/>
          </w:tcPr>
          <w:p w:rsidR="0025374C" w:rsidRPr="00C54B8B" w:rsidRDefault="0025374C"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Percutaneous angioplasty or stent intervention</w:t>
            </w:r>
          </w:p>
        </w:tc>
        <w:tc>
          <w:tcPr>
            <w:tcW w:w="4166" w:type="dxa"/>
          </w:tcPr>
          <w:p w:rsidR="0025374C" w:rsidRPr="00C54B8B" w:rsidRDefault="0025374C"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ICD-9: 36.01–36.07</w:t>
            </w:r>
          </w:p>
          <w:p w:rsidR="0025374C" w:rsidRPr="00C54B8B" w:rsidRDefault="0025374C"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 xml:space="preserve">ICD-10: </w:t>
            </w:r>
            <w:r w:rsidRPr="00C54B8B">
              <w:rPr>
                <w:rFonts w:asciiTheme="minorHAnsi" w:hAnsiTheme="minorHAnsi" w:cs="Times New Roman"/>
                <w:sz w:val="16"/>
                <w:szCs w:val="16"/>
                <w:lang w:val="en-GB" w:eastAsia="en-GB"/>
              </w:rPr>
              <w:t>3530400, 3530500, 3531000, 3531001, 3531002</w:t>
            </w:r>
          </w:p>
        </w:tc>
      </w:tr>
      <w:tr w:rsidR="0025374C" w:rsidRPr="00F6098E" w:rsidTr="00C54B8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299" w:type="dxa"/>
            <w:vMerge/>
          </w:tcPr>
          <w:p w:rsidR="0025374C" w:rsidRPr="00C54B8B" w:rsidRDefault="0025374C" w:rsidP="00C54A8A">
            <w:pPr>
              <w:spacing w:after="0" w:line="240" w:lineRule="auto"/>
              <w:jc w:val="both"/>
              <w:rPr>
                <w:rFonts w:asciiTheme="minorHAnsi" w:hAnsiTheme="minorHAnsi"/>
                <w:sz w:val="16"/>
                <w:szCs w:val="16"/>
                <w:lang w:val="en-GB" w:eastAsia="en-GB"/>
              </w:rPr>
            </w:pPr>
          </w:p>
        </w:tc>
        <w:tc>
          <w:tcPr>
            <w:tcW w:w="3528" w:type="dxa"/>
          </w:tcPr>
          <w:p w:rsidR="0025374C" w:rsidRPr="00C54B8B" w:rsidRDefault="0025374C"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Coronary Artery Bypass Graft, including reconstruction</w:t>
            </w:r>
          </w:p>
        </w:tc>
        <w:tc>
          <w:tcPr>
            <w:tcW w:w="4166" w:type="dxa"/>
          </w:tcPr>
          <w:p w:rsidR="0025374C" w:rsidRPr="00C54B8B" w:rsidRDefault="0025374C"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ICD-9: 36.10–36.16</w:t>
            </w:r>
          </w:p>
          <w:p w:rsidR="0025374C" w:rsidRPr="00C54B8B" w:rsidRDefault="0025374C"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 xml:space="preserve">ICD-10: </w:t>
            </w:r>
          </w:p>
          <w:p w:rsidR="0025374C" w:rsidRPr="00C54B8B" w:rsidRDefault="0025374C"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16"/>
                <w:szCs w:val="16"/>
                <w:lang w:val="en-GB" w:eastAsia="en-GB"/>
              </w:rPr>
            </w:pPr>
            <w:r w:rsidRPr="00C54B8B">
              <w:rPr>
                <w:rFonts w:asciiTheme="minorHAnsi" w:hAnsiTheme="minorHAnsi" w:cs="Times New Roman"/>
                <w:sz w:val="16"/>
                <w:szCs w:val="16"/>
                <w:lang w:val="en-GB" w:eastAsia="en-GB"/>
              </w:rPr>
              <w:t>3849700–3849707, 3850000–3850004, 3850300–3850304,</w:t>
            </w:r>
          </w:p>
          <w:p w:rsidR="0025374C" w:rsidRPr="00C54B8B" w:rsidRDefault="0025374C"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16"/>
                <w:szCs w:val="16"/>
                <w:lang w:val="en-GB" w:eastAsia="en-GB"/>
              </w:rPr>
            </w:pPr>
            <w:r w:rsidRPr="00C54B8B">
              <w:rPr>
                <w:rFonts w:asciiTheme="minorHAnsi" w:hAnsiTheme="minorHAnsi" w:cs="Times New Roman"/>
                <w:sz w:val="16"/>
                <w:szCs w:val="16"/>
                <w:lang w:val="en-GB" w:eastAsia="en-GB"/>
              </w:rPr>
              <w:t xml:space="preserve">3863700, </w:t>
            </w:r>
          </w:p>
          <w:p w:rsidR="0025374C" w:rsidRPr="00C54B8B" w:rsidRDefault="0025374C"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cs="Times New Roman"/>
                <w:sz w:val="16"/>
                <w:szCs w:val="16"/>
                <w:lang w:val="en-GB" w:eastAsia="en-GB"/>
              </w:rPr>
              <w:t>9020100–9020103</w:t>
            </w:r>
          </w:p>
        </w:tc>
      </w:tr>
      <w:tr w:rsidR="0025374C" w:rsidRPr="00F6098E" w:rsidTr="00C54B8B">
        <w:trPr>
          <w:trHeight w:val="720"/>
        </w:trPr>
        <w:tc>
          <w:tcPr>
            <w:cnfStyle w:val="001000000000" w:firstRow="0" w:lastRow="0" w:firstColumn="1" w:lastColumn="0" w:oddVBand="0" w:evenVBand="0" w:oddHBand="0" w:evenHBand="0" w:firstRowFirstColumn="0" w:firstRowLastColumn="0" w:lastRowFirstColumn="0" w:lastRowLastColumn="0"/>
            <w:tcW w:w="2299" w:type="dxa"/>
            <w:vMerge w:val="restart"/>
          </w:tcPr>
          <w:p w:rsidR="0025374C" w:rsidRPr="00C54B8B" w:rsidRDefault="0025374C" w:rsidP="00C54A8A">
            <w:pPr>
              <w:spacing w:after="0" w:line="240" w:lineRule="auto"/>
              <w:jc w:val="both"/>
              <w:rPr>
                <w:rFonts w:asciiTheme="minorHAnsi" w:hAnsiTheme="minorHAnsi"/>
                <w:sz w:val="16"/>
                <w:szCs w:val="16"/>
                <w:lang w:val="en-GB" w:eastAsia="en-GB"/>
              </w:rPr>
            </w:pPr>
            <w:r w:rsidRPr="00C54B8B">
              <w:rPr>
                <w:rFonts w:asciiTheme="minorHAnsi" w:hAnsiTheme="minorHAnsi"/>
                <w:sz w:val="16"/>
                <w:szCs w:val="16"/>
                <w:lang w:val="en-GB" w:eastAsia="en-GB"/>
              </w:rPr>
              <w:t xml:space="preserve">Aged 25 years or over and had any two dispensings of any of these pharmaceuticals in the previous 12 months </w:t>
            </w:r>
          </w:p>
        </w:tc>
        <w:tc>
          <w:tcPr>
            <w:tcW w:w="3528" w:type="dxa"/>
          </w:tcPr>
          <w:p w:rsidR="0025374C" w:rsidRPr="00C54B8B" w:rsidRDefault="0025374C"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Nitrate</w:t>
            </w:r>
          </w:p>
        </w:tc>
        <w:tc>
          <w:tcPr>
            <w:tcW w:w="4166" w:type="dxa"/>
          </w:tcPr>
          <w:p w:rsidR="0025374C" w:rsidRPr="00C54B8B" w:rsidRDefault="0025374C"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Glyceryl trinitrate</w:t>
            </w:r>
          </w:p>
          <w:p w:rsidR="0025374C" w:rsidRPr="00C54B8B" w:rsidRDefault="0025374C"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Isosorbide Dinitrate</w:t>
            </w:r>
          </w:p>
          <w:p w:rsidR="0025374C" w:rsidRPr="00C54B8B" w:rsidRDefault="0025374C"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Isosorbide mononitrate</w:t>
            </w:r>
          </w:p>
          <w:p w:rsidR="0025374C" w:rsidRPr="00C54B8B" w:rsidRDefault="0025374C" w:rsidP="00C54A8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Nicorandil</w:t>
            </w:r>
          </w:p>
        </w:tc>
      </w:tr>
      <w:tr w:rsidR="0025374C" w:rsidRPr="00F6098E" w:rsidTr="00C54B8B">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299" w:type="dxa"/>
            <w:vMerge/>
          </w:tcPr>
          <w:p w:rsidR="0025374C" w:rsidRPr="00C54B8B" w:rsidRDefault="0025374C" w:rsidP="00C54A8A">
            <w:pPr>
              <w:spacing w:after="0" w:line="240" w:lineRule="auto"/>
              <w:jc w:val="both"/>
              <w:rPr>
                <w:rFonts w:asciiTheme="minorHAnsi" w:hAnsiTheme="minorHAnsi"/>
                <w:sz w:val="16"/>
                <w:szCs w:val="16"/>
                <w:lang w:val="en-GB" w:eastAsia="en-GB"/>
              </w:rPr>
            </w:pPr>
          </w:p>
        </w:tc>
        <w:tc>
          <w:tcPr>
            <w:tcW w:w="3528" w:type="dxa"/>
          </w:tcPr>
          <w:p w:rsidR="0025374C" w:rsidRPr="00C54B8B" w:rsidRDefault="0025374C"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Calcium Channel Blockers</w:t>
            </w:r>
          </w:p>
        </w:tc>
        <w:tc>
          <w:tcPr>
            <w:tcW w:w="4166" w:type="dxa"/>
          </w:tcPr>
          <w:p w:rsidR="0025374C" w:rsidRPr="00C54B8B" w:rsidRDefault="0025374C" w:rsidP="00C54A8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GB" w:eastAsia="en-GB"/>
              </w:rPr>
            </w:pPr>
            <w:r w:rsidRPr="00C54B8B">
              <w:rPr>
                <w:rFonts w:asciiTheme="minorHAnsi" w:hAnsiTheme="minorHAnsi"/>
                <w:sz w:val="16"/>
                <w:szCs w:val="16"/>
                <w:lang w:val="en-GB" w:eastAsia="en-GB"/>
              </w:rPr>
              <w:t>Perhexilin maleate</w:t>
            </w:r>
          </w:p>
        </w:tc>
      </w:tr>
    </w:tbl>
    <w:p w:rsidR="0025374C" w:rsidRPr="00F6098E" w:rsidRDefault="0025374C" w:rsidP="00C54A8A">
      <w:pPr>
        <w:pStyle w:val="SourceCaption"/>
        <w:jc w:val="both"/>
        <w:rPr>
          <w:lang w:val="en-GB" w:eastAsia="en-GB"/>
        </w:rPr>
      </w:pPr>
      <w:r>
        <w:rPr>
          <w:lang w:val="en-GB" w:eastAsia="en-GB"/>
        </w:rPr>
        <w:t>Source: 2011/12 New Zealand Health Tracker</w:t>
      </w:r>
    </w:p>
    <w:p w:rsidR="00C54A8A" w:rsidRDefault="00C54A8A" w:rsidP="00C54A8A">
      <w:pPr>
        <w:pStyle w:val="Head3-nonumber"/>
        <w:jc w:val="both"/>
      </w:pPr>
      <w:bookmarkStart w:id="266" w:name="_Toc382475527"/>
      <w:bookmarkStart w:id="267" w:name="_Toc382554914"/>
    </w:p>
    <w:p w:rsidR="0025374C" w:rsidRDefault="0025374C" w:rsidP="00C54A8A">
      <w:pPr>
        <w:pStyle w:val="Head3-nonumber"/>
        <w:jc w:val="both"/>
      </w:pPr>
      <w:bookmarkStart w:id="268" w:name="_Toc382574768"/>
      <w:r>
        <w:t>Ever-hospitalised Stroke</w:t>
      </w:r>
      <w:bookmarkEnd w:id="266"/>
      <w:bookmarkEnd w:id="267"/>
      <w:bookmarkEnd w:id="268"/>
    </w:p>
    <w:p w:rsidR="002C2B78" w:rsidRDefault="0025374C" w:rsidP="00C54A8A">
      <w:pPr>
        <w:jc w:val="both"/>
      </w:pPr>
      <w:r>
        <w:t xml:space="preserve">Ever-hospitalised stroke includes anyone who has had one of the diagnoses outlined in </w:t>
      </w:r>
      <w:r>
        <w:fldChar w:fldCharType="begin"/>
      </w:r>
      <w:r>
        <w:instrText xml:space="preserve"> REF _Ref382381650 \h </w:instrText>
      </w:r>
      <w:r w:rsidR="00C54A8A">
        <w:instrText xml:space="preserve"> \* MERGEFORMAT </w:instrText>
      </w:r>
      <w:r>
        <w:fldChar w:fldCharType="separate"/>
      </w:r>
      <w:r w:rsidR="000B70CE">
        <w:t xml:space="preserve">Table </w:t>
      </w:r>
      <w:r w:rsidR="000B70CE">
        <w:rPr>
          <w:noProof/>
        </w:rPr>
        <w:t>10</w:t>
      </w:r>
      <w:r>
        <w:fldChar w:fldCharType="end"/>
      </w:r>
      <w:r>
        <w:t xml:space="preserve"> since 1988.</w:t>
      </w:r>
    </w:p>
    <w:p w:rsidR="00C54B8B" w:rsidRDefault="00C54B8B" w:rsidP="00C54A8A">
      <w:pPr>
        <w:jc w:val="both"/>
      </w:pPr>
    </w:p>
    <w:p w:rsidR="0025374C" w:rsidRDefault="0025374C" w:rsidP="00C54A8A">
      <w:pPr>
        <w:pStyle w:val="Caption"/>
        <w:jc w:val="both"/>
      </w:pPr>
      <w:bookmarkStart w:id="269" w:name="_Ref382381650"/>
      <w:r>
        <w:t xml:space="preserve">Table </w:t>
      </w:r>
      <w:r>
        <w:fldChar w:fldCharType="begin"/>
      </w:r>
      <w:r>
        <w:instrText xml:space="preserve"> SEQ Table \* ARABIC </w:instrText>
      </w:r>
      <w:r>
        <w:fldChar w:fldCharType="separate"/>
      </w:r>
      <w:r w:rsidR="000B70CE">
        <w:rPr>
          <w:noProof/>
        </w:rPr>
        <w:t>10</w:t>
      </w:r>
      <w:r>
        <w:fldChar w:fldCharType="end"/>
      </w:r>
      <w:bookmarkEnd w:id="269"/>
      <w:r>
        <w:t xml:space="preserve">, Diagnoses codes used to define ever-hospitalised stroke </w:t>
      </w:r>
    </w:p>
    <w:tbl>
      <w:tblPr>
        <w:tblStyle w:val="MediumShading1-Accent3"/>
        <w:tblW w:w="0" w:type="auto"/>
        <w:tblLook w:val="04A0" w:firstRow="1" w:lastRow="0" w:firstColumn="1" w:lastColumn="0" w:noHBand="0" w:noVBand="1"/>
      </w:tblPr>
      <w:tblGrid>
        <w:gridCol w:w="4621"/>
        <w:gridCol w:w="4621"/>
      </w:tblGrid>
      <w:tr w:rsidR="0025374C" w:rsidRPr="003C1AD0" w:rsidTr="00915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374C" w:rsidRPr="003C1AD0" w:rsidRDefault="0025374C" w:rsidP="00C54A8A">
            <w:pPr>
              <w:spacing w:line="240" w:lineRule="auto"/>
              <w:jc w:val="both"/>
              <w:rPr>
                <w:rFonts w:asciiTheme="minorHAnsi" w:hAnsiTheme="minorHAnsi"/>
                <w:sz w:val="20"/>
                <w:szCs w:val="20"/>
                <w:lang w:val="en-GB" w:eastAsia="en-GB"/>
              </w:rPr>
            </w:pPr>
            <w:r w:rsidRPr="003C1AD0">
              <w:rPr>
                <w:rFonts w:asciiTheme="minorHAnsi" w:hAnsiTheme="minorHAnsi"/>
                <w:sz w:val="20"/>
                <w:szCs w:val="20"/>
                <w:lang w:val="en-GB" w:eastAsia="en-GB"/>
              </w:rPr>
              <w:t>ICD-9 codes</w:t>
            </w:r>
          </w:p>
        </w:tc>
        <w:tc>
          <w:tcPr>
            <w:tcW w:w="4621" w:type="dxa"/>
          </w:tcPr>
          <w:p w:rsidR="0025374C" w:rsidRPr="003C1AD0" w:rsidRDefault="0025374C" w:rsidP="00C54A8A">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en-GB" w:eastAsia="en-GB"/>
              </w:rPr>
            </w:pPr>
            <w:r w:rsidRPr="003C1AD0">
              <w:rPr>
                <w:rFonts w:asciiTheme="minorHAnsi" w:hAnsiTheme="minorHAnsi"/>
                <w:sz w:val="20"/>
                <w:szCs w:val="20"/>
                <w:lang w:val="en-GB" w:eastAsia="en-GB"/>
              </w:rPr>
              <w:t>ICD-10 codes</w:t>
            </w:r>
          </w:p>
        </w:tc>
      </w:tr>
      <w:tr w:rsidR="0025374C" w:rsidTr="00915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5374C" w:rsidRPr="003C1AD0" w:rsidRDefault="0025374C" w:rsidP="00C54A8A">
            <w:pPr>
              <w:spacing w:line="240" w:lineRule="auto"/>
              <w:jc w:val="both"/>
              <w:rPr>
                <w:rFonts w:asciiTheme="minorHAnsi" w:hAnsiTheme="minorHAnsi"/>
                <w:b w:val="0"/>
                <w:sz w:val="20"/>
                <w:szCs w:val="20"/>
                <w:lang w:val="en-GB" w:eastAsia="en-GB"/>
              </w:rPr>
            </w:pPr>
            <w:r w:rsidRPr="003C1AD0">
              <w:rPr>
                <w:rFonts w:asciiTheme="minorHAnsi" w:hAnsiTheme="minorHAnsi"/>
                <w:b w:val="0"/>
                <w:sz w:val="20"/>
                <w:szCs w:val="20"/>
                <w:lang w:val="en-GB" w:eastAsia="en-GB"/>
              </w:rPr>
              <w:t>430 Subarachnoid hemorrhage</w:t>
            </w:r>
          </w:p>
          <w:p w:rsidR="0025374C" w:rsidRPr="003C1AD0" w:rsidRDefault="0025374C" w:rsidP="00C54A8A">
            <w:pPr>
              <w:spacing w:line="240" w:lineRule="auto"/>
              <w:jc w:val="both"/>
              <w:rPr>
                <w:rFonts w:asciiTheme="minorHAnsi" w:hAnsiTheme="minorHAnsi"/>
                <w:b w:val="0"/>
                <w:sz w:val="20"/>
                <w:szCs w:val="20"/>
                <w:lang w:val="en-GB" w:eastAsia="en-GB"/>
              </w:rPr>
            </w:pPr>
            <w:r w:rsidRPr="003C1AD0">
              <w:rPr>
                <w:rFonts w:asciiTheme="minorHAnsi" w:hAnsiTheme="minorHAnsi"/>
                <w:b w:val="0"/>
                <w:sz w:val="20"/>
                <w:szCs w:val="20"/>
                <w:lang w:val="en-GB" w:eastAsia="en-GB"/>
              </w:rPr>
              <w:t>431 Intracerebral hemorrhage</w:t>
            </w:r>
          </w:p>
          <w:p w:rsidR="0025374C" w:rsidRPr="003C1AD0" w:rsidRDefault="0025374C" w:rsidP="00C54A8A">
            <w:pPr>
              <w:spacing w:line="240" w:lineRule="auto"/>
              <w:jc w:val="both"/>
              <w:rPr>
                <w:rFonts w:asciiTheme="minorHAnsi" w:hAnsiTheme="minorHAnsi"/>
                <w:b w:val="0"/>
                <w:sz w:val="20"/>
                <w:szCs w:val="20"/>
                <w:lang w:val="en-GB" w:eastAsia="en-GB"/>
              </w:rPr>
            </w:pPr>
            <w:r w:rsidRPr="003C1AD0">
              <w:rPr>
                <w:rFonts w:asciiTheme="minorHAnsi" w:hAnsiTheme="minorHAnsi"/>
                <w:b w:val="0"/>
                <w:sz w:val="20"/>
                <w:szCs w:val="20"/>
                <w:lang w:val="en-GB" w:eastAsia="en-GB"/>
              </w:rPr>
              <w:t>432 Other and unspecified intracranial hemorrhage</w:t>
            </w:r>
          </w:p>
          <w:p w:rsidR="0025374C" w:rsidRPr="003C1AD0" w:rsidRDefault="0025374C" w:rsidP="00C54A8A">
            <w:pPr>
              <w:spacing w:line="240" w:lineRule="auto"/>
              <w:jc w:val="both"/>
              <w:rPr>
                <w:rFonts w:asciiTheme="minorHAnsi" w:hAnsiTheme="minorHAnsi"/>
                <w:b w:val="0"/>
                <w:sz w:val="20"/>
                <w:szCs w:val="20"/>
                <w:lang w:val="en-GB" w:eastAsia="en-GB"/>
              </w:rPr>
            </w:pPr>
            <w:r w:rsidRPr="003C1AD0">
              <w:rPr>
                <w:rFonts w:asciiTheme="minorHAnsi" w:hAnsiTheme="minorHAnsi"/>
                <w:b w:val="0"/>
                <w:sz w:val="20"/>
                <w:szCs w:val="20"/>
                <w:lang w:val="en-GB" w:eastAsia="en-GB"/>
              </w:rPr>
              <w:t>433 Occlusion and stenosis of precerebral arteries</w:t>
            </w:r>
          </w:p>
          <w:p w:rsidR="0025374C" w:rsidRPr="003C1AD0" w:rsidRDefault="0025374C" w:rsidP="00C54A8A">
            <w:pPr>
              <w:spacing w:line="240" w:lineRule="auto"/>
              <w:jc w:val="both"/>
              <w:rPr>
                <w:rFonts w:asciiTheme="minorHAnsi" w:hAnsiTheme="minorHAnsi"/>
                <w:b w:val="0"/>
                <w:sz w:val="20"/>
                <w:szCs w:val="20"/>
                <w:lang w:val="en-GB" w:eastAsia="en-GB"/>
              </w:rPr>
            </w:pPr>
            <w:r w:rsidRPr="003C1AD0">
              <w:rPr>
                <w:rFonts w:asciiTheme="minorHAnsi" w:hAnsiTheme="minorHAnsi"/>
                <w:b w:val="0"/>
                <w:sz w:val="20"/>
                <w:szCs w:val="20"/>
                <w:lang w:val="en-GB" w:eastAsia="en-GB"/>
              </w:rPr>
              <w:t>434 Occlusion of cerebral arteries</w:t>
            </w:r>
          </w:p>
          <w:p w:rsidR="0025374C" w:rsidRPr="003C1AD0" w:rsidRDefault="0025374C" w:rsidP="00C54A8A">
            <w:pPr>
              <w:spacing w:line="240" w:lineRule="auto"/>
              <w:jc w:val="both"/>
              <w:rPr>
                <w:rFonts w:asciiTheme="minorHAnsi" w:hAnsiTheme="minorHAnsi"/>
                <w:b w:val="0"/>
                <w:sz w:val="20"/>
                <w:szCs w:val="20"/>
                <w:lang w:val="en-GB" w:eastAsia="en-GB"/>
              </w:rPr>
            </w:pPr>
            <w:r w:rsidRPr="003C1AD0">
              <w:rPr>
                <w:rFonts w:asciiTheme="minorHAnsi" w:hAnsiTheme="minorHAnsi"/>
                <w:b w:val="0"/>
                <w:sz w:val="20"/>
                <w:szCs w:val="20"/>
                <w:lang w:val="en-GB" w:eastAsia="en-GB"/>
              </w:rPr>
              <w:t>435 Transient cerebral ischemia</w:t>
            </w:r>
          </w:p>
          <w:p w:rsidR="0025374C" w:rsidRPr="003C1AD0" w:rsidRDefault="0025374C" w:rsidP="00C54A8A">
            <w:pPr>
              <w:spacing w:line="240" w:lineRule="auto"/>
              <w:jc w:val="both"/>
              <w:rPr>
                <w:rFonts w:asciiTheme="minorHAnsi" w:hAnsiTheme="minorHAnsi"/>
                <w:b w:val="0"/>
                <w:sz w:val="20"/>
                <w:szCs w:val="20"/>
                <w:lang w:val="en-GB" w:eastAsia="en-GB"/>
              </w:rPr>
            </w:pPr>
            <w:r w:rsidRPr="003C1AD0">
              <w:rPr>
                <w:rFonts w:asciiTheme="minorHAnsi" w:hAnsiTheme="minorHAnsi"/>
                <w:b w:val="0"/>
                <w:sz w:val="20"/>
                <w:szCs w:val="20"/>
                <w:lang w:val="en-GB" w:eastAsia="en-GB"/>
              </w:rPr>
              <w:t>436 Acute but ill-defined cerebrovascular disease</w:t>
            </w:r>
          </w:p>
          <w:p w:rsidR="0025374C" w:rsidRPr="003C1AD0" w:rsidRDefault="0025374C" w:rsidP="00C54A8A">
            <w:pPr>
              <w:spacing w:line="240" w:lineRule="auto"/>
              <w:jc w:val="both"/>
              <w:rPr>
                <w:rFonts w:asciiTheme="minorHAnsi" w:hAnsiTheme="minorHAnsi"/>
                <w:b w:val="0"/>
                <w:sz w:val="20"/>
                <w:szCs w:val="20"/>
                <w:lang w:val="en-GB" w:eastAsia="en-GB"/>
              </w:rPr>
            </w:pPr>
            <w:r w:rsidRPr="003C1AD0">
              <w:rPr>
                <w:rFonts w:asciiTheme="minorHAnsi" w:hAnsiTheme="minorHAnsi"/>
                <w:b w:val="0"/>
                <w:sz w:val="20"/>
                <w:szCs w:val="20"/>
                <w:lang w:val="en-GB" w:eastAsia="en-GB"/>
              </w:rPr>
              <w:t>437 Other and ill-defined cerebrovascular disease</w:t>
            </w:r>
          </w:p>
          <w:p w:rsidR="0025374C" w:rsidRDefault="0025374C" w:rsidP="00C54A8A">
            <w:pPr>
              <w:spacing w:line="240" w:lineRule="auto"/>
              <w:jc w:val="both"/>
              <w:rPr>
                <w:lang w:val="en-GB" w:eastAsia="en-GB"/>
              </w:rPr>
            </w:pPr>
            <w:r w:rsidRPr="003C1AD0">
              <w:rPr>
                <w:rFonts w:asciiTheme="minorHAnsi" w:hAnsiTheme="minorHAnsi"/>
                <w:b w:val="0"/>
                <w:sz w:val="20"/>
                <w:szCs w:val="20"/>
                <w:lang w:val="en-GB" w:eastAsia="en-GB"/>
              </w:rPr>
              <w:t>438 Late effects of cerebrovascular disease</w:t>
            </w:r>
          </w:p>
        </w:tc>
        <w:tc>
          <w:tcPr>
            <w:tcW w:w="4621" w:type="dxa"/>
          </w:tcPr>
          <w:p w:rsidR="0025374C" w:rsidRPr="003C1AD0" w:rsidRDefault="0025374C" w:rsidP="00C54A8A">
            <w:pPr>
              <w:tabs>
                <w:tab w:val="left" w:pos="482"/>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eastAsia="en-GB"/>
              </w:rPr>
            </w:pPr>
            <w:r w:rsidRPr="003C1AD0">
              <w:rPr>
                <w:rFonts w:asciiTheme="minorHAnsi" w:hAnsiTheme="minorHAnsi"/>
                <w:sz w:val="20"/>
                <w:szCs w:val="20"/>
                <w:lang w:val="en-GB" w:eastAsia="en-GB"/>
              </w:rPr>
              <w:t>G45</w:t>
            </w:r>
            <w:r>
              <w:rPr>
                <w:rFonts w:asciiTheme="minorHAnsi" w:hAnsiTheme="minorHAnsi"/>
                <w:sz w:val="20"/>
                <w:szCs w:val="20"/>
                <w:lang w:val="en-GB" w:eastAsia="en-GB"/>
              </w:rPr>
              <w:t xml:space="preserve"> </w:t>
            </w:r>
            <w:r w:rsidRPr="003C1AD0">
              <w:rPr>
                <w:rFonts w:asciiTheme="minorHAnsi" w:hAnsiTheme="minorHAnsi"/>
                <w:sz w:val="20"/>
                <w:szCs w:val="20"/>
                <w:lang w:val="en-GB" w:eastAsia="en-GB"/>
              </w:rPr>
              <w:t>Transient cerebral ischaemic attacks and related syndromes</w:t>
            </w:r>
          </w:p>
          <w:p w:rsidR="0025374C" w:rsidRPr="003C1AD0" w:rsidRDefault="0025374C" w:rsidP="00C54A8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eastAsia="en-GB"/>
              </w:rPr>
            </w:pPr>
            <w:r>
              <w:rPr>
                <w:rFonts w:asciiTheme="minorHAnsi" w:hAnsiTheme="minorHAnsi"/>
                <w:sz w:val="20"/>
                <w:szCs w:val="20"/>
                <w:lang w:val="en-GB" w:eastAsia="en-GB"/>
              </w:rPr>
              <w:t xml:space="preserve">G46 </w:t>
            </w:r>
            <w:r w:rsidRPr="003C1AD0">
              <w:rPr>
                <w:rFonts w:asciiTheme="minorHAnsi" w:hAnsiTheme="minorHAnsi"/>
                <w:sz w:val="20"/>
                <w:szCs w:val="20"/>
                <w:lang w:val="en-GB" w:eastAsia="en-GB"/>
              </w:rPr>
              <w:t>Vascular syndromes of brain in cerebrovascul</w:t>
            </w:r>
            <w:r>
              <w:rPr>
                <w:rFonts w:asciiTheme="minorHAnsi" w:hAnsiTheme="minorHAnsi"/>
                <w:sz w:val="20"/>
                <w:szCs w:val="20"/>
                <w:lang w:val="en-GB" w:eastAsia="en-GB"/>
              </w:rPr>
              <w:t xml:space="preserve">ar diseases </w:t>
            </w:r>
          </w:p>
          <w:p w:rsidR="0025374C" w:rsidRPr="003C1AD0" w:rsidRDefault="0025374C" w:rsidP="00C54A8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eastAsia="en-GB"/>
              </w:rPr>
            </w:pPr>
            <w:r w:rsidRPr="003C1AD0">
              <w:rPr>
                <w:rFonts w:asciiTheme="minorHAnsi" w:hAnsiTheme="minorHAnsi"/>
                <w:sz w:val="20"/>
                <w:szCs w:val="20"/>
                <w:lang w:val="en-GB" w:eastAsia="en-GB"/>
              </w:rPr>
              <w:t>I60</w:t>
            </w:r>
            <w:r>
              <w:rPr>
                <w:rFonts w:asciiTheme="minorHAnsi" w:hAnsiTheme="minorHAnsi"/>
                <w:sz w:val="20"/>
                <w:szCs w:val="20"/>
                <w:lang w:val="en-GB" w:eastAsia="en-GB"/>
              </w:rPr>
              <w:t xml:space="preserve">  </w:t>
            </w:r>
            <w:r w:rsidRPr="003C1AD0">
              <w:rPr>
                <w:rFonts w:asciiTheme="minorHAnsi" w:hAnsiTheme="minorHAnsi"/>
                <w:sz w:val="20"/>
                <w:szCs w:val="20"/>
                <w:lang w:val="en-GB" w:eastAsia="en-GB"/>
              </w:rPr>
              <w:t>Subarachnoid haemorrhage</w:t>
            </w:r>
          </w:p>
          <w:p w:rsidR="0025374C" w:rsidRPr="003C1AD0" w:rsidRDefault="0025374C" w:rsidP="00C54A8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eastAsia="en-GB"/>
              </w:rPr>
            </w:pPr>
            <w:r>
              <w:rPr>
                <w:rFonts w:asciiTheme="minorHAnsi" w:hAnsiTheme="minorHAnsi"/>
                <w:sz w:val="20"/>
                <w:szCs w:val="20"/>
                <w:lang w:val="en-GB" w:eastAsia="en-GB"/>
              </w:rPr>
              <w:t xml:space="preserve">I61  </w:t>
            </w:r>
            <w:r w:rsidRPr="003C1AD0">
              <w:rPr>
                <w:rFonts w:asciiTheme="minorHAnsi" w:hAnsiTheme="minorHAnsi"/>
                <w:sz w:val="20"/>
                <w:szCs w:val="20"/>
                <w:lang w:val="en-GB" w:eastAsia="en-GB"/>
              </w:rPr>
              <w:t>Intracerebral haemorrhage</w:t>
            </w:r>
          </w:p>
          <w:p w:rsidR="0025374C" w:rsidRPr="003C1AD0" w:rsidRDefault="0025374C" w:rsidP="00C54A8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eastAsia="en-GB"/>
              </w:rPr>
            </w:pPr>
            <w:r w:rsidRPr="003C1AD0">
              <w:rPr>
                <w:rFonts w:asciiTheme="minorHAnsi" w:hAnsiTheme="minorHAnsi"/>
                <w:sz w:val="20"/>
                <w:szCs w:val="20"/>
                <w:lang w:val="en-GB" w:eastAsia="en-GB"/>
              </w:rPr>
              <w:t>I62</w:t>
            </w:r>
            <w:r>
              <w:rPr>
                <w:rFonts w:asciiTheme="minorHAnsi" w:hAnsiTheme="minorHAnsi"/>
                <w:sz w:val="20"/>
                <w:szCs w:val="20"/>
                <w:lang w:val="en-GB" w:eastAsia="en-GB"/>
              </w:rPr>
              <w:t xml:space="preserve">  </w:t>
            </w:r>
            <w:r w:rsidRPr="003C1AD0">
              <w:rPr>
                <w:rFonts w:asciiTheme="minorHAnsi" w:hAnsiTheme="minorHAnsi"/>
                <w:sz w:val="20"/>
                <w:szCs w:val="20"/>
                <w:lang w:val="en-GB" w:eastAsia="en-GB"/>
              </w:rPr>
              <w:t>Other nontraumatic intracranial haemorrhage</w:t>
            </w:r>
          </w:p>
          <w:p w:rsidR="0025374C" w:rsidRPr="003C1AD0" w:rsidRDefault="0025374C" w:rsidP="00C54A8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eastAsia="en-GB"/>
              </w:rPr>
            </w:pPr>
            <w:r>
              <w:rPr>
                <w:rFonts w:asciiTheme="minorHAnsi" w:hAnsiTheme="minorHAnsi"/>
                <w:sz w:val="20"/>
                <w:szCs w:val="20"/>
                <w:lang w:val="en-GB" w:eastAsia="en-GB"/>
              </w:rPr>
              <w:t xml:space="preserve">I63  </w:t>
            </w:r>
            <w:r w:rsidRPr="003C1AD0">
              <w:rPr>
                <w:rFonts w:asciiTheme="minorHAnsi" w:hAnsiTheme="minorHAnsi"/>
                <w:sz w:val="20"/>
                <w:szCs w:val="20"/>
                <w:lang w:val="en-GB" w:eastAsia="en-GB"/>
              </w:rPr>
              <w:t>Cerebral infarction</w:t>
            </w:r>
          </w:p>
          <w:p w:rsidR="0025374C" w:rsidRPr="003C1AD0" w:rsidRDefault="0025374C" w:rsidP="00C54A8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eastAsia="en-GB"/>
              </w:rPr>
            </w:pPr>
            <w:r>
              <w:rPr>
                <w:rFonts w:asciiTheme="minorHAnsi" w:hAnsiTheme="minorHAnsi"/>
                <w:sz w:val="20"/>
                <w:szCs w:val="20"/>
                <w:lang w:val="en-GB" w:eastAsia="en-GB"/>
              </w:rPr>
              <w:t xml:space="preserve">I64  </w:t>
            </w:r>
            <w:r w:rsidRPr="003C1AD0">
              <w:rPr>
                <w:rFonts w:asciiTheme="minorHAnsi" w:hAnsiTheme="minorHAnsi"/>
                <w:sz w:val="20"/>
                <w:szCs w:val="20"/>
                <w:lang w:val="en-GB" w:eastAsia="en-GB"/>
              </w:rPr>
              <w:t>Stroke, not specified as haemorrhage or infarction</w:t>
            </w:r>
          </w:p>
          <w:p w:rsidR="0025374C" w:rsidRPr="003C1AD0" w:rsidRDefault="0025374C" w:rsidP="00C54A8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eastAsia="en-GB"/>
              </w:rPr>
            </w:pPr>
            <w:r>
              <w:rPr>
                <w:rFonts w:asciiTheme="minorHAnsi" w:hAnsiTheme="minorHAnsi"/>
                <w:sz w:val="20"/>
                <w:szCs w:val="20"/>
                <w:lang w:val="en-GB" w:eastAsia="en-GB"/>
              </w:rPr>
              <w:t xml:space="preserve">I65  </w:t>
            </w:r>
            <w:r w:rsidRPr="003C1AD0">
              <w:rPr>
                <w:rFonts w:asciiTheme="minorHAnsi" w:hAnsiTheme="minorHAnsi"/>
                <w:sz w:val="20"/>
                <w:szCs w:val="20"/>
                <w:lang w:val="en-GB" w:eastAsia="en-GB"/>
              </w:rPr>
              <w:t xml:space="preserve">Occlusion and stenosis of precerebral arteries, not resulting in cerebral infarction </w:t>
            </w:r>
          </w:p>
          <w:p w:rsidR="0025374C" w:rsidRPr="003C1AD0" w:rsidRDefault="0025374C" w:rsidP="00C54A8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eastAsia="en-GB"/>
              </w:rPr>
            </w:pPr>
            <w:r>
              <w:rPr>
                <w:rFonts w:asciiTheme="minorHAnsi" w:hAnsiTheme="minorHAnsi"/>
                <w:sz w:val="20"/>
                <w:szCs w:val="20"/>
                <w:lang w:val="en-GB" w:eastAsia="en-GB"/>
              </w:rPr>
              <w:t xml:space="preserve">I66  </w:t>
            </w:r>
            <w:r w:rsidRPr="003C1AD0">
              <w:rPr>
                <w:rFonts w:asciiTheme="minorHAnsi" w:hAnsiTheme="minorHAnsi"/>
                <w:sz w:val="20"/>
                <w:szCs w:val="20"/>
                <w:lang w:val="en-GB" w:eastAsia="en-GB"/>
              </w:rPr>
              <w:t xml:space="preserve">Occlusion and stenosis of cerebral arteries, not resulting in cerebral infarction </w:t>
            </w:r>
          </w:p>
          <w:p w:rsidR="0025374C" w:rsidRPr="003C1AD0" w:rsidRDefault="0025374C" w:rsidP="00C54A8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eastAsia="en-GB"/>
              </w:rPr>
            </w:pPr>
            <w:r>
              <w:rPr>
                <w:rFonts w:asciiTheme="minorHAnsi" w:hAnsiTheme="minorHAnsi"/>
                <w:sz w:val="20"/>
                <w:szCs w:val="20"/>
                <w:lang w:val="en-GB" w:eastAsia="en-GB"/>
              </w:rPr>
              <w:t xml:space="preserve">I67  </w:t>
            </w:r>
            <w:r w:rsidRPr="003C1AD0">
              <w:rPr>
                <w:rFonts w:asciiTheme="minorHAnsi" w:hAnsiTheme="minorHAnsi"/>
                <w:sz w:val="20"/>
                <w:szCs w:val="20"/>
                <w:lang w:val="en-GB" w:eastAsia="en-GB"/>
              </w:rPr>
              <w:t xml:space="preserve">Other cerebrovascular diseases </w:t>
            </w:r>
          </w:p>
          <w:p w:rsidR="0025374C" w:rsidRPr="003C1AD0" w:rsidRDefault="0025374C" w:rsidP="00C54A8A">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eastAsia="en-GB"/>
              </w:rPr>
            </w:pPr>
            <w:r>
              <w:rPr>
                <w:rFonts w:asciiTheme="minorHAnsi" w:hAnsiTheme="minorHAnsi"/>
                <w:sz w:val="20"/>
                <w:szCs w:val="20"/>
                <w:lang w:val="en-GB" w:eastAsia="en-GB"/>
              </w:rPr>
              <w:t xml:space="preserve">I68  </w:t>
            </w:r>
            <w:r w:rsidRPr="003C1AD0">
              <w:rPr>
                <w:rFonts w:asciiTheme="minorHAnsi" w:hAnsiTheme="minorHAnsi"/>
                <w:sz w:val="20"/>
                <w:szCs w:val="20"/>
                <w:lang w:val="en-GB" w:eastAsia="en-GB"/>
              </w:rPr>
              <w:t>Cerebrovascular disorders in diseases classified elsewhere</w:t>
            </w:r>
          </w:p>
          <w:p w:rsidR="0025374C" w:rsidRPr="003C1AD0" w:rsidRDefault="0025374C" w:rsidP="00C54A8A">
            <w:pPr>
              <w:spacing w:line="240" w:lineRule="auto"/>
              <w:jc w:val="both"/>
              <w:cnfStyle w:val="000000100000" w:firstRow="0" w:lastRow="0" w:firstColumn="0" w:lastColumn="0" w:oddVBand="0" w:evenVBand="0" w:oddHBand="1" w:evenHBand="0" w:firstRowFirstColumn="0" w:firstRowLastColumn="0" w:lastRowFirstColumn="0" w:lastRowLastColumn="0"/>
              <w:rPr>
                <w:lang w:val="en-GB" w:eastAsia="en-GB"/>
              </w:rPr>
            </w:pPr>
            <w:r>
              <w:rPr>
                <w:rFonts w:asciiTheme="minorHAnsi" w:hAnsiTheme="minorHAnsi"/>
                <w:sz w:val="20"/>
                <w:szCs w:val="20"/>
                <w:lang w:val="en-GB" w:eastAsia="en-GB"/>
              </w:rPr>
              <w:t xml:space="preserve">I69  </w:t>
            </w:r>
            <w:r w:rsidRPr="003C1AD0">
              <w:rPr>
                <w:rFonts w:asciiTheme="minorHAnsi" w:hAnsiTheme="minorHAnsi"/>
                <w:sz w:val="20"/>
                <w:szCs w:val="20"/>
                <w:lang w:val="en-GB" w:eastAsia="en-GB"/>
              </w:rPr>
              <w:t>Sequelae of cerebrovascular disease</w:t>
            </w:r>
          </w:p>
        </w:tc>
      </w:tr>
    </w:tbl>
    <w:p w:rsidR="0025374C" w:rsidRPr="003C1AD0" w:rsidRDefault="0025374C" w:rsidP="00C54A8A">
      <w:pPr>
        <w:pStyle w:val="SourceCaption"/>
        <w:jc w:val="both"/>
        <w:rPr>
          <w:lang w:val="en-GB" w:eastAsia="en-GB"/>
        </w:rPr>
      </w:pPr>
      <w:r>
        <w:rPr>
          <w:lang w:val="en-GB" w:eastAsia="en-GB"/>
        </w:rPr>
        <w:t xml:space="preserve">Source: World Health Organization ICD-10 Version: 2010 </w:t>
      </w:r>
      <w:hyperlink r:id="rId38" w:history="1">
        <w:r w:rsidRPr="00642CBC">
          <w:rPr>
            <w:rStyle w:val="Hyperlink"/>
            <w:lang w:val="en-GB" w:eastAsia="en-GB"/>
          </w:rPr>
          <w:t>http://apps.who.int/classifications/icd10/browse/2010/en</w:t>
        </w:r>
      </w:hyperlink>
      <w:r>
        <w:rPr>
          <w:lang w:val="en-GB" w:eastAsia="en-GB"/>
        </w:rPr>
        <w:t xml:space="preserve">; </w:t>
      </w:r>
      <w:r w:rsidRPr="003C1AD0">
        <w:rPr>
          <w:lang w:val="en-GB" w:eastAsia="en-GB"/>
        </w:rPr>
        <w:t>http://www.icd9data.com/</w:t>
      </w:r>
    </w:p>
    <w:p w:rsidR="00E222C2" w:rsidRDefault="00E222C2" w:rsidP="00C54A8A">
      <w:pPr>
        <w:jc w:val="both"/>
      </w:pPr>
      <w:bookmarkStart w:id="270" w:name="_Toc382475528"/>
    </w:p>
    <w:p w:rsidR="0025374C" w:rsidRDefault="0025374C" w:rsidP="00C54A8A">
      <w:pPr>
        <w:pStyle w:val="Head3-nonumber"/>
        <w:jc w:val="both"/>
      </w:pPr>
      <w:bookmarkStart w:id="271" w:name="_Toc382554915"/>
      <w:bookmarkStart w:id="272" w:name="_Toc382574769"/>
      <w:r>
        <w:t>Heart Failure</w:t>
      </w:r>
      <w:bookmarkEnd w:id="270"/>
      <w:bookmarkEnd w:id="271"/>
      <w:bookmarkEnd w:id="272"/>
    </w:p>
    <w:p w:rsidR="0025374C" w:rsidRDefault="0025374C" w:rsidP="00C54A8A">
      <w:pPr>
        <w:jc w:val="both"/>
        <w:rPr>
          <w:shd w:val="clear" w:color="auto" w:fill="FFFFFF"/>
        </w:rPr>
      </w:pPr>
      <w:r>
        <w:rPr>
          <w:shd w:val="clear" w:color="auto" w:fill="FFFFFF"/>
        </w:rPr>
        <w:t>This is a New Zealand Health Tracker indicator. To meet the definition for heart failure a person has to have had a diagnosis of heart failure (ICD-10: I50, ICD-9: 428) since 1988.</w:t>
      </w:r>
    </w:p>
    <w:p w:rsidR="0025374C" w:rsidRDefault="0025374C" w:rsidP="00C54A8A">
      <w:pPr>
        <w:pStyle w:val="Head3-nonumber"/>
        <w:jc w:val="both"/>
      </w:pPr>
      <w:bookmarkStart w:id="273" w:name="_Toc382475529"/>
      <w:bookmarkStart w:id="274" w:name="_Toc382554916"/>
      <w:bookmarkStart w:id="275" w:name="_Toc382574770"/>
      <w:r>
        <w:t>Diabetes</w:t>
      </w:r>
      <w:bookmarkEnd w:id="273"/>
      <w:bookmarkEnd w:id="274"/>
      <w:bookmarkEnd w:id="275"/>
    </w:p>
    <w:p w:rsidR="0025374C" w:rsidRDefault="0025374C" w:rsidP="00C54A8A">
      <w:pPr>
        <w:jc w:val="both"/>
      </w:pPr>
      <w:r>
        <w:t>This is a robust New Zealand Health Tracker indicator. This includes people who have either type 1 or type 2 diabetes as well as a small number of people with diagnoses where diabetes is coded to unspecified or other specified diabetes (not type 1, 2, or gestational).</w:t>
      </w:r>
    </w:p>
    <w:p w:rsidR="0025374C" w:rsidRPr="008E3132" w:rsidRDefault="0025374C" w:rsidP="00C54A8A">
      <w:pPr>
        <w:jc w:val="both"/>
      </w:pPr>
      <w:r w:rsidRPr="008E3132">
        <w:t>A person is counted as having show</w:t>
      </w:r>
      <w:r w:rsidR="002C3E89">
        <w:t>n</w:t>
      </w:r>
      <w:r w:rsidRPr="008E3132">
        <w:t xml:space="preserve"> an indication of diabetes type 1 or 2 if they meet at least one of the conditions specified below (from any data collection):</w:t>
      </w:r>
    </w:p>
    <w:p w:rsidR="0025374C" w:rsidRPr="008E3132" w:rsidRDefault="0025374C" w:rsidP="00C54A8A">
      <w:pPr>
        <w:pStyle w:val="Bullet"/>
        <w:numPr>
          <w:ilvl w:val="0"/>
          <w:numId w:val="28"/>
        </w:numPr>
        <w:jc w:val="both"/>
      </w:pPr>
      <w:r w:rsidRPr="008E3132">
        <w:t>IC9-CMA diagnosis codes: 250, 6480</w:t>
      </w:r>
      <w:r>
        <w:t xml:space="preserve">; </w:t>
      </w:r>
      <w:r w:rsidRPr="008E3132">
        <w:t>ICD-10-AM diagnosis codes: E10, E11, E13, E14, O240, 0241, O242, O243, O249</w:t>
      </w:r>
    </w:p>
    <w:p w:rsidR="0025374C" w:rsidRPr="008E3132" w:rsidRDefault="0025374C" w:rsidP="00C54A8A">
      <w:pPr>
        <w:pStyle w:val="Bullet"/>
        <w:numPr>
          <w:ilvl w:val="0"/>
          <w:numId w:val="28"/>
        </w:numPr>
        <w:jc w:val="both"/>
      </w:pPr>
      <w:r w:rsidRPr="008E3132">
        <w:t>One or more outpatient attendances for services with the following purchase unit codes:</w:t>
      </w:r>
      <w:r>
        <w:t xml:space="preserve"> </w:t>
      </w:r>
      <w:r w:rsidRPr="008E3132">
        <w:t xml:space="preserve">M20006 (Diabetes education and management), M20007 (Diabetes </w:t>
      </w:r>
      <w:r>
        <w:t>–</w:t>
      </w:r>
      <w:r w:rsidRPr="008E3132">
        <w:t xml:space="preserve"> Fundus</w:t>
      </w:r>
      <w:r>
        <w:t xml:space="preserve"> </w:t>
      </w:r>
      <w:r w:rsidRPr="008E3132">
        <w:t>Screening), M20010 (High risk type I diabetes support), M20015 (High risk type I</w:t>
      </w:r>
      <w:r>
        <w:t xml:space="preserve"> </w:t>
      </w:r>
      <w:r w:rsidRPr="008E3132">
        <w:t>diabetes support for up to 18 year olds).</w:t>
      </w:r>
    </w:p>
    <w:p w:rsidR="0025374C" w:rsidRPr="008E3132" w:rsidRDefault="0025374C" w:rsidP="00C54A8A">
      <w:pPr>
        <w:pStyle w:val="Bullet"/>
        <w:numPr>
          <w:ilvl w:val="0"/>
          <w:numId w:val="28"/>
        </w:numPr>
        <w:jc w:val="both"/>
      </w:pPr>
      <w:r w:rsidRPr="008E3132">
        <w:t>More than one dispensing of:</w:t>
      </w:r>
    </w:p>
    <w:p w:rsidR="0025374C" w:rsidRPr="008E3132" w:rsidRDefault="0025374C" w:rsidP="00C54A8A">
      <w:pPr>
        <w:pStyle w:val="Bullet"/>
        <w:numPr>
          <w:ilvl w:val="1"/>
          <w:numId w:val="28"/>
        </w:numPr>
        <w:jc w:val="both"/>
      </w:pPr>
      <w:r>
        <w:t>i</w:t>
      </w:r>
      <w:r w:rsidRPr="008E3132">
        <w:t>nsulin</w:t>
      </w:r>
    </w:p>
    <w:p w:rsidR="0025374C" w:rsidRPr="008E3132" w:rsidRDefault="0025374C" w:rsidP="00C54A8A">
      <w:pPr>
        <w:pStyle w:val="Bullet"/>
        <w:numPr>
          <w:ilvl w:val="1"/>
          <w:numId w:val="28"/>
        </w:numPr>
        <w:jc w:val="both"/>
      </w:pPr>
      <w:r w:rsidRPr="008E3132">
        <w:t>oral hypoglycaemics</w:t>
      </w:r>
    </w:p>
    <w:p w:rsidR="0025374C" w:rsidRPr="008E3132" w:rsidRDefault="0025374C" w:rsidP="00C54A8A">
      <w:pPr>
        <w:pStyle w:val="Bullet"/>
        <w:numPr>
          <w:ilvl w:val="1"/>
          <w:numId w:val="28"/>
        </w:numPr>
        <w:jc w:val="both"/>
      </w:pPr>
      <w:r w:rsidRPr="008E3132">
        <w:t>metformin where the person is not a female</w:t>
      </w:r>
      <w:r>
        <w:t xml:space="preserve"> aged between 12 to 45 years.</w:t>
      </w:r>
    </w:p>
    <w:p w:rsidR="0025374C" w:rsidRPr="008E3132" w:rsidRDefault="0025374C" w:rsidP="00C54A8A">
      <w:pPr>
        <w:pStyle w:val="Bullet"/>
        <w:numPr>
          <w:ilvl w:val="0"/>
          <w:numId w:val="28"/>
        </w:numPr>
        <w:jc w:val="both"/>
      </w:pPr>
      <w:r w:rsidRPr="008E3132">
        <w:t>Where the person is female and aged 12–45 years: more than one dispensing of</w:t>
      </w:r>
      <w:r>
        <w:t xml:space="preserve"> </w:t>
      </w:r>
      <w:r w:rsidRPr="008E3132">
        <w:t>metformin and one of the following outpatient attendances: M20004 (Diabetes 1st attendance), M20005 (Diabetes subsequent attendance), MAOR0106 (Diabetes management - Māori).</w:t>
      </w:r>
    </w:p>
    <w:p w:rsidR="0025374C" w:rsidRPr="008E3132" w:rsidRDefault="0025374C" w:rsidP="00C54A8A">
      <w:pPr>
        <w:pStyle w:val="Bullet"/>
        <w:numPr>
          <w:ilvl w:val="0"/>
          <w:numId w:val="28"/>
        </w:numPr>
        <w:jc w:val="both"/>
      </w:pPr>
      <w:r w:rsidRPr="008E3132">
        <w:t>Laboratory claims:</w:t>
      </w:r>
      <w:r>
        <w:t xml:space="preserve"> </w:t>
      </w:r>
      <w:r w:rsidRPr="008E3132">
        <w:t>Four or more Hba1c tests undertaken for an individual during a two year period from 1 July 1996 to present, and one or more Albumin Creatinine Ratio tests during the same two year period.</w:t>
      </w:r>
    </w:p>
    <w:p w:rsidR="0025374C" w:rsidRPr="008E3132" w:rsidRDefault="0025374C" w:rsidP="00C54A8A">
      <w:pPr>
        <w:pStyle w:val="Bullet"/>
        <w:numPr>
          <w:ilvl w:val="0"/>
          <w:numId w:val="28"/>
        </w:numPr>
        <w:jc w:val="both"/>
      </w:pPr>
      <w:r w:rsidRPr="00322A52">
        <w:t xml:space="preserve">National </w:t>
      </w:r>
      <w:r>
        <w:t>Needs Assessment and Service Coordination Information System (Socrates):  O</w:t>
      </w:r>
      <w:r w:rsidRPr="008E3132">
        <w:t>ne or more diagnoses of insulin or non-insulin dependent diabetes (2801)</w:t>
      </w:r>
    </w:p>
    <w:p w:rsidR="0025374C" w:rsidRPr="008E3132" w:rsidRDefault="0025374C" w:rsidP="00C54A8A">
      <w:pPr>
        <w:jc w:val="both"/>
      </w:pPr>
      <w:r w:rsidRPr="008E3132">
        <w:t>A person is not counted as havi</w:t>
      </w:r>
      <w:r w:rsidR="002C3E89">
        <w:t xml:space="preserve">ng type 1 or type 2 diabetes </w:t>
      </w:r>
      <w:r w:rsidRPr="008E3132">
        <w:t>at a particular point in time if one of the above criteria is first present in an episode of documented gestational diabetes, though diabetes type 2 can occur after a documented episode of gestational diabetes.</w:t>
      </w:r>
    </w:p>
    <w:p w:rsidR="0025374C" w:rsidRPr="008E3132" w:rsidRDefault="0025374C" w:rsidP="00C54A8A">
      <w:pPr>
        <w:jc w:val="both"/>
      </w:pPr>
      <w:r w:rsidRPr="008E3132">
        <w:t xml:space="preserve">If someone has one or two type I diagnoses and none for type II, no oral hypoglycaemic / metformin dispensings, and no insulin dispensings then they are specifically excluded (because there isn't evidence of insulin treatment for someone with a type I diagnosis - possible coding error). </w:t>
      </w:r>
    </w:p>
    <w:p w:rsidR="0025374C" w:rsidRDefault="0025374C" w:rsidP="00C54A8A">
      <w:pPr>
        <w:pStyle w:val="Head3-nonumber"/>
        <w:jc w:val="both"/>
      </w:pPr>
      <w:bookmarkStart w:id="276" w:name="_Toc382475530"/>
      <w:bookmarkStart w:id="277" w:name="_Toc382554917"/>
      <w:bookmarkStart w:id="278" w:name="_Toc382574771"/>
      <w:r>
        <w:t>Gout</w:t>
      </w:r>
      <w:bookmarkEnd w:id="276"/>
      <w:bookmarkEnd w:id="277"/>
      <w:bookmarkEnd w:id="278"/>
    </w:p>
    <w:p w:rsidR="0025374C" w:rsidRDefault="0025374C" w:rsidP="00C54A8A">
      <w:pPr>
        <w:jc w:val="both"/>
      </w:pPr>
      <w:r>
        <w:t xml:space="preserve">This is a robust New Zealand Health Tracker indicator. A person is counted as having shown an indication of gout if they have had a diagnosis of ICD-10 code M10 or ICD-9 code 274, or they have been dispensed colchicine or allopurinol. Dispensing of </w:t>
      </w:r>
      <w:r w:rsidR="002C3E89">
        <w:t>a</w:t>
      </w:r>
      <w:r>
        <w:t>llopurinol alone is only taken as an indication of gout if there is no diagnosis of malignant neopla</w:t>
      </w:r>
      <w:r w:rsidR="002C3E89">
        <w:t>s</w:t>
      </w:r>
      <w:r>
        <w:t>ms of lymphoid, haematopoietic and related tissues (ICD-10 codes C81-C96) recorded in either the NZCR or NMDS in the 24 months before the period end date.</w:t>
      </w:r>
    </w:p>
    <w:p w:rsidR="0025374C" w:rsidRDefault="0025374C" w:rsidP="00C54A8A">
      <w:pPr>
        <w:pStyle w:val="Head3-nonumber"/>
        <w:jc w:val="both"/>
      </w:pPr>
      <w:bookmarkStart w:id="279" w:name="_Toc382475531"/>
      <w:bookmarkStart w:id="280" w:name="_Toc382554918"/>
      <w:bookmarkStart w:id="281" w:name="_Toc382574772"/>
      <w:r>
        <w:t>Anxiety or Mood disorder</w:t>
      </w:r>
      <w:bookmarkEnd w:id="279"/>
      <w:bookmarkEnd w:id="280"/>
      <w:bookmarkEnd w:id="281"/>
    </w:p>
    <w:p w:rsidR="0025374C" w:rsidRDefault="0025374C" w:rsidP="00C54A8A">
      <w:pPr>
        <w:jc w:val="both"/>
      </w:pPr>
      <w:r>
        <w:t>This is a New Zealand Health Tracker indicator which is classified as ‘partial capture’. There are likely to be people with an anxiety or mood disorder who are untreated, or treated via non-pharmaceutical methods privately.</w:t>
      </w:r>
    </w:p>
    <w:p w:rsidR="0025374C" w:rsidRDefault="0025374C" w:rsidP="00C54A8A">
      <w:pPr>
        <w:jc w:val="both"/>
      </w:pPr>
      <w:r>
        <w:t>A person is counted as having shown an indication of a mood disorder if they have one of the codes specified below from the NMDS, Programme for the Integration of Mental Health Data (PRIMHD), Socrates, or Pharm</w:t>
      </w:r>
      <w:r w:rsidR="002C3E89">
        <w:t>aceutical</w:t>
      </w:r>
      <w:r>
        <w:t xml:space="preserve"> </w:t>
      </w:r>
      <w:r w:rsidR="00F74054">
        <w:t>C</w:t>
      </w:r>
      <w:r>
        <w:t>ollections, or three of the tests specified for Laboratory Claims within the past twelve months:</w:t>
      </w:r>
    </w:p>
    <w:p w:rsidR="0025374C" w:rsidRDefault="0025374C" w:rsidP="00C54A8A">
      <w:pPr>
        <w:jc w:val="both"/>
      </w:pPr>
      <w:r>
        <w:t>ICD-10_AM diagnosis codes: F30-F39 Mood (affective) disorders</w:t>
      </w:r>
    </w:p>
    <w:p w:rsidR="0025374C" w:rsidRDefault="0025374C" w:rsidP="00C54A8A">
      <w:pPr>
        <w:jc w:val="both"/>
      </w:pPr>
      <w:r>
        <w:t>ICD 9 CM(A) diagnosis codes: 296 Affective psychoses; 3004 Neurotic depression; 30113 Cyclothymic disorder; 311 Depressive disorder, not elsewhere classified</w:t>
      </w:r>
    </w:p>
    <w:p w:rsidR="0025374C" w:rsidRDefault="0025374C" w:rsidP="00C54A8A">
      <w:pPr>
        <w:jc w:val="both"/>
      </w:pPr>
      <w:r>
        <w:t>DSMIV diagnosis codes: 296 Mood disorders; 3004 Dysthymic Disorder; 30113 Cyclothymic Disorder; 311 Depressive Disorder NOS</w:t>
      </w:r>
    </w:p>
    <w:p w:rsidR="0025374C" w:rsidRDefault="0025374C" w:rsidP="00C54A8A">
      <w:pPr>
        <w:jc w:val="both"/>
      </w:pPr>
      <w:r>
        <w:t>Pharmaceuticals: amoxapine, dothiepin hydrochloride, doxepin hydrochloride, lithium carbonate, mianserin hydrochloride, mirtazapine, nefazodone, phenelzine sulphate, tranylcypromine sulphate, trimipramine maleate.</w:t>
      </w:r>
    </w:p>
    <w:p w:rsidR="0025374C" w:rsidRDefault="0025374C" w:rsidP="00C54A8A">
      <w:pPr>
        <w:jc w:val="both"/>
      </w:pPr>
      <w:r>
        <w:t>Laboratory Claims Collection: Three or more tests for Lithium in the 12 month period.</w:t>
      </w:r>
    </w:p>
    <w:p w:rsidR="0025374C" w:rsidRDefault="0025374C" w:rsidP="00C54A8A">
      <w:pPr>
        <w:jc w:val="both"/>
      </w:pPr>
      <w:r>
        <w:t>Socrates (Disability): Tier 2 diagnosis code: 1303 Bipolar disorder (manic depression); 1304 Depression.</w:t>
      </w:r>
    </w:p>
    <w:p w:rsidR="0025374C" w:rsidRDefault="0025374C" w:rsidP="00C54A8A">
      <w:pPr>
        <w:jc w:val="both"/>
      </w:pPr>
      <w:r>
        <w:t>Other diagnosis free text: BIPOLAR', 'DEPRESSION', 'MOOD DISORDER'.</w:t>
      </w:r>
    </w:p>
    <w:p w:rsidR="0025374C" w:rsidRDefault="0025374C" w:rsidP="00C54A8A">
      <w:pPr>
        <w:jc w:val="both"/>
      </w:pPr>
      <w:r>
        <w:t>The free text diagnosis was not used if the field also contained 'POSSIBLE', 'QUERY', 'SOME', 'SYMPTOMS'.</w:t>
      </w:r>
    </w:p>
    <w:p w:rsidR="0025374C" w:rsidRDefault="0025374C" w:rsidP="00C54A8A">
      <w:pPr>
        <w:jc w:val="both"/>
      </w:pPr>
      <w:r>
        <w:t xml:space="preserve">A person is counted as having shown an indication of an anxiety disorder if they have one of the codes specified below (from any data collection) within the past 12 months: </w:t>
      </w:r>
    </w:p>
    <w:p w:rsidR="0025374C" w:rsidRDefault="0025374C" w:rsidP="00C54A8A">
      <w:pPr>
        <w:jc w:val="both"/>
      </w:pPr>
      <w:r>
        <w:t>ICD-10-AM diagnosis codes: F400 - F48; ICD 9 CM-A diagnosis codes: 30000 - 30015, 30020 - 3003, 3005 - 3009, 3060 - 30650, 30652 - 3069, 30780, 30789, 3080 - 3091, 30922 - 30982, 30989, 3099; ICD 9 diagnosis codes: 3000-3003, 3005-3009, 306,3078, 3080-3094,3099.</w:t>
      </w:r>
    </w:p>
    <w:p w:rsidR="0025374C" w:rsidRDefault="0025374C" w:rsidP="00C54A8A">
      <w:pPr>
        <w:jc w:val="both"/>
      </w:pPr>
      <w:r>
        <w:t>DSMIV diagnosis codes: 30000-30015, 30021 - 3003, 3006 - 3009, 30780, 30789, 3083, 3090, 30924 - 3099.</w:t>
      </w:r>
    </w:p>
    <w:p w:rsidR="0025374C" w:rsidRDefault="0025374C" w:rsidP="00C54A8A">
      <w:pPr>
        <w:jc w:val="both"/>
      </w:pPr>
      <w:r>
        <w:t>Pharmaceuticals: bromazepam, buspirone hydrochloride, meprobamate.</w:t>
      </w:r>
    </w:p>
    <w:p w:rsidR="0025374C" w:rsidRDefault="0025374C" w:rsidP="00C54A8A">
      <w:pPr>
        <w:jc w:val="both"/>
      </w:pPr>
      <w:r>
        <w:t>Socrates (Disability): Tier 2 diagnosis code: 1302 Anxiety disorder.</w:t>
      </w:r>
    </w:p>
    <w:p w:rsidR="0025374C" w:rsidRDefault="0025374C" w:rsidP="00C54A8A">
      <w:pPr>
        <w:jc w:val="both"/>
      </w:pPr>
      <w:r>
        <w:t>Other diagnosis free text: ANXIETY DISORDER', 'PTSD', 'OCD', 'OBSESSIVE COMPULSIVE', 'POST TRAUMATIC STRESS', 'PHOBIA'.</w:t>
      </w:r>
    </w:p>
    <w:p w:rsidR="0025374C" w:rsidRDefault="0025374C" w:rsidP="00C54A8A">
      <w:pPr>
        <w:jc w:val="both"/>
      </w:pPr>
      <w:r>
        <w:t>The free text diagnosis was not used if the field also contained 'POSSIBLE', 'QUERY', 'SOME', 'SYMPTOMS'.</w:t>
      </w:r>
    </w:p>
    <w:p w:rsidR="0025374C" w:rsidRDefault="0025374C" w:rsidP="00C54A8A">
      <w:pPr>
        <w:jc w:val="both"/>
      </w:pPr>
      <w:r>
        <w:t xml:space="preserve">A person was included as having an indication of a mood or anxiety </w:t>
      </w:r>
      <w:r w:rsidR="00C54B8B">
        <w:t>disorder</w:t>
      </w:r>
      <w:r>
        <w:t xml:space="preserve"> if they fitted either the mood or anxiety disorder definitions given above, or if they had been dispensed one of the following pharmaceuticals in the past twelve months:</w:t>
      </w:r>
    </w:p>
    <w:p w:rsidR="0025374C" w:rsidRDefault="0025374C" w:rsidP="00C54A8A">
      <w:pPr>
        <w:jc w:val="both"/>
      </w:pPr>
      <w:r>
        <w:t xml:space="preserve">Alprazolam, citalopram hydrobromide, escitalopram, maprotiline hydrochloride, moclobemide, sertraline, sertraline </w:t>
      </w:r>
      <w:r w:rsidR="00F74054">
        <w:t>h</w:t>
      </w:r>
      <w:r>
        <w:t>ydrochloride, venlafaxine.</w:t>
      </w:r>
    </w:p>
    <w:p w:rsidR="0025374C" w:rsidRDefault="0025374C" w:rsidP="00C54A8A">
      <w:pPr>
        <w:jc w:val="both"/>
      </w:pPr>
      <w:r>
        <w:t>If the person had shown an indication of dementia during the same period, a dispensing of citalopram alone was not</w:t>
      </w:r>
      <w:r w:rsidR="00F74054">
        <w:t xml:space="preserve"> taken as an indication of mood/</w:t>
      </w:r>
      <w:r>
        <w:t>anxiety disorder (though note the person may still be picked up through any of the other inclusion crit</w:t>
      </w:r>
      <w:r w:rsidR="00F74054">
        <w:t>eria for mood/</w:t>
      </w:r>
      <w:r>
        <w:t>anxiety disorder).</w:t>
      </w:r>
    </w:p>
    <w:p w:rsidR="0025374C" w:rsidRDefault="0025374C" w:rsidP="00C54A8A">
      <w:pPr>
        <w:pStyle w:val="Head3-nonumber"/>
        <w:jc w:val="both"/>
      </w:pPr>
      <w:bookmarkStart w:id="282" w:name="_Toc382475532"/>
      <w:bookmarkStart w:id="283" w:name="_Toc382554919"/>
      <w:bookmarkStart w:id="284" w:name="_Toc382574773"/>
      <w:r>
        <w:t>Dementia</w:t>
      </w:r>
      <w:bookmarkEnd w:id="282"/>
      <w:bookmarkEnd w:id="283"/>
      <w:bookmarkEnd w:id="284"/>
    </w:p>
    <w:p w:rsidR="0025374C" w:rsidRDefault="0025374C" w:rsidP="00C54A8A">
      <w:pPr>
        <w:jc w:val="both"/>
      </w:pPr>
      <w:r>
        <w:t xml:space="preserve">This New Zealand Health Tracker indicator is ‘in development’, previous work has found that this counts approximately one-third of the estimated cases. While this is limited it was decided that this indicator should still be included due to the burden </w:t>
      </w:r>
      <w:r w:rsidR="00F74054">
        <w:t>dementia</w:t>
      </w:r>
      <w:r>
        <w:t xml:space="preserve"> is having upon our ageing population.</w:t>
      </w:r>
    </w:p>
    <w:p w:rsidR="0025374C" w:rsidRDefault="0025374C" w:rsidP="00C54A8A">
      <w:pPr>
        <w:jc w:val="both"/>
      </w:pPr>
      <w:r>
        <w:t>A person is counted as having shown an indication of dementia if they have one of the codes specified below (from any data collection):</w:t>
      </w:r>
    </w:p>
    <w:p w:rsidR="0025374C" w:rsidRDefault="0025374C" w:rsidP="00C54A8A">
      <w:pPr>
        <w:jc w:val="both"/>
      </w:pPr>
      <w:r>
        <w:t>ICD10 diagnosis codes: F000 - F03, G30; ICD 9 CM diagnosis codes: 2900 - 2909, 2941, 3310; ICD 9 diagnosis codes: 290, 2941, 3310.</w:t>
      </w:r>
    </w:p>
    <w:p w:rsidR="0025374C" w:rsidRDefault="0025374C" w:rsidP="00C54A8A">
      <w:pPr>
        <w:jc w:val="both"/>
      </w:pPr>
      <w:r>
        <w:t>DSMIV diagnosis codes: 2900 - 29043, 2941, 2948.</w:t>
      </w:r>
    </w:p>
    <w:p w:rsidR="0025374C" w:rsidRDefault="0025374C" w:rsidP="00C54A8A">
      <w:pPr>
        <w:jc w:val="both"/>
      </w:pPr>
      <w:r>
        <w:t>Pharmaceutical Collection: Donepezil hydrochloride, rivastigmine.</w:t>
      </w:r>
    </w:p>
    <w:p w:rsidR="0025374C" w:rsidRDefault="0025374C" w:rsidP="00C54A8A">
      <w:pPr>
        <w:jc w:val="both"/>
      </w:pPr>
      <w:r>
        <w:t>Socrates (Disability): Tier 2 diagnosis code: 1405 Vascular dementia, 1499 Other dementia.</w:t>
      </w:r>
    </w:p>
    <w:p w:rsidR="0025374C" w:rsidRDefault="0025374C" w:rsidP="00C54A8A">
      <w:pPr>
        <w:jc w:val="both"/>
      </w:pPr>
      <w:r>
        <w:t>Other diagnosis free text: ‘DEMENTIA’.</w:t>
      </w:r>
    </w:p>
    <w:p w:rsidR="00E222C2" w:rsidRPr="00C54B8B" w:rsidRDefault="0025374C" w:rsidP="00C54B8B">
      <w:pPr>
        <w:jc w:val="both"/>
      </w:pPr>
      <w:r>
        <w:t>The free text diagnosis was not used if the field also contained 'POSSIBLE', 'QUERY', 'SOME', 'SYMPTOMS'.</w:t>
      </w:r>
    </w:p>
    <w:p w:rsidR="00242418" w:rsidRDefault="00C77027" w:rsidP="00C54A8A">
      <w:pPr>
        <w:pStyle w:val="Head1-nonumber"/>
        <w:jc w:val="both"/>
      </w:pPr>
      <w:bookmarkStart w:id="285" w:name="_Toc382574774"/>
      <w:r>
        <w:t>Appendix 4</w:t>
      </w:r>
      <w:r w:rsidR="00242418">
        <w:t>: RWG Discussion Notes</w:t>
      </w:r>
      <w:bookmarkEnd w:id="285"/>
    </w:p>
    <w:p w:rsidR="00242418" w:rsidRDefault="00242418" w:rsidP="00C54A8A">
      <w:pPr>
        <w:pStyle w:val="Head2nonumber"/>
        <w:jc w:val="both"/>
      </w:pPr>
      <w:bookmarkStart w:id="286" w:name="_Toc382225543"/>
      <w:bookmarkStart w:id="287" w:name="_Toc382475534"/>
      <w:bookmarkStart w:id="288" w:name="_Toc382554921"/>
      <w:bookmarkStart w:id="289" w:name="_Toc382574775"/>
      <w:r>
        <w:t>Background</w:t>
      </w:r>
      <w:bookmarkEnd w:id="286"/>
      <w:bookmarkEnd w:id="287"/>
      <w:bookmarkEnd w:id="288"/>
      <w:bookmarkEnd w:id="289"/>
    </w:p>
    <w:p w:rsidR="00242418" w:rsidRDefault="00242418" w:rsidP="00C54A8A">
      <w:pPr>
        <w:jc w:val="both"/>
      </w:pPr>
      <w:r>
        <w:t xml:space="preserve">To assist in the assessment of COPD, the National Health Committee (NHC) asked stakeholders to nominate representatives to a respiratory working group (RWG).  The RWG was created to provide the NHC with expert advice on a range of COPD issues and to aid in its prioritisation of possible assessments.  </w:t>
      </w:r>
      <w:r w:rsidR="001E007B">
        <w:t xml:space="preserve">It is comprised of a respiratory physician, respiratory nurse specialist, public health physician, cardiothoracic surgeon, physiotherapist, ambulance representative, patient representative, general practitioner, DHB Planning and Funding representative, DHB COO representative and a clinical psychologist.  </w:t>
      </w:r>
      <w:r>
        <w:t>On 29 January 2014, various members of the RWG met to discuss where improvements along the COPD pathway of care could be made.  This document captures some of the main discussion points that come out of that meeting.</w:t>
      </w:r>
    </w:p>
    <w:p w:rsidR="00242418" w:rsidRDefault="00242418" w:rsidP="00C54A8A">
      <w:pPr>
        <w:pStyle w:val="Head2nonumber"/>
        <w:jc w:val="both"/>
      </w:pPr>
      <w:bookmarkStart w:id="290" w:name="_Toc382225544"/>
      <w:bookmarkStart w:id="291" w:name="_Toc382475535"/>
      <w:bookmarkStart w:id="292" w:name="_Toc382554922"/>
      <w:bookmarkStart w:id="293" w:name="_Toc382574776"/>
      <w:r>
        <w:t>Foundations</w:t>
      </w:r>
      <w:bookmarkEnd w:id="290"/>
      <w:bookmarkEnd w:id="291"/>
      <w:bookmarkEnd w:id="292"/>
      <w:bookmarkEnd w:id="293"/>
    </w:p>
    <w:p w:rsidR="00242418" w:rsidRDefault="00242418" w:rsidP="00C54A8A">
      <w:pPr>
        <w:pStyle w:val="Head3-nonumber"/>
        <w:jc w:val="both"/>
      </w:pPr>
      <w:bookmarkStart w:id="294" w:name="_Toc382554923"/>
      <w:bookmarkStart w:id="295" w:name="_Toc382574777"/>
      <w:r w:rsidRPr="00AB7877">
        <w:t>NHC Background Information</w:t>
      </w:r>
      <w:bookmarkEnd w:id="294"/>
      <w:bookmarkEnd w:id="295"/>
      <w:r>
        <w:t xml:space="preserve"> </w:t>
      </w:r>
    </w:p>
    <w:p w:rsidR="00242418" w:rsidRPr="00C54B8B" w:rsidRDefault="00242418" w:rsidP="00C54B8B">
      <w:pPr>
        <w:jc w:val="both"/>
      </w:pPr>
      <w:r w:rsidRPr="007938B2">
        <w:t>The NHC is an independent ministerial advisory committee tasked with providing advice on the level of funding for non-pharmaceutical interventions.  It</w:t>
      </w:r>
      <w:r>
        <w:t>s scope i</w:t>
      </w:r>
      <w:r w:rsidRPr="007938B2">
        <w:t>s therefore focused on services and pathways of care.</w:t>
      </w:r>
    </w:p>
    <w:p w:rsidR="00242418" w:rsidRDefault="00242418" w:rsidP="00C54A8A">
      <w:pPr>
        <w:pStyle w:val="Head3-nonumber"/>
        <w:jc w:val="both"/>
      </w:pPr>
      <w:bookmarkStart w:id="296" w:name="_Toc382554924"/>
      <w:bookmarkStart w:id="297" w:name="_Toc382574778"/>
      <w:r>
        <w:t>Prioritisation and Assessment Tools</w:t>
      </w:r>
      <w:bookmarkEnd w:id="296"/>
      <w:bookmarkEnd w:id="297"/>
    </w:p>
    <w:p w:rsidR="00242418" w:rsidRPr="007938B2" w:rsidRDefault="00242418" w:rsidP="00C54A8A">
      <w:pPr>
        <w:jc w:val="both"/>
      </w:pPr>
      <w:r w:rsidRPr="007938B2">
        <w:t xml:space="preserve">The NHC has a variety of tools and criteria which it uses to prioritise its work.  Interventions are assessed against the NHC’s 11 decision-making criteria (available at </w:t>
      </w:r>
      <w:hyperlink r:id="rId39" w:history="1">
        <w:r w:rsidRPr="007938B2">
          <w:t>www.nhc.health.govt.nz</w:t>
        </w:r>
      </w:hyperlink>
      <w:r w:rsidRPr="007938B2">
        <w:t>) across 4 assessment domains.  Emphasis is placed on clinical safety/effectiveness, cost effectiveness, ease of implementation (feasibility of adoption), materiality and risk in the first instance</w:t>
      </w:r>
    </w:p>
    <w:p w:rsidR="00242418" w:rsidRPr="007938B2" w:rsidRDefault="00242418" w:rsidP="00C54A8A">
      <w:pPr>
        <w:jc w:val="both"/>
      </w:pPr>
      <w:r w:rsidRPr="007938B2">
        <w:t xml:space="preserve">Interventions can be classed as new investment, targeting and service reconfiguration opportunities.  Assessments can either be in a classic </w:t>
      </w:r>
      <w:r w:rsidR="00E222C2">
        <w:t>health technology assessment (</w:t>
      </w:r>
      <w:r w:rsidRPr="007938B2">
        <w:t>HTA</w:t>
      </w:r>
      <w:r w:rsidR="00E222C2">
        <w:t>)</w:t>
      </w:r>
      <w:r w:rsidRPr="007938B2">
        <w:t>, rapid implementation plan (RIP) or referred to the Health Innovation Partnership (HIP)</w:t>
      </w:r>
    </w:p>
    <w:p w:rsidR="00242418" w:rsidRDefault="00242418" w:rsidP="00C54A8A">
      <w:pPr>
        <w:pStyle w:val="Head3-nonumber"/>
        <w:jc w:val="both"/>
      </w:pPr>
      <w:bookmarkStart w:id="298" w:name="_Toc382554925"/>
      <w:bookmarkStart w:id="299" w:name="_Toc382574779"/>
      <w:r>
        <w:t>Methodologies</w:t>
      </w:r>
      <w:bookmarkEnd w:id="298"/>
      <w:bookmarkEnd w:id="299"/>
    </w:p>
    <w:p w:rsidR="00242418" w:rsidRPr="007938B2" w:rsidRDefault="00242418" w:rsidP="00C54A8A">
      <w:pPr>
        <w:jc w:val="both"/>
      </w:pPr>
      <w:r w:rsidRPr="007938B2">
        <w:t xml:space="preserve">To conduct the background work for COPD, the NHC primarily used data from </w:t>
      </w:r>
      <w:r w:rsidR="00B04842">
        <w:t>H</w:t>
      </w:r>
      <w:r w:rsidRPr="007938B2">
        <w:t xml:space="preserve">ealth </w:t>
      </w:r>
      <w:r w:rsidR="00B04842">
        <w:t>T</w:t>
      </w:r>
      <w:r w:rsidRPr="007938B2">
        <w:t>racker (HT) to identify COPD patients and analyse their associated health outcomes and service use.  HT is a collation of various datasets (e.g. pharmaceutical, hospitalisations) that tracks individual patients with their NHI numbers.  Like all datasets, there are limitations to this data.  Limitations such as the cross-over of identical medications for different disease</w:t>
      </w:r>
      <w:r w:rsidR="00B04842">
        <w:t>s</w:t>
      </w:r>
      <w:r w:rsidRPr="007938B2">
        <w:t xml:space="preserve"> (e.g. asthma and COPD) present challenges, but the data is a relatively comprehensive set of high-quality inputs by international comparison.</w:t>
      </w:r>
    </w:p>
    <w:p w:rsidR="00242418" w:rsidRDefault="00242418" w:rsidP="00C54A8A">
      <w:pPr>
        <w:pStyle w:val="Head2nonumber"/>
        <w:jc w:val="both"/>
      </w:pPr>
      <w:bookmarkStart w:id="300" w:name="_Toc382225545"/>
      <w:bookmarkStart w:id="301" w:name="_Toc382475536"/>
      <w:bookmarkStart w:id="302" w:name="_Toc382554926"/>
      <w:bookmarkStart w:id="303" w:name="_Toc382574780"/>
      <w:r>
        <w:t>Potential Improvements along COPD Care Pathway</w:t>
      </w:r>
      <w:bookmarkEnd w:id="300"/>
      <w:bookmarkEnd w:id="301"/>
      <w:bookmarkEnd w:id="302"/>
      <w:bookmarkEnd w:id="303"/>
    </w:p>
    <w:p w:rsidR="00242418" w:rsidRDefault="00242418" w:rsidP="00C54A8A">
      <w:pPr>
        <w:jc w:val="both"/>
      </w:pPr>
      <w:r>
        <w:t>The RWG identified and discussed various areas along the care pathway where improvements could be made.  These areas are explored in more depth in the following sections.</w:t>
      </w:r>
    </w:p>
    <w:p w:rsidR="00242418" w:rsidRDefault="00242418" w:rsidP="00C54A8A">
      <w:pPr>
        <w:pStyle w:val="Head3-nonumber"/>
        <w:jc w:val="both"/>
      </w:pPr>
      <w:bookmarkStart w:id="304" w:name="_Toc382554927"/>
      <w:bookmarkStart w:id="305" w:name="_Toc382574781"/>
      <w:r>
        <w:t>Case Finding, Diagnosis, and Monitoring of Symptoms</w:t>
      </w:r>
      <w:bookmarkEnd w:id="304"/>
      <w:bookmarkEnd w:id="305"/>
    </w:p>
    <w:p w:rsidR="00242418" w:rsidRPr="00117FC8" w:rsidRDefault="00242418" w:rsidP="00C54A8A">
      <w:pPr>
        <w:jc w:val="both"/>
      </w:pPr>
      <w:r w:rsidRPr="00117FC8">
        <w:t>Spirometry is not universally available or deployed accurately both for early diagnosis and ongoing monitoring of the condition. Changing the way spirometry is delivered, possibly using a mobile service (e.g. unique or aligned with dental mobile units, breast-screening mobile units, surgical bus etc.), could improve coverage.  Health Hawkes Bay has implemented a pilot involving spirometry.  This pilot has the potential to improve both diagnosis and symptom monitoring in the primary-care setting.</w:t>
      </w:r>
    </w:p>
    <w:p w:rsidR="00242418" w:rsidRPr="00117FC8" w:rsidRDefault="00242418" w:rsidP="00C54A8A">
      <w:pPr>
        <w:jc w:val="both"/>
      </w:pPr>
      <w:r w:rsidRPr="00117FC8">
        <w:t xml:space="preserve">In addition to spirometry, a need was identified for having a symptom-based screening questionnaire. </w:t>
      </w:r>
      <w:r w:rsidRPr="00117FC8" w:rsidDel="00465DB0">
        <w:t xml:space="preserve"> </w:t>
      </w:r>
      <w:r w:rsidRPr="00117FC8">
        <w:t>This questionnaire could aid in selectively targeting patients for further investigation.  This case finding could link in with smoking cessation efforts and could align with existing chronic care management approaches in an integrated care multidisciplinary team structure.</w:t>
      </w:r>
    </w:p>
    <w:p w:rsidR="00242418" w:rsidRDefault="00242418" w:rsidP="00C54A8A">
      <w:pPr>
        <w:spacing w:before="40" w:after="40" w:line="240" w:lineRule="auto"/>
        <w:jc w:val="both"/>
        <w:rPr>
          <w:rFonts w:cs="Arial"/>
          <w:szCs w:val="22"/>
        </w:rPr>
      </w:pPr>
    </w:p>
    <w:tbl>
      <w:tblPr>
        <w:tblStyle w:val="TableGrid"/>
        <w:tblW w:w="0" w:type="auto"/>
        <w:tblLook w:val="04A0" w:firstRow="1" w:lastRow="0" w:firstColumn="1" w:lastColumn="0" w:noHBand="0" w:noVBand="1"/>
      </w:tblPr>
      <w:tblGrid>
        <w:gridCol w:w="9242"/>
      </w:tblGrid>
      <w:tr w:rsidR="00242418" w:rsidTr="00915B9A">
        <w:tc>
          <w:tcPr>
            <w:tcW w:w="9242" w:type="dxa"/>
          </w:tcPr>
          <w:p w:rsidR="00242418" w:rsidRDefault="00242418" w:rsidP="00C54A8A">
            <w:pPr>
              <w:spacing w:before="40" w:after="40" w:line="240" w:lineRule="auto"/>
              <w:jc w:val="both"/>
              <w:rPr>
                <w:rFonts w:cs="Arial"/>
                <w:szCs w:val="22"/>
                <w:u w:val="single"/>
              </w:rPr>
            </w:pPr>
            <w:r>
              <w:rPr>
                <w:rFonts w:cs="Arial"/>
                <w:szCs w:val="22"/>
                <w:u w:val="single"/>
              </w:rPr>
              <w:t>Case Study</w:t>
            </w:r>
          </w:p>
          <w:p w:rsidR="00242418" w:rsidRDefault="00242418" w:rsidP="00C54A8A">
            <w:pPr>
              <w:spacing w:before="40" w:after="40" w:line="240" w:lineRule="auto"/>
              <w:jc w:val="both"/>
              <w:rPr>
                <w:rFonts w:cs="Arial"/>
                <w:szCs w:val="22"/>
                <w:u w:val="single"/>
              </w:rPr>
            </w:pPr>
          </w:p>
          <w:p w:rsidR="00242418" w:rsidRPr="00117FC8" w:rsidRDefault="00242418" w:rsidP="00C54A8A">
            <w:pPr>
              <w:spacing w:before="40" w:after="40" w:line="240" w:lineRule="auto"/>
              <w:jc w:val="both"/>
              <w:rPr>
                <w:rFonts w:cs="Arial"/>
                <w:szCs w:val="22"/>
                <w:u w:val="single"/>
              </w:rPr>
            </w:pPr>
            <w:r>
              <w:rPr>
                <w:rFonts w:cs="Arial"/>
                <w:szCs w:val="22"/>
              </w:rPr>
              <w:t>Canterbury DHB (CDHB) has successfully implemented a more integrated, community-based COPD pathway.  By introducing interventions such as ‘Blue Cards’ to help patients initiate an action plan (supported self-management), CDHB has reduced COPD ambulance trips to ED by 30% instead diverting them to GPs for appropriate management.</w:t>
            </w:r>
          </w:p>
          <w:p w:rsidR="00242418" w:rsidRDefault="00242418" w:rsidP="00C54A8A">
            <w:pPr>
              <w:spacing w:before="40" w:after="40" w:line="240" w:lineRule="auto"/>
              <w:jc w:val="both"/>
              <w:rPr>
                <w:rFonts w:cs="Arial"/>
                <w:szCs w:val="22"/>
                <w:u w:val="single"/>
              </w:rPr>
            </w:pPr>
          </w:p>
        </w:tc>
      </w:tr>
    </w:tbl>
    <w:p w:rsidR="00242418" w:rsidRDefault="00242418" w:rsidP="00C54A8A">
      <w:pPr>
        <w:spacing w:before="40" w:after="40"/>
        <w:jc w:val="both"/>
        <w:rPr>
          <w:rFonts w:cs="Arial"/>
          <w:szCs w:val="22"/>
        </w:rPr>
      </w:pPr>
    </w:p>
    <w:p w:rsidR="00242418" w:rsidRDefault="00242418" w:rsidP="00C54A8A">
      <w:pPr>
        <w:pStyle w:val="Head3-nonumber"/>
        <w:jc w:val="both"/>
      </w:pPr>
      <w:bookmarkStart w:id="306" w:name="_Toc382554928"/>
      <w:bookmarkStart w:id="307" w:name="_Toc382574782"/>
      <w:r>
        <w:t>Pulmonary Rehabilitation (PR)</w:t>
      </w:r>
      <w:bookmarkEnd w:id="306"/>
      <w:bookmarkEnd w:id="307"/>
    </w:p>
    <w:p w:rsidR="00242418" w:rsidRPr="002D7886" w:rsidRDefault="00242418" w:rsidP="00C54A8A">
      <w:pPr>
        <w:jc w:val="both"/>
      </w:pPr>
      <w:r w:rsidRPr="00117FC8">
        <w:t xml:space="preserve">Pulmonary rehabilitation (PR) was discussed as an intervention with very good evidence in favour of effectiveness.  PR is underutilised due to a combination of low referral rates in some DHBs, low uptake rates and low completion rates.  The RWG identified that these problems may be solved by utilising a rolling attendance system (as Counties Manukau DHB does) and/or a ‘coffee card’ system whereby patients can </w:t>
      </w:r>
      <w:r>
        <w:t>attend PR classes casually</w:t>
      </w:r>
      <w:r w:rsidRPr="00117FC8">
        <w:t>.</w:t>
      </w:r>
    </w:p>
    <w:p w:rsidR="00242418" w:rsidRDefault="00242418" w:rsidP="00C54A8A">
      <w:pPr>
        <w:pStyle w:val="Head3-nonumber"/>
        <w:jc w:val="both"/>
      </w:pPr>
      <w:bookmarkStart w:id="308" w:name="_Toc382554929"/>
      <w:bookmarkStart w:id="309" w:name="_Toc382574783"/>
      <w:r>
        <w:t>Oxygen and Non-Invasive Ventilation (NIV) Variation</w:t>
      </w:r>
      <w:bookmarkEnd w:id="308"/>
      <w:bookmarkEnd w:id="309"/>
    </w:p>
    <w:p w:rsidR="00242418" w:rsidRPr="002D7886" w:rsidRDefault="00242418" w:rsidP="00C54A8A">
      <w:pPr>
        <w:jc w:val="both"/>
      </w:pPr>
      <w:r w:rsidRPr="002D7886">
        <w:t>There exists variation among DHBs with regards to long-term oxygen prescription rates (i.e. some DHBs may overprescribe) as well as issues of the type of oxygen generation prescribed</w:t>
      </w:r>
      <w:r w:rsidR="00B04842">
        <w:t>.</w:t>
      </w:r>
    </w:p>
    <w:p w:rsidR="00242418" w:rsidRPr="002D7886" w:rsidRDefault="00242418" w:rsidP="00C54A8A">
      <w:pPr>
        <w:jc w:val="both"/>
      </w:pPr>
      <w:r w:rsidRPr="002D7886">
        <w:t>More training and specialist support is required to safely implement NIV to supplement the standard NIV procedures already available in New Zealand.  Home NIV and chronic NIV use is not recommended/evidence-based and should be discontinued if they are being practiced in DHBs.</w:t>
      </w:r>
    </w:p>
    <w:p w:rsidR="00242418" w:rsidRDefault="00242418" w:rsidP="00C54A8A">
      <w:pPr>
        <w:pStyle w:val="Head3-nonumber"/>
        <w:jc w:val="both"/>
      </w:pPr>
      <w:bookmarkStart w:id="310" w:name="_Toc382554930"/>
      <w:bookmarkStart w:id="311" w:name="_Toc382574784"/>
      <w:r>
        <w:t xml:space="preserve">Palliative and End of Life </w:t>
      </w:r>
      <w:bookmarkEnd w:id="310"/>
      <w:r w:rsidR="001E007B">
        <w:t>Planning</w:t>
      </w:r>
      <w:bookmarkEnd w:id="311"/>
    </w:p>
    <w:p w:rsidR="00242418" w:rsidRDefault="00242418" w:rsidP="00C54A8A">
      <w:pPr>
        <w:jc w:val="both"/>
      </w:pPr>
      <w:r w:rsidRPr="002D7886">
        <w:t>There is variation in the availability and utilisati</w:t>
      </w:r>
      <w:r>
        <w:t xml:space="preserve">on of these services among DHBs.  </w:t>
      </w:r>
      <w:r w:rsidRPr="002D7886">
        <w:t>Advance care plans (ACPs) are important to good end of life support and should be discussed and agreed earlier in the pathway</w:t>
      </w:r>
      <w:r>
        <w:t>.</w:t>
      </w:r>
    </w:p>
    <w:p w:rsidR="00242418" w:rsidRDefault="00242418" w:rsidP="00C54A8A">
      <w:pPr>
        <w:pStyle w:val="Head2nonumber"/>
        <w:jc w:val="both"/>
      </w:pPr>
      <w:bookmarkStart w:id="312" w:name="_Toc382225546"/>
      <w:bookmarkStart w:id="313" w:name="_Toc382475537"/>
      <w:bookmarkStart w:id="314" w:name="_Toc382554931"/>
      <w:bookmarkStart w:id="315" w:name="_Toc382574785"/>
      <w:r>
        <w:t>An Integrated Approach</w:t>
      </w:r>
      <w:bookmarkEnd w:id="312"/>
      <w:bookmarkEnd w:id="313"/>
      <w:bookmarkEnd w:id="314"/>
      <w:bookmarkEnd w:id="315"/>
    </w:p>
    <w:p w:rsidR="00242418" w:rsidRPr="00323882" w:rsidRDefault="00242418" w:rsidP="00C54A8A">
      <w:pPr>
        <w:jc w:val="both"/>
      </w:pPr>
      <w:r>
        <w:t xml:space="preserve">With most of the issues highlighted and some case studies shared, the RWG focused on putting together these individual improvements and crafting an ideal COPD pathway that includes an integrated, systems-focused approach supported by a multidisciplinary team.  </w:t>
      </w:r>
      <w:r w:rsidRPr="00323882">
        <w:t xml:space="preserve">Some of the </w:t>
      </w:r>
      <w:r>
        <w:t xml:space="preserve">identified </w:t>
      </w:r>
      <w:r w:rsidRPr="00323882">
        <w:t>issu</w:t>
      </w:r>
      <w:r>
        <w:t>es affecting the entire system we</w:t>
      </w:r>
      <w:r w:rsidRPr="00323882">
        <w:t>re patient identification, support infrastructure for clinicians, having the ability to initiate a rapid/mobile response to patient needs and the advent of new technologies</w:t>
      </w:r>
      <w:r>
        <w:t>.  In addition to general system issues, Māori considerations were discussed in the context of the wider health system.</w:t>
      </w:r>
    </w:p>
    <w:p w:rsidR="00242418" w:rsidRDefault="00242418" w:rsidP="00C54A8A">
      <w:pPr>
        <w:spacing w:before="40" w:after="40" w:line="240" w:lineRule="auto"/>
        <w:jc w:val="both"/>
        <w:rPr>
          <w:rFonts w:cs="Arial"/>
          <w:szCs w:val="22"/>
        </w:rPr>
      </w:pPr>
    </w:p>
    <w:tbl>
      <w:tblPr>
        <w:tblStyle w:val="TableGrid"/>
        <w:tblW w:w="0" w:type="auto"/>
        <w:tblLook w:val="04A0" w:firstRow="1" w:lastRow="0" w:firstColumn="1" w:lastColumn="0" w:noHBand="0" w:noVBand="1"/>
      </w:tblPr>
      <w:tblGrid>
        <w:gridCol w:w="9242"/>
      </w:tblGrid>
      <w:tr w:rsidR="00242418" w:rsidTr="00915B9A">
        <w:tc>
          <w:tcPr>
            <w:tcW w:w="9242" w:type="dxa"/>
          </w:tcPr>
          <w:p w:rsidR="00242418" w:rsidRPr="002D7886" w:rsidRDefault="00242418" w:rsidP="00C54A8A">
            <w:pPr>
              <w:spacing w:before="40" w:after="40" w:line="240" w:lineRule="auto"/>
              <w:jc w:val="both"/>
              <w:rPr>
                <w:rFonts w:cs="Arial"/>
                <w:szCs w:val="22"/>
                <w:u w:val="single"/>
              </w:rPr>
            </w:pPr>
            <w:r w:rsidRPr="002D7886">
              <w:rPr>
                <w:rFonts w:cs="Arial"/>
                <w:szCs w:val="22"/>
                <w:u w:val="single"/>
              </w:rPr>
              <w:t>Case Study</w:t>
            </w:r>
          </w:p>
          <w:p w:rsidR="00242418" w:rsidRDefault="00242418" w:rsidP="00C54A8A">
            <w:pPr>
              <w:spacing w:before="40" w:after="40" w:line="240" w:lineRule="auto"/>
              <w:jc w:val="both"/>
              <w:rPr>
                <w:rFonts w:cs="Arial"/>
                <w:szCs w:val="22"/>
              </w:rPr>
            </w:pPr>
          </w:p>
          <w:p w:rsidR="00242418" w:rsidRDefault="001E007B" w:rsidP="00C54A8A">
            <w:pPr>
              <w:spacing w:before="40" w:after="40" w:line="240" w:lineRule="auto"/>
              <w:jc w:val="both"/>
              <w:rPr>
                <w:rFonts w:cs="Arial"/>
                <w:szCs w:val="22"/>
              </w:rPr>
            </w:pPr>
            <w:r>
              <w:rPr>
                <w:rFonts w:cs="Arial"/>
                <w:szCs w:val="22"/>
              </w:rPr>
              <w:t>One member</w:t>
            </w:r>
            <w:r w:rsidR="00242418">
              <w:rPr>
                <w:rFonts w:cs="Arial"/>
                <w:szCs w:val="22"/>
              </w:rPr>
              <w:t xml:space="preserve"> spoke about some of her experiences working with Māori COPD patients and the insights she’s had.  By including the patient’s local circumst</w:t>
            </w:r>
            <w:r>
              <w:rPr>
                <w:rFonts w:cs="Arial"/>
                <w:szCs w:val="22"/>
              </w:rPr>
              <w:t>ances, she</w:t>
            </w:r>
            <w:r w:rsidR="00242418">
              <w:rPr>
                <w:rFonts w:cs="Arial"/>
                <w:szCs w:val="22"/>
              </w:rPr>
              <w:t xml:space="preserve"> incorporates medical care with wider social issues (i.e. housing, budgeting, the benefits of social engagement/support for clients).  Some providers see their role as forging links with other health professionals and facilitating patient learning through educational groups in a bid to increase health literacy.  Though specifically intended for Māori, these ideas and philosophies echo the sentiment of the entire RWG to better integrate care across a variety of domains.</w:t>
            </w:r>
          </w:p>
          <w:p w:rsidR="00242418" w:rsidRDefault="00242418" w:rsidP="00C54A8A">
            <w:pPr>
              <w:spacing w:before="40" w:after="40" w:line="240" w:lineRule="auto"/>
              <w:jc w:val="both"/>
              <w:rPr>
                <w:rFonts w:cs="Arial"/>
                <w:szCs w:val="22"/>
              </w:rPr>
            </w:pPr>
          </w:p>
        </w:tc>
      </w:tr>
    </w:tbl>
    <w:p w:rsidR="00242418" w:rsidRDefault="00242418" w:rsidP="00C54A8A">
      <w:pPr>
        <w:spacing w:before="40" w:after="40" w:line="240" w:lineRule="auto"/>
        <w:jc w:val="both"/>
        <w:rPr>
          <w:rFonts w:cs="Arial"/>
          <w:szCs w:val="22"/>
        </w:rPr>
      </w:pPr>
    </w:p>
    <w:p w:rsidR="00242418" w:rsidRDefault="00242418" w:rsidP="00C54A8A">
      <w:pPr>
        <w:pStyle w:val="Head2nonumber"/>
        <w:jc w:val="both"/>
      </w:pPr>
      <w:bookmarkStart w:id="316" w:name="_Toc382554932"/>
      <w:bookmarkStart w:id="317" w:name="_Toc382574786"/>
      <w:r w:rsidRPr="002D7886">
        <w:t>Conclusion</w:t>
      </w:r>
      <w:bookmarkEnd w:id="316"/>
      <w:bookmarkEnd w:id="317"/>
      <w:r w:rsidRPr="002D7886">
        <w:t xml:space="preserve"> </w:t>
      </w:r>
    </w:p>
    <w:p w:rsidR="00242418" w:rsidRPr="002D7886" w:rsidRDefault="00242418" w:rsidP="00C54A8A">
      <w:pPr>
        <w:spacing w:before="40" w:after="40" w:line="240" w:lineRule="auto"/>
        <w:jc w:val="both"/>
        <w:rPr>
          <w:rFonts w:cs="Arial"/>
          <w:szCs w:val="22"/>
          <w:u w:val="single"/>
        </w:rPr>
      </w:pPr>
    </w:p>
    <w:p w:rsidR="00242418" w:rsidRPr="00323882" w:rsidRDefault="00242418" w:rsidP="00C54A8A">
      <w:pPr>
        <w:jc w:val="both"/>
      </w:pPr>
      <w:r w:rsidRPr="00323882">
        <w:t xml:space="preserve">The proposed changes to the COPD pathway of care reflect a desire to integrate care, improve diagnosis/case finding and increase access/utilisation of effective interventions (i.e. PR and NIV) whilst reducing inappropriate interventions (i.e. some oxygen therapy and inhaled steroid prescriptions).  Underpinning these changes are improvements to end of life care and infrastructure changes to support a regional model of care that offers case management.  </w:t>
      </w:r>
    </w:p>
    <w:p w:rsidR="00B04842" w:rsidRDefault="00242418" w:rsidP="00C54A8A">
      <w:pPr>
        <w:jc w:val="both"/>
      </w:pPr>
      <w:r w:rsidRPr="00323882">
        <w:t>The working group was keen to further the discussion via a dropbox for sharing articles, a collaborative website to share ideas to support a transparent movement.</w:t>
      </w:r>
      <w:r>
        <w:t xml:space="preserve">  </w:t>
      </w:r>
      <w:r w:rsidRPr="00323882">
        <w:t>Whilst there are challenges to implementation, there are pockets of success around the country that have proven that positive change is possible.  The RWG is keen to replicate that success and improve COPD care pathways.</w:t>
      </w:r>
    </w:p>
    <w:p w:rsidR="00457A81" w:rsidRDefault="00B04842" w:rsidP="00937FCB">
      <w:pPr>
        <w:spacing w:after="0" w:line="240" w:lineRule="auto"/>
        <w:jc w:val="both"/>
        <w:sectPr w:rsidR="00457A81" w:rsidSect="00457A81">
          <w:headerReference w:type="even" r:id="rId40"/>
          <w:headerReference w:type="default" r:id="rId41"/>
          <w:headerReference w:type="first" r:id="rId42"/>
          <w:pgSz w:w="11906" w:h="16838" w:code="9"/>
          <w:pgMar w:top="1418" w:right="1134" w:bottom="1134" w:left="1418" w:header="0" w:footer="425" w:gutter="0"/>
          <w:cols w:space="708"/>
          <w:docGrid w:linePitch="360"/>
        </w:sectPr>
      </w:pPr>
      <w:r>
        <w:br w:type="page"/>
      </w:r>
    </w:p>
    <w:p w:rsidR="00402750" w:rsidRDefault="00402750" w:rsidP="00937FCB">
      <w:pPr>
        <w:spacing w:after="0" w:line="240" w:lineRule="auto"/>
        <w:jc w:val="both"/>
      </w:pPr>
    </w:p>
    <w:p w:rsidR="00996174" w:rsidRDefault="00996174" w:rsidP="00C54A8A">
      <w:pPr>
        <w:pStyle w:val="Head2nonumber"/>
        <w:jc w:val="both"/>
      </w:pPr>
      <w:bookmarkStart w:id="318" w:name="_Toc370401409"/>
      <w:bookmarkStart w:id="319" w:name="_Toc370477251"/>
      <w:bookmarkStart w:id="320" w:name="_Toc371949690"/>
      <w:bookmarkStart w:id="321" w:name="_Toc382225547"/>
      <w:bookmarkStart w:id="322" w:name="_Toc382475538"/>
      <w:bookmarkStart w:id="323" w:name="_Toc382554933"/>
      <w:bookmarkStart w:id="324" w:name="_Toc382574787"/>
    </w:p>
    <w:p w:rsidR="000B1B60" w:rsidRPr="006424B7" w:rsidRDefault="000B1B60" w:rsidP="00C54A8A">
      <w:pPr>
        <w:pStyle w:val="Head2nonumber"/>
        <w:jc w:val="both"/>
      </w:pPr>
      <w:r w:rsidRPr="006424B7">
        <w:t>National Health Committee (NHC) and Executive</w:t>
      </w:r>
      <w:bookmarkEnd w:id="318"/>
      <w:bookmarkEnd w:id="319"/>
      <w:bookmarkEnd w:id="320"/>
      <w:bookmarkEnd w:id="321"/>
      <w:bookmarkEnd w:id="322"/>
      <w:bookmarkEnd w:id="323"/>
      <w:bookmarkEnd w:id="324"/>
    </w:p>
    <w:p w:rsidR="00996174" w:rsidRPr="00996174" w:rsidRDefault="00996174" w:rsidP="00996174">
      <w:pPr>
        <w:spacing w:after="80" w:line="240" w:lineRule="auto"/>
        <w:jc w:val="both"/>
        <w:rPr>
          <w:rFonts w:cs="Arial"/>
          <w:color w:val="000000"/>
        </w:rPr>
      </w:pPr>
      <w:r w:rsidRPr="00996174">
        <w:rPr>
          <w:rFonts w:cs="Arial"/>
          <w:color w:val="000000"/>
        </w:rPr>
        <w:t>The National Health Committee (NHC) is an independent statutory body which provides advice to the New Zealand Minister of Health.  It was reformed in 2011 to establish evaluation systems that would provide the New Zealand people and health sector with greater value for the money invested in health.  The NHC Executive are the secretariat that supports the Committee.  The NHC Executive’s primary objective is to provide the Committee with sufficient information for them to make recommendations regarding prioritisation and reprioritisation of interventions.  They do this through a range of evidence-based reports tailored to the nature of the decision required and time-frame within which decisions need to be made.</w:t>
      </w:r>
    </w:p>
    <w:p w:rsidR="000B1B60" w:rsidRPr="006424B7" w:rsidRDefault="000B1B60" w:rsidP="00C54A8A">
      <w:pPr>
        <w:spacing w:line="240" w:lineRule="auto"/>
        <w:jc w:val="both"/>
        <w:rPr>
          <w:rFonts w:cs="Arial"/>
          <w:color w:val="000000"/>
        </w:rPr>
      </w:pPr>
    </w:p>
    <w:p w:rsidR="000B1B60" w:rsidRPr="006424B7" w:rsidRDefault="000B1B60" w:rsidP="00C54B8B">
      <w:pPr>
        <w:spacing w:line="240" w:lineRule="auto"/>
        <w:jc w:val="center"/>
        <w:rPr>
          <w:rFonts w:cs="Arial"/>
          <w:color w:val="000000"/>
        </w:rPr>
      </w:pPr>
      <w:r w:rsidRPr="006424B7">
        <w:rPr>
          <w:rFonts w:cs="Arial"/>
          <w:color w:val="000000"/>
        </w:rPr>
        <w:t>Citation:  National Health Committee.</w:t>
      </w:r>
      <w:r w:rsidR="00996174">
        <w:rPr>
          <w:rFonts w:cs="Arial"/>
          <w:color w:val="000000"/>
        </w:rPr>
        <w:t xml:space="preserve"> </w:t>
      </w:r>
      <w:r w:rsidR="00C54B8B">
        <w:rPr>
          <w:rStyle w:val="Hyperlink"/>
        </w:rPr>
        <w:t>2014</w:t>
      </w:r>
      <w:r w:rsidRPr="008C7519">
        <w:rPr>
          <w:rStyle w:val="Hyperlink"/>
        </w:rPr>
        <w:t xml:space="preserve">. </w:t>
      </w:r>
      <w:r w:rsidR="005A1FD7">
        <w:rPr>
          <w:rStyle w:val="Hyperlink"/>
        </w:rPr>
        <w:t>Chronic Obstructive Pulmonary Disease (COPD)</w:t>
      </w:r>
      <w:r w:rsidR="00B638D3">
        <w:rPr>
          <w:rStyle w:val="Hyperlink"/>
        </w:rPr>
        <w:t>:</w:t>
      </w:r>
      <w:r w:rsidR="005A1FD7">
        <w:rPr>
          <w:rStyle w:val="Hyperlink"/>
        </w:rPr>
        <w:t xml:space="preserve"> A Pathway to Prioritisation</w:t>
      </w:r>
      <w:r w:rsidRPr="0083647A">
        <w:rPr>
          <w:rFonts w:cs="Arial"/>
        </w:rPr>
        <w:t xml:space="preserve">. </w:t>
      </w:r>
      <w:r w:rsidRPr="006424B7">
        <w:rPr>
          <w:rFonts w:cs="Arial"/>
          <w:color w:val="000000"/>
        </w:rPr>
        <w:t>Wellington:  National Health Committee.</w:t>
      </w:r>
    </w:p>
    <w:p w:rsidR="000B1B60" w:rsidRPr="006424B7" w:rsidRDefault="000B1B60" w:rsidP="00C54B8B">
      <w:pPr>
        <w:spacing w:after="0" w:line="240" w:lineRule="auto"/>
        <w:jc w:val="center"/>
        <w:rPr>
          <w:rFonts w:cs="Arial"/>
          <w:color w:val="000000"/>
        </w:rPr>
      </w:pPr>
      <w:r w:rsidRPr="006424B7">
        <w:rPr>
          <w:rFonts w:cs="Arial"/>
          <w:color w:val="000000"/>
        </w:rPr>
        <w:t xml:space="preserve">Published </w:t>
      </w:r>
      <w:r w:rsidR="002D5F70">
        <w:rPr>
          <w:rFonts w:cs="Arial"/>
        </w:rPr>
        <w:t>in</w:t>
      </w:r>
      <w:r w:rsidR="001E007B">
        <w:rPr>
          <w:rFonts w:cs="Arial"/>
        </w:rPr>
        <w:t xml:space="preserve"> March 2014</w:t>
      </w:r>
      <w:r w:rsidRPr="00E80AAC">
        <w:rPr>
          <w:rFonts w:cs="Arial"/>
        </w:rPr>
        <w:t xml:space="preserve"> by </w:t>
      </w:r>
      <w:r w:rsidRPr="006424B7">
        <w:rPr>
          <w:rFonts w:cs="Arial"/>
          <w:color w:val="000000"/>
        </w:rPr>
        <w:t>the National Health Committee</w:t>
      </w:r>
    </w:p>
    <w:p w:rsidR="000B1B60" w:rsidRDefault="000B1B60" w:rsidP="00C54B8B">
      <w:pPr>
        <w:spacing w:after="0" w:line="240" w:lineRule="auto"/>
        <w:jc w:val="center"/>
        <w:rPr>
          <w:rFonts w:cs="Arial"/>
          <w:color w:val="000000"/>
        </w:rPr>
      </w:pPr>
      <w:r w:rsidRPr="006424B7">
        <w:rPr>
          <w:rFonts w:cs="Arial"/>
          <w:color w:val="000000"/>
        </w:rPr>
        <w:t>PO Box 5013, Wellington, New Zealand</w:t>
      </w:r>
    </w:p>
    <w:p w:rsidR="00996174" w:rsidRPr="00996174" w:rsidRDefault="00996174" w:rsidP="00996174">
      <w:pPr>
        <w:spacing w:after="0" w:line="240" w:lineRule="auto"/>
        <w:jc w:val="center"/>
        <w:rPr>
          <w:rFonts w:cs="Arial"/>
          <w:color w:val="000000"/>
        </w:rPr>
      </w:pPr>
      <w:r w:rsidRPr="00996174">
        <w:rPr>
          <w:rFonts w:cs="Arial"/>
          <w:color w:val="000000"/>
        </w:rPr>
        <w:t>ISBN: 978-0-9922623-0-3 (online)</w:t>
      </w:r>
    </w:p>
    <w:p w:rsidR="00996174" w:rsidRDefault="00996174" w:rsidP="00C54B8B">
      <w:pPr>
        <w:spacing w:after="0" w:line="240" w:lineRule="auto"/>
        <w:jc w:val="center"/>
        <w:rPr>
          <w:rFonts w:cs="Arial"/>
          <w:color w:val="000000"/>
        </w:rPr>
      </w:pPr>
      <w:r>
        <w:rPr>
          <w:rFonts w:cs="Arial"/>
          <w:color w:val="000000"/>
        </w:rPr>
        <w:t>HP 5850</w:t>
      </w:r>
    </w:p>
    <w:p w:rsidR="00C54B8B" w:rsidRPr="006424B7" w:rsidRDefault="00C54B8B" w:rsidP="00C54B8B">
      <w:pPr>
        <w:spacing w:after="0" w:line="240" w:lineRule="auto"/>
        <w:jc w:val="center"/>
        <w:rPr>
          <w:rFonts w:cs="Arial"/>
          <w:color w:val="000000"/>
        </w:rPr>
      </w:pPr>
    </w:p>
    <w:p w:rsidR="000B1B60" w:rsidRPr="006424B7" w:rsidRDefault="000B1B60" w:rsidP="00C54B8B">
      <w:pPr>
        <w:spacing w:after="0" w:line="240" w:lineRule="auto"/>
        <w:jc w:val="center"/>
        <w:rPr>
          <w:rFonts w:cs="Arial"/>
          <w:color w:val="000000"/>
        </w:rPr>
      </w:pPr>
      <w:r w:rsidRPr="006424B7">
        <w:rPr>
          <w:rFonts w:cs="Arial"/>
          <w:color w:val="000000"/>
        </w:rPr>
        <w:t>This document is available on the National Health Committee’s website:</w:t>
      </w:r>
    </w:p>
    <w:p w:rsidR="000B1B60" w:rsidRDefault="005E74F2" w:rsidP="00C54B8B">
      <w:pPr>
        <w:spacing w:after="0" w:line="240" w:lineRule="auto"/>
        <w:jc w:val="center"/>
        <w:rPr>
          <w:rFonts w:cs="Arial"/>
          <w:color w:val="000000"/>
        </w:rPr>
      </w:pPr>
      <w:hyperlink r:id="rId43" w:history="1">
        <w:r w:rsidR="000B1B60" w:rsidRPr="008340D7">
          <w:rPr>
            <w:rStyle w:val="Hyperlink"/>
          </w:rPr>
          <w:t>http://www.nhc.health.govt.nz/</w:t>
        </w:r>
      </w:hyperlink>
    </w:p>
    <w:p w:rsidR="000B1B60" w:rsidRDefault="000B1B60" w:rsidP="00C54A8A">
      <w:pPr>
        <w:spacing w:line="240" w:lineRule="auto"/>
        <w:jc w:val="both"/>
        <w:rPr>
          <w:rFonts w:cs="Arial"/>
          <w:color w:val="000000"/>
        </w:rPr>
      </w:pPr>
    </w:p>
    <w:p w:rsidR="000B1B60" w:rsidRPr="006424B7" w:rsidRDefault="000B1B60" w:rsidP="00C54B8B">
      <w:pPr>
        <w:pStyle w:val="Head2nonumber"/>
      </w:pPr>
      <w:bookmarkStart w:id="325" w:name="_Toc370401410"/>
      <w:bookmarkStart w:id="326" w:name="_Toc370477252"/>
      <w:bookmarkStart w:id="327" w:name="_Toc371949691"/>
      <w:bookmarkStart w:id="328" w:name="_Toc382225548"/>
      <w:bookmarkStart w:id="329" w:name="_Toc382475539"/>
      <w:bookmarkStart w:id="330" w:name="_Toc382554934"/>
      <w:bookmarkStart w:id="331" w:name="_Toc382574788"/>
      <w:r w:rsidRPr="006424B7">
        <w:t>Disclaimer</w:t>
      </w:r>
      <w:bookmarkEnd w:id="325"/>
      <w:bookmarkEnd w:id="326"/>
      <w:bookmarkEnd w:id="327"/>
      <w:bookmarkEnd w:id="328"/>
      <w:bookmarkEnd w:id="329"/>
      <w:bookmarkEnd w:id="330"/>
      <w:bookmarkEnd w:id="331"/>
    </w:p>
    <w:p w:rsidR="000B1B60" w:rsidRPr="006424B7" w:rsidRDefault="000B1B60" w:rsidP="00C54A8A">
      <w:pPr>
        <w:spacing w:after="80" w:line="240" w:lineRule="auto"/>
        <w:jc w:val="both"/>
        <w:rPr>
          <w:rFonts w:cs="Arial"/>
          <w:color w:val="000000"/>
        </w:rPr>
      </w:pPr>
      <w:r w:rsidRPr="006424B7">
        <w:rPr>
          <w:rFonts w:cs="Arial"/>
          <w:color w:val="000000"/>
        </w:rPr>
        <w:t>The information provided in this report is intended to provide general information to clinicians, health and disability service providers and the public, and is not intended to address specific circumstances of any particular individual or entity. All reasonable measures have been taken to ensure the quality and accuracy of the information provided.</w:t>
      </w:r>
    </w:p>
    <w:p w:rsidR="000B1B60" w:rsidRPr="006424B7" w:rsidRDefault="000B1B60" w:rsidP="00C54A8A">
      <w:pPr>
        <w:spacing w:after="80" w:line="240" w:lineRule="auto"/>
        <w:jc w:val="both"/>
        <w:rPr>
          <w:rFonts w:cs="Arial"/>
          <w:color w:val="000000"/>
        </w:rPr>
      </w:pPr>
      <w:r w:rsidRPr="006424B7">
        <w:rPr>
          <w:rFonts w:cs="Arial"/>
          <w:color w:val="000000"/>
        </w:rPr>
        <w:t>If you find any information that you believe may be inaccurate, please email to NHC_Info@nhc.govt.nz.</w:t>
      </w:r>
    </w:p>
    <w:p w:rsidR="000B1B60" w:rsidRPr="006424B7" w:rsidRDefault="000B1B60" w:rsidP="00C54A8A">
      <w:pPr>
        <w:spacing w:after="80" w:line="240" w:lineRule="auto"/>
        <w:jc w:val="both"/>
        <w:rPr>
          <w:rFonts w:cs="Arial"/>
          <w:color w:val="000000"/>
        </w:rPr>
      </w:pPr>
      <w:r w:rsidRPr="006424B7">
        <w:rPr>
          <w:rFonts w:cs="Arial"/>
          <w:color w:val="000000"/>
        </w:rPr>
        <w:t>The National Health Committee is an independent committee established by the Minister of Health. The information in this report is the work of the National Health Committee and does not necessarily represent the views of the Ministry of Health.</w:t>
      </w:r>
    </w:p>
    <w:p w:rsidR="000B1B60" w:rsidRPr="006424B7" w:rsidRDefault="000B1B60" w:rsidP="00C54A8A">
      <w:pPr>
        <w:spacing w:after="80" w:line="240" w:lineRule="auto"/>
        <w:jc w:val="both"/>
        <w:rPr>
          <w:rFonts w:cs="Arial"/>
          <w:color w:val="000000"/>
        </w:rPr>
      </w:pPr>
      <w:r w:rsidRPr="006424B7">
        <w:rPr>
          <w:rFonts w:cs="Arial"/>
          <w:color w:val="000000"/>
        </w:rPr>
        <w:t>The National Health Committee make no warranty, express or implied, nor assumes any legal liability or responsibility for the accuracy, correctness, completeness or use of any information provided.  Nothing contained in this report shall be relied on as a promise or representation by the New Zealand government or the National Health Committee.</w:t>
      </w:r>
    </w:p>
    <w:p w:rsidR="000B1B60" w:rsidRPr="006424B7" w:rsidRDefault="000B1B60" w:rsidP="00C54A8A">
      <w:pPr>
        <w:spacing w:after="80" w:line="240" w:lineRule="auto"/>
        <w:jc w:val="both"/>
        <w:rPr>
          <w:rFonts w:cs="Arial"/>
          <w:color w:val="000000"/>
        </w:rPr>
      </w:pPr>
      <w:r w:rsidRPr="006424B7">
        <w:rPr>
          <w:rFonts w:cs="Arial"/>
          <w:color w:val="000000"/>
        </w:rPr>
        <w:t>The contents of this report should not be construed as legal or professional advice and specific advice from qualified professional people should be sought before undertaking any action following information in this report.</w:t>
      </w:r>
    </w:p>
    <w:p w:rsidR="000B1B60" w:rsidRPr="006424B7" w:rsidRDefault="000B1B60" w:rsidP="00C54A8A">
      <w:pPr>
        <w:spacing w:after="80" w:line="240" w:lineRule="auto"/>
        <w:jc w:val="both"/>
        <w:rPr>
          <w:rFonts w:cs="Arial"/>
          <w:color w:val="000000"/>
        </w:rPr>
      </w:pPr>
      <w:r w:rsidRPr="006424B7">
        <w:rPr>
          <w:rFonts w:cs="Arial"/>
          <w:color w:val="000000"/>
        </w:rPr>
        <w:t>Any reference to any specific commercial product, process, or service by trade name, trademark, manufacture</w:t>
      </w:r>
      <w:r w:rsidR="00E222C2">
        <w:rPr>
          <w:rFonts w:cs="Arial"/>
          <w:color w:val="000000"/>
        </w:rPr>
        <w:t>r</w:t>
      </w:r>
      <w:r w:rsidRPr="006424B7">
        <w:rPr>
          <w:rFonts w:cs="Arial"/>
          <w:color w:val="000000"/>
        </w:rPr>
        <w:t>, or otherwise does not constitute an endorsement or recommendation by the New Zealand government or the National Health Committee.</w:t>
      </w:r>
    </w:p>
    <w:p w:rsidR="009866FE" w:rsidRPr="000B1B60" w:rsidRDefault="000B1B60" w:rsidP="00C54A8A">
      <w:pPr>
        <w:spacing w:before="720"/>
        <w:jc w:val="both"/>
        <w:rPr>
          <w:b/>
          <w:color w:val="000000"/>
          <w:sz w:val="16"/>
          <w:szCs w:val="16"/>
        </w:rPr>
      </w:pPr>
      <w:r>
        <w:rPr>
          <w:noProof/>
          <w:color w:val="000000"/>
          <w:lang w:eastAsia="en-NZ"/>
        </w:rPr>
        <w:drawing>
          <wp:anchor distT="0" distB="0" distL="114300" distR="114300" simplePos="0" relativeHeight="251659264" behindDoc="1" locked="0" layoutInCell="1" allowOverlap="1" wp14:anchorId="1C3F3C0E" wp14:editId="40EFA8D2">
            <wp:simplePos x="0" y="0"/>
            <wp:positionH relativeFrom="column">
              <wp:posOffset>2128520</wp:posOffset>
            </wp:positionH>
            <wp:positionV relativeFrom="paragraph">
              <wp:posOffset>118745</wp:posOffset>
            </wp:positionV>
            <wp:extent cx="1400175" cy="742950"/>
            <wp:effectExtent l="0" t="0" r="9525" b="0"/>
            <wp:wrapTight wrapText="bothSides">
              <wp:wrapPolygon edited="0">
                <wp:start x="0" y="0"/>
                <wp:lineTo x="0" y="21046"/>
                <wp:lineTo x="21453" y="21046"/>
                <wp:lineTo x="21453" y="0"/>
                <wp:lineTo x="0" y="0"/>
              </wp:wrapPolygon>
            </wp:wrapTight>
            <wp:docPr id="7" name="Picture 7" descr="Description: Description: N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NHC"/>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001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866FE" w:rsidRPr="000B1B60" w:rsidSect="00402750">
      <w:pgSz w:w="11906" w:h="16838" w:code="9"/>
      <w:pgMar w:top="1418" w:right="1134" w:bottom="1134" w:left="1418" w:header="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233" w:rsidRDefault="00D43233">
      <w:pPr>
        <w:spacing w:after="0" w:line="240" w:lineRule="auto"/>
      </w:pPr>
      <w:r>
        <w:separator/>
      </w:r>
    </w:p>
  </w:endnote>
  <w:endnote w:type="continuationSeparator" w:id="0">
    <w:p w:rsidR="00D43233" w:rsidRDefault="00D4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Mäo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6B" w:rsidRPr="003E6828" w:rsidRDefault="00551E6B" w:rsidP="00931F1C">
    <w:pPr>
      <w:pStyle w:val="Footer"/>
      <w:jc w:val="center"/>
    </w:pPr>
    <w:r>
      <w:rPr>
        <w:color w:val="23532C"/>
        <w:sz w:val="18"/>
        <w:szCs w:val="18"/>
      </w:rPr>
      <w:t>Chronic Obstructive Pulmonary Disease</w:t>
    </w:r>
    <w:r>
      <w:tab/>
    </w:r>
    <w:r w:rsidRPr="006475B1">
      <w:rPr>
        <w:rStyle w:val="PageNumber"/>
        <w:color w:val="1F6121"/>
        <w:szCs w:val="22"/>
      </w:rPr>
      <w:fldChar w:fldCharType="begin"/>
    </w:r>
    <w:r w:rsidRPr="006475B1">
      <w:rPr>
        <w:rStyle w:val="PageNumber"/>
        <w:color w:val="1F6121"/>
        <w:szCs w:val="22"/>
      </w:rPr>
      <w:instrText xml:space="preserve"> PAGE </w:instrText>
    </w:r>
    <w:r w:rsidRPr="006475B1">
      <w:rPr>
        <w:rStyle w:val="PageNumber"/>
        <w:color w:val="1F6121"/>
        <w:szCs w:val="22"/>
      </w:rPr>
      <w:fldChar w:fldCharType="separate"/>
    </w:r>
    <w:r w:rsidR="0029347A">
      <w:rPr>
        <w:rStyle w:val="PageNumber"/>
        <w:noProof/>
        <w:color w:val="1F6121"/>
        <w:szCs w:val="22"/>
      </w:rPr>
      <w:t>23</w:t>
    </w:r>
    <w:r w:rsidRPr="006475B1">
      <w:rPr>
        <w:rStyle w:val="PageNumber"/>
        <w:color w:val="1F6121"/>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233" w:rsidRDefault="00D43233">
      <w:pPr>
        <w:spacing w:after="0" w:line="240" w:lineRule="auto"/>
      </w:pPr>
      <w:r>
        <w:separator/>
      </w:r>
    </w:p>
  </w:footnote>
  <w:footnote w:type="continuationSeparator" w:id="0">
    <w:p w:rsidR="00D43233" w:rsidRDefault="00D43233">
      <w:pPr>
        <w:spacing w:after="0" w:line="240" w:lineRule="auto"/>
      </w:pPr>
      <w:r>
        <w:continuationSeparator/>
      </w:r>
    </w:p>
  </w:footnote>
  <w:footnote w:id="1">
    <w:p w:rsidR="00551E6B" w:rsidRDefault="00551E6B">
      <w:pPr>
        <w:pStyle w:val="FootnoteText"/>
      </w:pPr>
      <w:r>
        <w:rPr>
          <w:rStyle w:val="FootnoteReference"/>
        </w:rPr>
        <w:footnoteRef/>
      </w:r>
      <w:r>
        <w:t xml:space="preserve"> </w:t>
      </w:r>
      <w:r w:rsidRPr="008952DA">
        <w:rPr>
          <w:sz w:val="16"/>
          <w:szCs w:val="16"/>
        </w:rPr>
        <w:t xml:space="preserve">For a more detailed explanation of the tiered approach, see Strategic Overview: Respiratory Disease in New Zealand available at </w:t>
      </w:r>
      <w:r w:rsidRPr="0095238C">
        <w:rPr>
          <w:sz w:val="16"/>
          <w:szCs w:val="16"/>
        </w:rPr>
        <w:t>www.</w:t>
      </w:r>
      <w:hyperlink r:id="rId1" w:history="1">
        <w:r w:rsidRPr="0095238C">
          <w:rPr>
            <w:rStyle w:val="Hyperlink"/>
            <w:color w:val="auto"/>
            <w:sz w:val="16"/>
            <w:szCs w:val="16"/>
            <w:u w:val="none"/>
          </w:rPr>
          <w:t>nhc.health.govt.nz</w:t>
        </w:r>
      </w:hyperlink>
    </w:p>
  </w:footnote>
  <w:footnote w:id="2">
    <w:p w:rsidR="00551E6B" w:rsidRDefault="00551E6B">
      <w:pPr>
        <w:pStyle w:val="FootnoteText"/>
      </w:pPr>
      <w:r>
        <w:rPr>
          <w:rStyle w:val="FootnoteReference"/>
        </w:rPr>
        <w:footnoteRef/>
      </w:r>
      <w:r>
        <w:t xml:space="preserve"> </w:t>
      </w:r>
      <w:r w:rsidRPr="00B823EF">
        <w:rPr>
          <w:sz w:val="16"/>
          <w:szCs w:val="16"/>
        </w:rPr>
        <w:t>Source: Personal communication, 2013</w:t>
      </w:r>
    </w:p>
  </w:footnote>
  <w:footnote w:id="3">
    <w:p w:rsidR="00551E6B" w:rsidRPr="001E007B" w:rsidRDefault="00551E6B">
      <w:pPr>
        <w:pStyle w:val="FootnoteText"/>
        <w:rPr>
          <w:sz w:val="16"/>
          <w:szCs w:val="16"/>
        </w:rPr>
      </w:pPr>
      <w:r w:rsidRPr="001E007B">
        <w:rPr>
          <w:rStyle w:val="FootnoteReference"/>
          <w:sz w:val="16"/>
          <w:szCs w:val="16"/>
        </w:rPr>
        <w:footnoteRef/>
      </w:r>
      <w:r w:rsidRPr="001E007B">
        <w:rPr>
          <w:sz w:val="16"/>
          <w:szCs w:val="16"/>
        </w:rPr>
        <w:t xml:space="preserve"> Methods for how we arrived at these co-</w:t>
      </w:r>
      <w:r>
        <w:rPr>
          <w:sz w:val="16"/>
          <w:szCs w:val="16"/>
        </w:rPr>
        <w:t>morbidities are</w:t>
      </w:r>
      <w:r w:rsidRPr="001E007B">
        <w:rPr>
          <w:sz w:val="16"/>
          <w:szCs w:val="16"/>
        </w:rPr>
        <w:t xml:space="preserve"> available in Appendix 3</w:t>
      </w:r>
    </w:p>
  </w:footnote>
  <w:footnote w:id="4">
    <w:p w:rsidR="00551E6B" w:rsidRPr="008620B0" w:rsidRDefault="00551E6B" w:rsidP="008620B0">
      <w:pPr>
        <w:pStyle w:val="FootnoteText"/>
        <w:rPr>
          <w:sz w:val="16"/>
          <w:szCs w:val="16"/>
        </w:rPr>
      </w:pPr>
      <w:r w:rsidRPr="008620B0">
        <w:rPr>
          <w:rStyle w:val="FootnoteReference"/>
          <w:sz w:val="16"/>
          <w:szCs w:val="16"/>
        </w:rPr>
        <w:footnoteRef/>
      </w:r>
      <w:r w:rsidRPr="008620B0">
        <w:rPr>
          <w:sz w:val="16"/>
          <w:szCs w:val="16"/>
        </w:rPr>
        <w:t xml:space="preserve"> 12.5% based on uptake rate of half of smokers with a </w:t>
      </w:r>
      <w:r>
        <w:rPr>
          <w:sz w:val="16"/>
          <w:szCs w:val="16"/>
        </w:rPr>
        <w:t xml:space="preserve">chronic </w:t>
      </w:r>
      <w:r w:rsidRPr="008620B0">
        <w:rPr>
          <w:sz w:val="16"/>
          <w:szCs w:val="16"/>
        </w:rPr>
        <w:t>cough being underdiagnosed by 25% (upper limit)</w:t>
      </w:r>
    </w:p>
  </w:footnote>
  <w:footnote w:id="5">
    <w:p w:rsidR="00C54B8B" w:rsidRDefault="00C54B8B" w:rsidP="00C54B8B">
      <w:pPr>
        <w:pStyle w:val="FootnoteText"/>
      </w:pPr>
      <w:r>
        <w:rPr>
          <w:rStyle w:val="FootnoteReference"/>
        </w:rPr>
        <w:footnoteRef/>
      </w:r>
      <w:r>
        <w:t xml:space="preserve"> See </w:t>
      </w:r>
      <w:hyperlink r:id="rId2" w:history="1">
        <w:r w:rsidRPr="00A4603E">
          <w:rPr>
            <w:rStyle w:val="Hyperlink"/>
          </w:rPr>
          <w:t>http://www.health.govt.nz/our-work/primary-health-care/primary-health-care-services-and-projects/capitation-funding</w:t>
        </w:r>
      </w:hyperlink>
      <w:r>
        <w:t xml:space="preserve"> for further information on capitation funding.</w:t>
      </w:r>
    </w:p>
  </w:footnote>
  <w:footnote w:id="6">
    <w:p w:rsidR="00551E6B" w:rsidRDefault="00551E6B" w:rsidP="0025374C">
      <w:pPr>
        <w:pStyle w:val="FootnoteText"/>
      </w:pPr>
      <w:r>
        <w:rPr>
          <w:rStyle w:val="FootnoteReference"/>
        </w:rPr>
        <w:footnoteRef/>
      </w:r>
      <w:r>
        <w:t xml:space="preserve"> This is a parsimonious approach and does not necessarily reflect the actual cure time of all cancers.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6B" w:rsidRDefault="00551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A81" w:rsidRDefault="00457A81">
    <w:pPr>
      <w:pStyle w:val="Header"/>
    </w:pPr>
    <w:r>
      <w:rPr>
        <w:noProof/>
        <w:lang w:eastAsia="en-NZ"/>
      </w:rPr>
      <mc:AlternateContent>
        <mc:Choice Requires="wpg">
          <w:drawing>
            <wp:anchor distT="0" distB="0" distL="114300" distR="114300" simplePos="0" relativeHeight="251656704" behindDoc="0" locked="0" layoutInCell="1" allowOverlap="1" wp14:anchorId="1EABB970" wp14:editId="3CF5B9DB">
              <wp:simplePos x="0" y="0"/>
              <wp:positionH relativeFrom="column">
                <wp:posOffset>-167005</wp:posOffset>
              </wp:positionH>
              <wp:positionV relativeFrom="paragraph">
                <wp:posOffset>144145</wp:posOffset>
              </wp:positionV>
              <wp:extent cx="6400800" cy="747395"/>
              <wp:effectExtent l="0" t="0" r="19050" b="14605"/>
              <wp:wrapNone/>
              <wp:docPr id="53" name="Group 53"/>
              <wp:cNvGraphicFramePr/>
              <a:graphic xmlns:a="http://schemas.openxmlformats.org/drawingml/2006/main">
                <a:graphicData uri="http://schemas.microsoft.com/office/word/2010/wordprocessingGroup">
                  <wpg:wgp>
                    <wpg:cNvGrpSpPr/>
                    <wpg:grpSpPr>
                      <a:xfrm>
                        <a:off x="0" y="0"/>
                        <a:ext cx="6400800" cy="747395"/>
                        <a:chOff x="0" y="0"/>
                        <a:chExt cx="6610350" cy="819150"/>
                      </a:xfrm>
                    </wpg:grpSpPr>
                    <wps:wsp>
                      <wps:cNvPr id="289" name="Rectangle 1"/>
                      <wps:cNvSpPr>
                        <a:spLocks noChangeArrowheads="1"/>
                      </wps:cNvSpPr>
                      <wps:spPr bwMode="auto">
                        <a:xfrm>
                          <a:off x="0" y="0"/>
                          <a:ext cx="6610350" cy="817880"/>
                        </a:xfrm>
                        <a:prstGeom prst="rect">
                          <a:avLst/>
                        </a:prstGeom>
                        <a:gradFill rotWithShape="1">
                          <a:gsLst>
                            <a:gs pos="0">
                              <a:srgbClr val="1F6121"/>
                            </a:gs>
                            <a:gs pos="100000">
                              <a:srgbClr val="1F6121">
                                <a:gamma/>
                                <a:shade val="46275"/>
                                <a:invGamma/>
                              </a:srgbClr>
                            </a:gs>
                          </a:gsLst>
                          <a:lin ang="2700000" scaled="1"/>
                        </a:gradFill>
                        <a:ln w="9525">
                          <a:solidFill>
                            <a:srgbClr val="1F6121"/>
                          </a:solidFill>
                          <a:miter lim="800000"/>
                          <a:headEnd/>
                          <a:tailEnd/>
                        </a:ln>
                      </wps:spPr>
                      <wps:bodyPr rot="0" vert="horz" wrap="square" lIns="91440" tIns="45720" rIns="91440" bIns="45720" anchor="t" anchorCtr="0" upright="1">
                        <a:noAutofit/>
                      </wps:bodyPr>
                    </wps:wsp>
                    <pic:pic xmlns:pic="http://schemas.openxmlformats.org/drawingml/2006/picture">
                      <pic:nvPicPr>
                        <pic:cNvPr id="290" name="Picture 1" descr="Description: NH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00650" y="0"/>
                          <a:ext cx="1409700" cy="8191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53" o:spid="_x0000_s1026" style="position:absolute;margin-left:-13.15pt;margin-top:11.35pt;width:7in;height:58.85pt;z-index:251695104;mso-width-relative:margin;mso-height-relative:margin" coordsize="66103,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">
              <v:rect id="Rectangle 1" o:spid="_x0000_s1027" style="position:absolute;width:66103;height:8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yJsMA&#10;AADcAAAADwAAAGRycy9kb3ducmV2LnhtbESPQYvCMBSE78L+h/AWvGmqiLjVKOKyIHipdfewt0fz&#10;bIvNS0mirf/eCILHYWa+YVab3jTiRs7XlhVMxgkI4sLqmksFv6ef0QKED8gaG8uk4E4eNuuPwQpT&#10;bTs+0i0PpYgQ9ikqqEJoUyl9UZFBP7YtcfTO1hkMUbpSaoddhJtGTpNkLg3WHBcqbGlXUXHJr0ZB&#10;Z84tZbPvWcfZv8uzQ/F33Xmlhp/9dgkiUB/e4Vd7rxVMF1/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XyJsMAAADcAAAADwAAAAAAAAAAAAAAAACYAgAAZHJzL2Rv&#10;d25yZXYueG1sUEsFBgAAAAAEAAQA9QAAAIgDAAAAAA==&#10;" fillcolor="#1f6121" strokecolor="#1f6121">
                <v:fill color2="#0e2d0f" rotate="t" angle="45"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escription: NHC" style="position:absolute;left:52006;width:14097;height:8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QrfCAAAA3AAAAA8AAABkcnMvZG93bnJldi54bWxET89rwjAUvg/8H8ITdlvTVZStGkWcA/FW&#10;N9h2e2ueTVnzUpJM639vDoLHj+/3YjXYTpzIh9axgucsB0FcO91yo+Dz4/3pBUSIyBo7x6TgQgFW&#10;y9HDAkvtzlzR6RAbkUI4lKjAxNiXUobakMWQuZ44cUfnLcYEfSO1x3MKt50s8nwmLbacGgz2tDFU&#10;/x3+rYLqrSJfzybFlnffP1+/ZrrdT6ZKPY6H9RxEpCHexTf3TisoXtP8dCYdAbm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P0K3wgAAANwAAAAPAAAAAAAAAAAAAAAAAJ8C&#10;AABkcnMvZG93bnJldi54bWxQSwUGAAAAAAQABAD3AAAAjgMAAAAA&#10;">
                <v:imagedata r:id="rId2" o:title=" NHC"/>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6B" w:rsidRDefault="00551E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6B" w:rsidRDefault="005E74F2" w:rsidP="00931F1C">
    <w:pPr>
      <w:pStyle w:val="Header"/>
      <w:spacing w:after="360"/>
      <w:ind w:right="-2"/>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604.35pt;height:54.9pt;rotation:315;z-index:-251657728;mso-position-horizontal:center;mso-position-horizontal-relative:margin;mso-position-vertical:center;mso-position-vertical-relative:margin" o:allowincell="f" fillcolor="silver" stroked="f">
          <v:fill opacity=".5"/>
          <v:textpath style="font-family:&quot;Arial&quot;;font-size:1pt" string="Commercial-in-Confidence"/>
          <w10:wrap anchorx="margin" anchory="margin"/>
        </v:shape>
      </w:pict>
    </w:r>
  </w:p>
  <w:p w:rsidR="00551E6B" w:rsidRDefault="00551E6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6B" w:rsidRDefault="00551E6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6B" w:rsidRDefault="00551E6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6B" w:rsidRDefault="00457A81" w:rsidP="00983D01">
    <w:pPr>
      <w:pStyle w:val="Header"/>
      <w:spacing w:after="360"/>
      <w:ind w:right="-2"/>
    </w:pPr>
    <w:r>
      <w:rPr>
        <w:noProof/>
        <w:lang w:eastAsia="en-NZ"/>
      </w:rPr>
      <mc:AlternateContent>
        <mc:Choice Requires="wpg">
          <w:drawing>
            <wp:anchor distT="0" distB="0" distL="114300" distR="114300" simplePos="0" relativeHeight="251657728" behindDoc="0" locked="0" layoutInCell="1" allowOverlap="1" wp14:anchorId="562371EE" wp14:editId="28D69E57">
              <wp:simplePos x="0" y="0"/>
              <wp:positionH relativeFrom="column">
                <wp:posOffset>-90805</wp:posOffset>
              </wp:positionH>
              <wp:positionV relativeFrom="paragraph">
                <wp:posOffset>442595</wp:posOffset>
              </wp:positionV>
              <wp:extent cx="6400800" cy="747395"/>
              <wp:effectExtent l="0" t="0" r="19050" b="14605"/>
              <wp:wrapNone/>
              <wp:docPr id="3" name="Group 3"/>
              <wp:cNvGraphicFramePr/>
              <a:graphic xmlns:a="http://schemas.openxmlformats.org/drawingml/2006/main">
                <a:graphicData uri="http://schemas.microsoft.com/office/word/2010/wordprocessingGroup">
                  <wpg:wgp>
                    <wpg:cNvGrpSpPr/>
                    <wpg:grpSpPr>
                      <a:xfrm>
                        <a:off x="0" y="0"/>
                        <a:ext cx="6400800" cy="747395"/>
                        <a:chOff x="0" y="0"/>
                        <a:chExt cx="6610350" cy="819150"/>
                      </a:xfrm>
                    </wpg:grpSpPr>
                    <wps:wsp>
                      <wps:cNvPr id="14" name="Rectangle 1"/>
                      <wps:cNvSpPr>
                        <a:spLocks noChangeArrowheads="1"/>
                      </wps:cNvSpPr>
                      <wps:spPr bwMode="auto">
                        <a:xfrm>
                          <a:off x="0" y="0"/>
                          <a:ext cx="6610350" cy="817880"/>
                        </a:xfrm>
                        <a:prstGeom prst="rect">
                          <a:avLst/>
                        </a:prstGeom>
                        <a:gradFill rotWithShape="1">
                          <a:gsLst>
                            <a:gs pos="0">
                              <a:srgbClr val="1F6121"/>
                            </a:gs>
                            <a:gs pos="100000">
                              <a:srgbClr val="1F6121">
                                <a:gamma/>
                                <a:shade val="46275"/>
                                <a:invGamma/>
                              </a:srgbClr>
                            </a:gs>
                          </a:gsLst>
                          <a:lin ang="2700000" scaled="1"/>
                        </a:gradFill>
                        <a:ln w="9525">
                          <a:solidFill>
                            <a:srgbClr val="1F6121"/>
                          </a:solidFill>
                          <a:miter lim="800000"/>
                          <a:headEnd/>
                          <a:tailEnd/>
                        </a:ln>
                      </wps:spPr>
                      <wps:bodyPr rot="0" vert="horz" wrap="square" lIns="91440" tIns="45720" rIns="91440" bIns="45720" anchor="t" anchorCtr="0" upright="1">
                        <a:noAutofit/>
                      </wps:bodyPr>
                    </wps:wsp>
                    <pic:pic xmlns:pic="http://schemas.openxmlformats.org/drawingml/2006/picture">
                      <pic:nvPicPr>
                        <pic:cNvPr id="16" name="Picture 1" descr="Description: NH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00650" y="0"/>
                          <a:ext cx="1409700" cy="8191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7.15pt;margin-top:34.85pt;width:7in;height:58.85pt;z-index:251697152;mso-width-relative:margin;mso-height-relative:margin" coordsize="66103,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">
              <v:rect id="Rectangle 1" o:spid="_x0000_s1027" style="position:absolute;width:66103;height:8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028AA&#10;AADbAAAADwAAAGRycy9kb3ducmV2LnhtbERPTYvCMBC9L/gfwgje1lQpi1SjiCIs7KVb9eBtaMa2&#10;2ExKEm3995sFwds83uesNoNpxYOcbywrmE0TEMSl1Q1XCk7Hw+cChA/IGlvLpOBJHjbr0ccKM217&#10;/qVHESoRQ9hnqKAOocuk9GVNBv3UdsSRu1pnMEToKqkd9jHctHKeJF/SYMOxocaOdjWVt+JuFPTm&#10;2lGe7tOe84sr8p/yfN95pSbjYbsEEWgIb/HL/a3j/BT+f4k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m028AAAADbAAAADwAAAAAAAAAAAAAAAACYAgAAZHJzL2Rvd25y&#10;ZXYueG1sUEsFBgAAAAAEAAQA9QAAAIUDAAAAAA==&#10;" fillcolor="#1f6121" strokecolor="#1f6121">
                <v:fill color2="#0e2d0f" rotate="t" angle="45"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escription: NHC" style="position:absolute;left:52006;width:14097;height:8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6UQPBAAAA2wAAAA8AAABkcnMvZG93bnJldi54bWxET01rAjEQvQv9D2EEb5pVcSlbo5SqIN5W&#10;C21v0810s3QzWZKo679vCoK3ebzPWa5724oL+dA4VjCdZCCIK6cbrhW8n3bjZxAhImtsHZOCGwVY&#10;r54GSyy0u3JJl2OsRQrhUKACE2NXSBkqQxbDxHXEiftx3mJM0NdSe7ymcNvKWZbl0mLDqcFgR2+G&#10;qt/j2SooNyX5Kp/Ptrz//Pr4NovtYb5QajTsX19AROrjQ3x373Wan8P/L+kAuf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f6UQPBAAAA2wAAAA8AAAAAAAAAAAAAAAAAnwIA&#10;AGRycy9kb3ducmV2LnhtbFBLBQYAAAAABAAEAPcAAACNAwAAAAA=&#10;">
                <v:imagedata r:id="rId2" o:title=" NHC"/>
                <v:path arrowok="t"/>
              </v:shape>
            </v:group>
          </w:pict>
        </mc:Fallback>
      </mc:AlternateContent>
    </w:r>
  </w:p>
  <w:p w:rsidR="00551E6B" w:rsidRDefault="00551E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B9C"/>
    <w:multiLevelType w:val="hybridMultilevel"/>
    <w:tmpl w:val="54106674"/>
    <w:lvl w:ilvl="0" w:tplc="E00A7988">
      <w:start w:val="1"/>
      <w:numFmt w:val="bullet"/>
      <w:pStyle w:val="ListParagraph"/>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1">
    <w:nsid w:val="0C066AA7"/>
    <w:multiLevelType w:val="multilevel"/>
    <w:tmpl w:val="0DFE41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FAF270C"/>
    <w:multiLevelType w:val="hybridMultilevel"/>
    <w:tmpl w:val="4CB63D80"/>
    <w:lvl w:ilvl="0" w:tplc="616C0B34">
      <w:start w:val="1"/>
      <w:numFmt w:val="bullet"/>
      <w:pStyle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3">
    <w:nsid w:val="1FFF40DE"/>
    <w:multiLevelType w:val="hybridMultilevel"/>
    <w:tmpl w:val="19064AE4"/>
    <w:lvl w:ilvl="0" w:tplc="1409000F">
      <w:start w:val="1"/>
      <w:numFmt w:val="decimal"/>
      <w:lvlText w:val="%1."/>
      <w:lvlJc w:val="left"/>
      <w:pPr>
        <w:ind w:left="720" w:hanging="360"/>
      </w:pPr>
    </w:lvl>
    <w:lvl w:ilvl="1" w:tplc="80C81AD4">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6B765B1"/>
    <w:multiLevelType w:val="hybridMultilevel"/>
    <w:tmpl w:val="28D86FF6"/>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3503B3F"/>
    <w:multiLevelType w:val="hybridMultilevel"/>
    <w:tmpl w:val="25767F7A"/>
    <w:lvl w:ilvl="0" w:tplc="D516420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B1F644C"/>
    <w:multiLevelType w:val="hybridMultilevel"/>
    <w:tmpl w:val="2988B522"/>
    <w:lvl w:ilvl="0" w:tplc="1409000F">
      <w:start w:val="1"/>
      <w:numFmt w:val="decimal"/>
      <w:lvlText w:val="%1."/>
      <w:lvlJc w:val="left"/>
      <w:pPr>
        <w:ind w:left="1145" w:hanging="360"/>
      </w:pPr>
      <w:rPr>
        <w:rFonts w:hint="default"/>
      </w:rPr>
    </w:lvl>
    <w:lvl w:ilvl="1" w:tplc="14090003">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7">
    <w:nsid w:val="3ECC4B36"/>
    <w:multiLevelType w:val="hybridMultilevel"/>
    <w:tmpl w:val="1360BD92"/>
    <w:lvl w:ilvl="0" w:tplc="67D49B4A">
      <w:numFmt w:val="bullet"/>
      <w:lvlText w:val="-"/>
      <w:lvlJc w:val="left"/>
      <w:pPr>
        <w:ind w:left="720" w:hanging="360"/>
      </w:pPr>
      <w:rPr>
        <w:rFonts w:ascii="Arial Narrow" w:eastAsia="Times New Roman" w:hAnsi="Arial Narrow"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F1D09E2"/>
    <w:multiLevelType w:val="hybridMultilevel"/>
    <w:tmpl w:val="C39CE530"/>
    <w:lvl w:ilvl="0" w:tplc="FC84EBE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43721B0"/>
    <w:multiLevelType w:val="hybridMultilevel"/>
    <w:tmpl w:val="2DDCD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8123141"/>
    <w:multiLevelType w:val="hybridMultilevel"/>
    <w:tmpl w:val="DDFA5036"/>
    <w:lvl w:ilvl="0" w:tplc="AC1E88F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C686C4A"/>
    <w:multiLevelType w:val="multilevel"/>
    <w:tmpl w:val="2EC8145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14"/>
        </w:tabs>
        <w:ind w:left="714" w:hanging="357"/>
      </w:pPr>
      <w:rPr>
        <w:rFonts w:hint="default"/>
        <w:b w:val="0"/>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58237850"/>
    <w:multiLevelType w:val="hybridMultilevel"/>
    <w:tmpl w:val="AA68C360"/>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13">
    <w:nsid w:val="5D037E9D"/>
    <w:multiLevelType w:val="hybridMultilevel"/>
    <w:tmpl w:val="86F855BC"/>
    <w:lvl w:ilvl="0" w:tplc="8760EC08">
      <w:start w:val="1"/>
      <w:numFmt w:val="bullet"/>
      <w:lvlText w:val=""/>
      <w:lvlJc w:val="left"/>
      <w:pPr>
        <w:ind w:left="74" w:hanging="131"/>
      </w:pPr>
      <w:rPr>
        <w:rFonts w:ascii="Symbol" w:hAnsi="Symbol" w:hint="default"/>
        <w:sz w:val="16"/>
        <w:szCs w:val="1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66BC78ED"/>
    <w:multiLevelType w:val="hybridMultilevel"/>
    <w:tmpl w:val="A7B68624"/>
    <w:lvl w:ilvl="0" w:tplc="54246FF0">
      <w:start w:val="1"/>
      <w:numFmt w:val="bullet"/>
      <w:lvlText w:val=""/>
      <w:lvlJc w:val="left"/>
      <w:pPr>
        <w:ind w:left="360" w:hanging="360"/>
      </w:pPr>
      <w:rPr>
        <w:rFonts w:ascii="Symbol" w:hAnsi="Symbol"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70137CB"/>
    <w:multiLevelType w:val="multilevel"/>
    <w:tmpl w:val="F53A4D0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77ED013D"/>
    <w:multiLevelType w:val="hybridMultilevel"/>
    <w:tmpl w:val="CE5C1A2A"/>
    <w:lvl w:ilvl="0" w:tplc="1E78681A">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78523D9A"/>
    <w:multiLevelType w:val="hybridMultilevel"/>
    <w:tmpl w:val="14AC7FA4"/>
    <w:lvl w:ilvl="0" w:tplc="FC84EBE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pStyle w:val="Heading9"/>
      <w:lvlText w:val=""/>
      <w:lvlJc w:val="left"/>
      <w:pPr>
        <w:ind w:left="6480" w:hanging="360"/>
      </w:pPr>
      <w:rPr>
        <w:rFonts w:ascii="Wingdings" w:hAnsi="Wingdings" w:hint="default"/>
      </w:rPr>
    </w:lvl>
  </w:abstractNum>
  <w:num w:numId="1">
    <w:abstractNumId w:val="14"/>
  </w:num>
  <w:num w:numId="2">
    <w:abstractNumId w:val="10"/>
  </w:num>
  <w:num w:numId="3">
    <w:abstractNumId w:val="12"/>
  </w:num>
  <w:num w:numId="4">
    <w:abstractNumId w:val="13"/>
  </w:num>
  <w:num w:numId="5">
    <w:abstractNumId w:val="8"/>
  </w:num>
  <w:num w:numId="6">
    <w:abstractNumId w:val="17"/>
  </w:num>
  <w:num w:numId="7">
    <w:abstractNumId w:val="2"/>
  </w:num>
  <w:num w:numId="8">
    <w:abstractNumId w:val="16"/>
  </w:num>
  <w:num w:numId="9">
    <w:abstractNumId w:val="9"/>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0"/>
  </w:num>
  <w:num w:numId="20">
    <w:abstractNumId w:val="2"/>
  </w:num>
  <w:num w:numId="21">
    <w:abstractNumId w:val="15"/>
  </w:num>
  <w:num w:numId="22">
    <w:abstractNumId w:val="1"/>
  </w:num>
  <w:num w:numId="23">
    <w:abstractNumId w:val="4"/>
  </w:num>
  <w:num w:numId="24">
    <w:abstractNumId w:val="7"/>
  </w:num>
  <w:num w:numId="25">
    <w:abstractNumId w:val="11"/>
  </w:num>
  <w:num w:numId="26">
    <w:abstractNumId w:val="3"/>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HC Reference Style &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axef0v91tx5e7eaev8xxf2xd92zvrfrv592&quot;&gt;My EndNote Library&lt;record-ids&gt;&lt;item&gt;408&lt;/item&gt;&lt;item&gt;431&lt;/item&gt;&lt;item&gt;445&lt;/item&gt;&lt;item&gt;653&lt;/item&gt;&lt;item&gt;665&lt;/item&gt;&lt;item&gt;672&lt;/item&gt;&lt;item&gt;678&lt;/item&gt;&lt;item&gt;695&lt;/item&gt;&lt;item&gt;698&lt;/item&gt;&lt;item&gt;704&lt;/item&gt;&lt;item&gt;705&lt;/item&gt;&lt;item&gt;738&lt;/item&gt;&lt;item&gt;741&lt;/item&gt;&lt;item&gt;759&lt;/item&gt;&lt;item&gt;769&lt;/item&gt;&lt;item&gt;770&lt;/item&gt;&lt;item&gt;782&lt;/item&gt;&lt;item&gt;783&lt;/item&gt;&lt;item&gt;813&lt;/item&gt;&lt;item&gt;818&lt;/item&gt;&lt;item&gt;837&lt;/item&gt;&lt;item&gt;838&lt;/item&gt;&lt;item&gt;840&lt;/item&gt;&lt;/record-ids&gt;&lt;/item&gt;&lt;/Libraries&gt;"/>
  </w:docVars>
  <w:rsids>
    <w:rsidRoot w:val="000B1B60"/>
    <w:rsid w:val="00000245"/>
    <w:rsid w:val="00000953"/>
    <w:rsid w:val="00002770"/>
    <w:rsid w:val="00002A92"/>
    <w:rsid w:val="00014978"/>
    <w:rsid w:val="0001523E"/>
    <w:rsid w:val="00022EB4"/>
    <w:rsid w:val="000238F0"/>
    <w:rsid w:val="00040044"/>
    <w:rsid w:val="000462AE"/>
    <w:rsid w:val="000530D1"/>
    <w:rsid w:val="000966B2"/>
    <w:rsid w:val="00097728"/>
    <w:rsid w:val="000B1B60"/>
    <w:rsid w:val="000B70CE"/>
    <w:rsid w:val="000C12C9"/>
    <w:rsid w:val="000C619D"/>
    <w:rsid w:val="000D0B55"/>
    <w:rsid w:val="000D215E"/>
    <w:rsid w:val="000D2C83"/>
    <w:rsid w:val="000F0DC4"/>
    <w:rsid w:val="001037B3"/>
    <w:rsid w:val="00117B4E"/>
    <w:rsid w:val="001476E2"/>
    <w:rsid w:val="0015259E"/>
    <w:rsid w:val="00153661"/>
    <w:rsid w:val="00157A8F"/>
    <w:rsid w:val="00163A94"/>
    <w:rsid w:val="001643BE"/>
    <w:rsid w:val="001701DC"/>
    <w:rsid w:val="001750E7"/>
    <w:rsid w:val="001751A8"/>
    <w:rsid w:val="001909B0"/>
    <w:rsid w:val="001A3544"/>
    <w:rsid w:val="001C77FF"/>
    <w:rsid w:val="001D4249"/>
    <w:rsid w:val="001E007B"/>
    <w:rsid w:val="001E3DE7"/>
    <w:rsid w:val="001E7E86"/>
    <w:rsid w:val="001F604B"/>
    <w:rsid w:val="001F6564"/>
    <w:rsid w:val="00202D7F"/>
    <w:rsid w:val="00205B6F"/>
    <w:rsid w:val="00206B8B"/>
    <w:rsid w:val="00211132"/>
    <w:rsid w:val="00221131"/>
    <w:rsid w:val="00222482"/>
    <w:rsid w:val="0022299A"/>
    <w:rsid w:val="002379B7"/>
    <w:rsid w:val="00242418"/>
    <w:rsid w:val="00243CAF"/>
    <w:rsid w:val="002449D5"/>
    <w:rsid w:val="00250239"/>
    <w:rsid w:val="0025374C"/>
    <w:rsid w:val="0029045E"/>
    <w:rsid w:val="0029347A"/>
    <w:rsid w:val="00293D1B"/>
    <w:rsid w:val="00296404"/>
    <w:rsid w:val="00297534"/>
    <w:rsid w:val="002A39E3"/>
    <w:rsid w:val="002A50E8"/>
    <w:rsid w:val="002B1086"/>
    <w:rsid w:val="002B12CC"/>
    <w:rsid w:val="002B2009"/>
    <w:rsid w:val="002C2B78"/>
    <w:rsid w:val="002C3E89"/>
    <w:rsid w:val="002D5F70"/>
    <w:rsid w:val="002F3C0E"/>
    <w:rsid w:val="002F64DA"/>
    <w:rsid w:val="00315AE4"/>
    <w:rsid w:val="00333604"/>
    <w:rsid w:val="003336B5"/>
    <w:rsid w:val="00346CD9"/>
    <w:rsid w:val="00356045"/>
    <w:rsid w:val="0035794B"/>
    <w:rsid w:val="00363217"/>
    <w:rsid w:val="00375DB4"/>
    <w:rsid w:val="003A6596"/>
    <w:rsid w:val="003C1E39"/>
    <w:rsid w:val="003C5FED"/>
    <w:rsid w:val="003D17D6"/>
    <w:rsid w:val="003F7479"/>
    <w:rsid w:val="0040034A"/>
    <w:rsid w:val="00401F74"/>
    <w:rsid w:val="00402750"/>
    <w:rsid w:val="00407759"/>
    <w:rsid w:val="0041037D"/>
    <w:rsid w:val="004124B0"/>
    <w:rsid w:val="00412A4C"/>
    <w:rsid w:val="004302D8"/>
    <w:rsid w:val="00432D1D"/>
    <w:rsid w:val="00443215"/>
    <w:rsid w:val="00457288"/>
    <w:rsid w:val="00457A81"/>
    <w:rsid w:val="00460FDC"/>
    <w:rsid w:val="00477E06"/>
    <w:rsid w:val="00481FE3"/>
    <w:rsid w:val="0048215D"/>
    <w:rsid w:val="004A3581"/>
    <w:rsid w:val="004B4F45"/>
    <w:rsid w:val="004C1AA7"/>
    <w:rsid w:val="004C3E14"/>
    <w:rsid w:val="004C6A50"/>
    <w:rsid w:val="004C783D"/>
    <w:rsid w:val="004D4DA5"/>
    <w:rsid w:val="004E6963"/>
    <w:rsid w:val="004F2D7B"/>
    <w:rsid w:val="004F7453"/>
    <w:rsid w:val="005113A6"/>
    <w:rsid w:val="00512CDB"/>
    <w:rsid w:val="00513157"/>
    <w:rsid w:val="00515888"/>
    <w:rsid w:val="00517D48"/>
    <w:rsid w:val="005341D5"/>
    <w:rsid w:val="0053595B"/>
    <w:rsid w:val="005467C2"/>
    <w:rsid w:val="00551E6B"/>
    <w:rsid w:val="00555598"/>
    <w:rsid w:val="00555877"/>
    <w:rsid w:val="005573C6"/>
    <w:rsid w:val="00564A29"/>
    <w:rsid w:val="00583EE6"/>
    <w:rsid w:val="00585B11"/>
    <w:rsid w:val="0059413C"/>
    <w:rsid w:val="005967F6"/>
    <w:rsid w:val="005A1FD7"/>
    <w:rsid w:val="005B47A9"/>
    <w:rsid w:val="005C5D79"/>
    <w:rsid w:val="005E58B6"/>
    <w:rsid w:val="005E6931"/>
    <w:rsid w:val="005E74F2"/>
    <w:rsid w:val="005F372E"/>
    <w:rsid w:val="005F5245"/>
    <w:rsid w:val="005F6164"/>
    <w:rsid w:val="006134E2"/>
    <w:rsid w:val="00615505"/>
    <w:rsid w:val="00616A57"/>
    <w:rsid w:val="00630E8A"/>
    <w:rsid w:val="006323BB"/>
    <w:rsid w:val="00633F8F"/>
    <w:rsid w:val="00636078"/>
    <w:rsid w:val="006416ED"/>
    <w:rsid w:val="0065429F"/>
    <w:rsid w:val="006612B1"/>
    <w:rsid w:val="00681187"/>
    <w:rsid w:val="00691418"/>
    <w:rsid w:val="006916BA"/>
    <w:rsid w:val="006A2DE9"/>
    <w:rsid w:val="006B2026"/>
    <w:rsid w:val="006B765C"/>
    <w:rsid w:val="006C114F"/>
    <w:rsid w:val="006C295A"/>
    <w:rsid w:val="006C35F3"/>
    <w:rsid w:val="006D01CA"/>
    <w:rsid w:val="006D219E"/>
    <w:rsid w:val="006D3034"/>
    <w:rsid w:val="006D72C8"/>
    <w:rsid w:val="00705AD0"/>
    <w:rsid w:val="0072358A"/>
    <w:rsid w:val="00724913"/>
    <w:rsid w:val="00731BB5"/>
    <w:rsid w:val="00734553"/>
    <w:rsid w:val="00736F71"/>
    <w:rsid w:val="007449DC"/>
    <w:rsid w:val="00751E0D"/>
    <w:rsid w:val="00753403"/>
    <w:rsid w:val="00766C54"/>
    <w:rsid w:val="007863CC"/>
    <w:rsid w:val="007C4ACD"/>
    <w:rsid w:val="007D1220"/>
    <w:rsid w:val="007D178B"/>
    <w:rsid w:val="007E7084"/>
    <w:rsid w:val="007F2A09"/>
    <w:rsid w:val="007F54CC"/>
    <w:rsid w:val="007F5CDD"/>
    <w:rsid w:val="008029C8"/>
    <w:rsid w:val="00805684"/>
    <w:rsid w:val="00811A93"/>
    <w:rsid w:val="00822F35"/>
    <w:rsid w:val="008262B1"/>
    <w:rsid w:val="008374C2"/>
    <w:rsid w:val="008455AC"/>
    <w:rsid w:val="00852D04"/>
    <w:rsid w:val="008620B0"/>
    <w:rsid w:val="00862D7A"/>
    <w:rsid w:val="008734EE"/>
    <w:rsid w:val="00873CEA"/>
    <w:rsid w:val="008952DA"/>
    <w:rsid w:val="00896C04"/>
    <w:rsid w:val="008A00A1"/>
    <w:rsid w:val="008A6738"/>
    <w:rsid w:val="008B680C"/>
    <w:rsid w:val="008C1691"/>
    <w:rsid w:val="008C2DFF"/>
    <w:rsid w:val="008D1BFA"/>
    <w:rsid w:val="008D6812"/>
    <w:rsid w:val="008F5CB6"/>
    <w:rsid w:val="00907C8A"/>
    <w:rsid w:val="00912CFB"/>
    <w:rsid w:val="00913750"/>
    <w:rsid w:val="009138C8"/>
    <w:rsid w:val="009149F5"/>
    <w:rsid w:val="00915B9A"/>
    <w:rsid w:val="00931F1C"/>
    <w:rsid w:val="00937FCB"/>
    <w:rsid w:val="0095238C"/>
    <w:rsid w:val="009540D3"/>
    <w:rsid w:val="00970AB2"/>
    <w:rsid w:val="00974B29"/>
    <w:rsid w:val="00982423"/>
    <w:rsid w:val="00983D01"/>
    <w:rsid w:val="009866FE"/>
    <w:rsid w:val="00992712"/>
    <w:rsid w:val="00992A3C"/>
    <w:rsid w:val="00995466"/>
    <w:rsid w:val="00996174"/>
    <w:rsid w:val="009A2098"/>
    <w:rsid w:val="009A4A25"/>
    <w:rsid w:val="009B601E"/>
    <w:rsid w:val="009D13DE"/>
    <w:rsid w:val="009F5242"/>
    <w:rsid w:val="00A0004C"/>
    <w:rsid w:val="00A035B7"/>
    <w:rsid w:val="00A0530F"/>
    <w:rsid w:val="00A21A7C"/>
    <w:rsid w:val="00A2456D"/>
    <w:rsid w:val="00A42D09"/>
    <w:rsid w:val="00A50AE6"/>
    <w:rsid w:val="00A645F1"/>
    <w:rsid w:val="00A6633A"/>
    <w:rsid w:val="00A803A1"/>
    <w:rsid w:val="00A84B20"/>
    <w:rsid w:val="00A91E41"/>
    <w:rsid w:val="00AA2176"/>
    <w:rsid w:val="00AA7E28"/>
    <w:rsid w:val="00AC384F"/>
    <w:rsid w:val="00AE326A"/>
    <w:rsid w:val="00AF3065"/>
    <w:rsid w:val="00AF7453"/>
    <w:rsid w:val="00B02DAE"/>
    <w:rsid w:val="00B04842"/>
    <w:rsid w:val="00B050F3"/>
    <w:rsid w:val="00B05883"/>
    <w:rsid w:val="00B07388"/>
    <w:rsid w:val="00B301B1"/>
    <w:rsid w:val="00B33EFB"/>
    <w:rsid w:val="00B37989"/>
    <w:rsid w:val="00B41572"/>
    <w:rsid w:val="00B43748"/>
    <w:rsid w:val="00B56FE0"/>
    <w:rsid w:val="00B618C4"/>
    <w:rsid w:val="00B638D3"/>
    <w:rsid w:val="00B648BF"/>
    <w:rsid w:val="00B67C47"/>
    <w:rsid w:val="00B77198"/>
    <w:rsid w:val="00B8197F"/>
    <w:rsid w:val="00B823EF"/>
    <w:rsid w:val="00B83F3B"/>
    <w:rsid w:val="00B9022E"/>
    <w:rsid w:val="00B90FF5"/>
    <w:rsid w:val="00B91162"/>
    <w:rsid w:val="00B93CAA"/>
    <w:rsid w:val="00BC3295"/>
    <w:rsid w:val="00BE2099"/>
    <w:rsid w:val="00BF76EE"/>
    <w:rsid w:val="00C00AAE"/>
    <w:rsid w:val="00C01AAF"/>
    <w:rsid w:val="00C02C3D"/>
    <w:rsid w:val="00C13C0B"/>
    <w:rsid w:val="00C1602C"/>
    <w:rsid w:val="00C32ED2"/>
    <w:rsid w:val="00C54078"/>
    <w:rsid w:val="00C54A8A"/>
    <w:rsid w:val="00C54B8B"/>
    <w:rsid w:val="00C606CB"/>
    <w:rsid w:val="00C61911"/>
    <w:rsid w:val="00C7083B"/>
    <w:rsid w:val="00C7429F"/>
    <w:rsid w:val="00C77027"/>
    <w:rsid w:val="00C807E0"/>
    <w:rsid w:val="00C8564B"/>
    <w:rsid w:val="00C8798E"/>
    <w:rsid w:val="00C94221"/>
    <w:rsid w:val="00CA0207"/>
    <w:rsid w:val="00CA3202"/>
    <w:rsid w:val="00CB2CED"/>
    <w:rsid w:val="00CC121D"/>
    <w:rsid w:val="00CC2E68"/>
    <w:rsid w:val="00CD2F31"/>
    <w:rsid w:val="00CD62E0"/>
    <w:rsid w:val="00CE1762"/>
    <w:rsid w:val="00CF0C91"/>
    <w:rsid w:val="00CF2215"/>
    <w:rsid w:val="00D04C83"/>
    <w:rsid w:val="00D10B5D"/>
    <w:rsid w:val="00D11AA1"/>
    <w:rsid w:val="00D17C82"/>
    <w:rsid w:val="00D248ED"/>
    <w:rsid w:val="00D3114D"/>
    <w:rsid w:val="00D36F27"/>
    <w:rsid w:val="00D414F9"/>
    <w:rsid w:val="00D43233"/>
    <w:rsid w:val="00D44DDA"/>
    <w:rsid w:val="00D513A5"/>
    <w:rsid w:val="00D57DED"/>
    <w:rsid w:val="00D60B9F"/>
    <w:rsid w:val="00D735C5"/>
    <w:rsid w:val="00D82136"/>
    <w:rsid w:val="00D86152"/>
    <w:rsid w:val="00D87087"/>
    <w:rsid w:val="00D9307D"/>
    <w:rsid w:val="00D93DB2"/>
    <w:rsid w:val="00DA3130"/>
    <w:rsid w:val="00DB308D"/>
    <w:rsid w:val="00DC3EAA"/>
    <w:rsid w:val="00DC7DEB"/>
    <w:rsid w:val="00DD02BE"/>
    <w:rsid w:val="00DD69A8"/>
    <w:rsid w:val="00DD7A52"/>
    <w:rsid w:val="00DE15BF"/>
    <w:rsid w:val="00DE3F76"/>
    <w:rsid w:val="00DF6BB1"/>
    <w:rsid w:val="00E024A7"/>
    <w:rsid w:val="00E1089B"/>
    <w:rsid w:val="00E10FBD"/>
    <w:rsid w:val="00E17D28"/>
    <w:rsid w:val="00E222C2"/>
    <w:rsid w:val="00E33A9E"/>
    <w:rsid w:val="00E52134"/>
    <w:rsid w:val="00E7059A"/>
    <w:rsid w:val="00E86EB4"/>
    <w:rsid w:val="00E92FE8"/>
    <w:rsid w:val="00E93728"/>
    <w:rsid w:val="00E97083"/>
    <w:rsid w:val="00EA5F20"/>
    <w:rsid w:val="00EA74D8"/>
    <w:rsid w:val="00EB1EA4"/>
    <w:rsid w:val="00EB452C"/>
    <w:rsid w:val="00EB599A"/>
    <w:rsid w:val="00EE078E"/>
    <w:rsid w:val="00EE14EC"/>
    <w:rsid w:val="00EF2646"/>
    <w:rsid w:val="00EF27BE"/>
    <w:rsid w:val="00EF7791"/>
    <w:rsid w:val="00F0275D"/>
    <w:rsid w:val="00F10C83"/>
    <w:rsid w:val="00F15E57"/>
    <w:rsid w:val="00F25D4B"/>
    <w:rsid w:val="00F25F63"/>
    <w:rsid w:val="00F27BF1"/>
    <w:rsid w:val="00F375EC"/>
    <w:rsid w:val="00F45B30"/>
    <w:rsid w:val="00F57875"/>
    <w:rsid w:val="00F633C3"/>
    <w:rsid w:val="00F73CCA"/>
    <w:rsid w:val="00F74054"/>
    <w:rsid w:val="00F833F6"/>
    <w:rsid w:val="00F973BD"/>
    <w:rsid w:val="00FC236D"/>
    <w:rsid w:val="00FC7099"/>
    <w:rsid w:val="00FD53FF"/>
    <w:rsid w:val="00FE3314"/>
    <w:rsid w:val="00FE4BF1"/>
    <w:rsid w:val="00FE7ED7"/>
    <w:rsid w:val="00FF2DE3"/>
    <w:rsid w:val="00FF46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D17D6"/>
    <w:pPr>
      <w:spacing w:after="220" w:line="360" w:lineRule="auto"/>
    </w:pPr>
    <w:rPr>
      <w:rFonts w:ascii="Arial" w:hAnsi="Arial"/>
      <w:sz w:val="22"/>
      <w:szCs w:val="24"/>
    </w:rPr>
  </w:style>
  <w:style w:type="paragraph" w:styleId="Heading1">
    <w:name w:val="heading 1"/>
    <w:basedOn w:val="Normal"/>
    <w:next w:val="Normal"/>
    <w:link w:val="Heading1Char"/>
    <w:autoRedefine/>
    <w:qFormat/>
    <w:rsid w:val="003D17D6"/>
    <w:pPr>
      <w:numPr>
        <w:numId w:val="18"/>
      </w:numPr>
      <w:spacing w:before="280" w:after="280" w:line="240" w:lineRule="auto"/>
      <w:outlineLvl w:val="0"/>
    </w:pPr>
    <w:rPr>
      <w:rFonts w:eastAsiaTheme="majorEastAsia" w:cs="Arial"/>
      <w:b/>
      <w:bCs/>
      <w:color w:val="23532C"/>
      <w:sz w:val="32"/>
      <w:szCs w:val="32"/>
      <w:lang w:val="en-GB" w:eastAsia="en-GB"/>
    </w:rPr>
  </w:style>
  <w:style w:type="paragraph" w:styleId="Heading2">
    <w:name w:val="heading 2"/>
    <w:basedOn w:val="Normal"/>
    <w:next w:val="Normal"/>
    <w:link w:val="Heading2Char"/>
    <w:autoRedefine/>
    <w:qFormat/>
    <w:rsid w:val="00E222C2"/>
    <w:pPr>
      <w:keepNext/>
      <w:numPr>
        <w:ilvl w:val="1"/>
        <w:numId w:val="18"/>
      </w:numPr>
      <w:spacing w:before="240" w:after="240" w:line="240" w:lineRule="auto"/>
      <w:outlineLvl w:val="1"/>
    </w:pPr>
    <w:rPr>
      <w:rFonts w:eastAsiaTheme="majorEastAsia" w:cs="Arial"/>
      <w:b/>
      <w:bCs/>
      <w:iCs/>
      <w:color w:val="23532C"/>
      <w:sz w:val="24"/>
      <w:lang w:val="en-GB" w:eastAsia="en-GB"/>
    </w:rPr>
  </w:style>
  <w:style w:type="paragraph" w:styleId="Heading3">
    <w:name w:val="heading 3"/>
    <w:basedOn w:val="Normal"/>
    <w:next w:val="Normal"/>
    <w:link w:val="Heading3Char"/>
    <w:qFormat/>
    <w:rsid w:val="003D17D6"/>
    <w:pPr>
      <w:keepNext/>
      <w:numPr>
        <w:ilvl w:val="2"/>
        <w:numId w:val="18"/>
      </w:numPr>
      <w:spacing w:before="220" w:line="240" w:lineRule="auto"/>
      <w:outlineLvl w:val="2"/>
    </w:pPr>
    <w:rPr>
      <w:rFonts w:eastAsiaTheme="majorEastAsia" w:cs="Arial"/>
      <w:bCs/>
      <w:i/>
      <w:szCs w:val="26"/>
    </w:rPr>
  </w:style>
  <w:style w:type="paragraph" w:styleId="Heading4">
    <w:name w:val="heading 4"/>
    <w:basedOn w:val="Normal"/>
    <w:next w:val="Normal"/>
    <w:link w:val="Heading4Char"/>
    <w:uiPriority w:val="9"/>
    <w:semiHidden/>
    <w:unhideWhenUsed/>
    <w:qFormat/>
    <w:rsid w:val="003D17D6"/>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17D6"/>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D17D6"/>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D17D6"/>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17D6"/>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17D6"/>
    <w:pPr>
      <w:keepNext/>
      <w:keepLines/>
      <w:numPr>
        <w:ilvl w:val="8"/>
        <w:numId w:val="6"/>
      </w:numPr>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7D6"/>
    <w:rPr>
      <w:rFonts w:ascii="Arial" w:eastAsiaTheme="majorEastAsia" w:hAnsi="Arial" w:cs="Arial"/>
      <w:b/>
      <w:bCs/>
      <w:color w:val="23532C"/>
      <w:sz w:val="32"/>
      <w:szCs w:val="32"/>
      <w:lang w:val="en-GB" w:eastAsia="en-GB"/>
    </w:rPr>
  </w:style>
  <w:style w:type="character" w:customStyle="1" w:styleId="Heading2Char">
    <w:name w:val="Heading 2 Char"/>
    <w:basedOn w:val="DefaultParagraphFont"/>
    <w:link w:val="Heading2"/>
    <w:rsid w:val="00E222C2"/>
    <w:rPr>
      <w:rFonts w:ascii="Arial" w:eastAsiaTheme="majorEastAsia" w:hAnsi="Arial" w:cs="Arial"/>
      <w:b/>
      <w:bCs/>
      <w:iCs/>
      <w:color w:val="23532C"/>
      <w:sz w:val="24"/>
      <w:szCs w:val="24"/>
      <w:lang w:val="en-GB" w:eastAsia="en-GB"/>
    </w:rPr>
  </w:style>
  <w:style w:type="character" w:customStyle="1" w:styleId="Heading3Char">
    <w:name w:val="Heading 3 Char"/>
    <w:basedOn w:val="DefaultParagraphFont"/>
    <w:link w:val="Heading3"/>
    <w:rsid w:val="003D17D6"/>
    <w:rPr>
      <w:rFonts w:ascii="Arial" w:eastAsiaTheme="majorEastAsia" w:hAnsi="Arial" w:cs="Arial"/>
      <w:bCs/>
      <w:i/>
      <w:sz w:val="22"/>
      <w:szCs w:val="26"/>
    </w:rPr>
  </w:style>
  <w:style w:type="character" w:styleId="Hyperlink">
    <w:name w:val="Hyperlink"/>
    <w:uiPriority w:val="99"/>
    <w:rsid w:val="000B1B60"/>
    <w:rPr>
      <w:color w:val="0000FF"/>
      <w:u w:val="single"/>
    </w:rPr>
  </w:style>
  <w:style w:type="paragraph" w:styleId="Header">
    <w:name w:val="header"/>
    <w:basedOn w:val="Normal"/>
    <w:link w:val="HeaderChar"/>
    <w:rsid w:val="000B1B60"/>
  </w:style>
  <w:style w:type="character" w:customStyle="1" w:styleId="HeaderChar">
    <w:name w:val="Header Char"/>
    <w:basedOn w:val="DefaultParagraphFont"/>
    <w:link w:val="Header"/>
    <w:rsid w:val="000B1B60"/>
    <w:rPr>
      <w:rFonts w:eastAsia="Times New Roman" w:cs="Times New Roman"/>
      <w:sz w:val="22"/>
      <w:szCs w:val="24"/>
    </w:rPr>
  </w:style>
  <w:style w:type="paragraph" w:styleId="Footer">
    <w:name w:val="footer"/>
    <w:basedOn w:val="Normal"/>
    <w:link w:val="FooterChar"/>
    <w:rsid w:val="000B1B60"/>
    <w:pPr>
      <w:tabs>
        <w:tab w:val="right" w:pos="8647"/>
        <w:tab w:val="right" w:pos="9356"/>
      </w:tabs>
    </w:pPr>
    <w:rPr>
      <w:color w:val="002B7F"/>
    </w:rPr>
  </w:style>
  <w:style w:type="character" w:customStyle="1" w:styleId="FooterChar">
    <w:name w:val="Footer Char"/>
    <w:basedOn w:val="DefaultParagraphFont"/>
    <w:link w:val="Footer"/>
    <w:rsid w:val="000B1B60"/>
    <w:rPr>
      <w:rFonts w:eastAsia="Times New Roman" w:cs="Times New Roman"/>
      <w:color w:val="002B7F"/>
      <w:sz w:val="22"/>
      <w:szCs w:val="24"/>
    </w:rPr>
  </w:style>
  <w:style w:type="paragraph" w:customStyle="1" w:styleId="Figure">
    <w:name w:val="Figure"/>
    <w:basedOn w:val="Normal"/>
    <w:next w:val="Normal"/>
    <w:rsid w:val="000B1B60"/>
    <w:pPr>
      <w:keepNext/>
      <w:pBdr>
        <w:top w:val="single" w:sz="18" w:space="6" w:color="23532C"/>
      </w:pBdr>
      <w:spacing w:before="120" w:after="120"/>
    </w:pPr>
    <w:rPr>
      <w:b/>
      <w:color w:val="23532C"/>
      <w:sz w:val="18"/>
      <w:szCs w:val="18"/>
    </w:rPr>
  </w:style>
  <w:style w:type="paragraph" w:customStyle="1" w:styleId="Bullet">
    <w:name w:val="Bullet"/>
    <w:basedOn w:val="ListParagraph"/>
    <w:qFormat/>
    <w:rsid w:val="003D17D6"/>
    <w:pPr>
      <w:numPr>
        <w:numId w:val="20"/>
      </w:numPr>
      <w:spacing w:after="80"/>
    </w:pPr>
  </w:style>
  <w:style w:type="character" w:styleId="PageNumber">
    <w:name w:val="page number"/>
    <w:rsid w:val="000B1B60"/>
    <w:rPr>
      <w:sz w:val="24"/>
    </w:rPr>
  </w:style>
  <w:style w:type="paragraph" w:customStyle="1" w:styleId="TableText">
    <w:name w:val="TableText"/>
    <w:basedOn w:val="Normal"/>
    <w:rsid w:val="000B1B60"/>
    <w:pPr>
      <w:spacing w:before="80" w:after="80"/>
    </w:pPr>
  </w:style>
  <w:style w:type="paragraph" w:customStyle="1" w:styleId="Source">
    <w:name w:val="Source"/>
    <w:basedOn w:val="Normal"/>
    <w:next w:val="Normal"/>
    <w:rsid w:val="000B1B60"/>
    <w:pPr>
      <w:pBdr>
        <w:bottom w:val="single" w:sz="18" w:space="6" w:color="808080"/>
      </w:pBdr>
    </w:pPr>
    <w:rPr>
      <w:sz w:val="18"/>
    </w:rPr>
  </w:style>
  <w:style w:type="paragraph" w:styleId="ListParagraph">
    <w:name w:val="List Paragraph"/>
    <w:basedOn w:val="Normal"/>
    <w:next w:val="Normal"/>
    <w:autoRedefine/>
    <w:qFormat/>
    <w:rsid w:val="003D17D6"/>
    <w:pPr>
      <w:numPr>
        <w:numId w:val="19"/>
      </w:numPr>
      <w:autoSpaceDE w:val="0"/>
      <w:autoSpaceDN w:val="0"/>
      <w:adjustRightInd w:val="0"/>
      <w:spacing w:before="80" w:after="120"/>
    </w:pPr>
    <w:rPr>
      <w:lang w:val="en-GB" w:eastAsia="en-GB"/>
    </w:rPr>
  </w:style>
  <w:style w:type="paragraph" w:styleId="Caption">
    <w:name w:val="caption"/>
    <w:basedOn w:val="Normal"/>
    <w:next w:val="Normal"/>
    <w:autoRedefine/>
    <w:unhideWhenUsed/>
    <w:qFormat/>
    <w:rsid w:val="003D17D6"/>
    <w:pPr>
      <w:pBdr>
        <w:top w:val="single" w:sz="18" w:space="1" w:color="23532C"/>
      </w:pBdr>
      <w:spacing w:after="280" w:line="240" w:lineRule="auto"/>
    </w:pPr>
    <w:rPr>
      <w:rFonts w:eastAsiaTheme="minorEastAsia"/>
      <w:b/>
      <w:bCs/>
      <w:color w:val="23532C"/>
      <w:sz w:val="18"/>
      <w:szCs w:val="20"/>
      <w:lang w:val="en-GB" w:eastAsia="en-GB"/>
    </w:rPr>
  </w:style>
  <w:style w:type="paragraph" w:styleId="Title">
    <w:name w:val="Title"/>
    <w:basedOn w:val="Normal"/>
    <w:next w:val="Normal"/>
    <w:link w:val="TitleChar"/>
    <w:autoRedefine/>
    <w:uiPriority w:val="10"/>
    <w:qFormat/>
    <w:rsid w:val="003D17D6"/>
    <w:pPr>
      <w:spacing w:before="360" w:after="360"/>
    </w:pPr>
    <w:rPr>
      <w:rFonts w:eastAsiaTheme="majorEastAsia" w:cstheme="majorBidi"/>
      <w:b/>
      <w:color w:val="23532C"/>
      <w:sz w:val="44"/>
      <w:szCs w:val="44"/>
    </w:rPr>
  </w:style>
  <w:style w:type="character" w:customStyle="1" w:styleId="TitleChar">
    <w:name w:val="Title Char"/>
    <w:basedOn w:val="DefaultParagraphFont"/>
    <w:link w:val="Title"/>
    <w:uiPriority w:val="10"/>
    <w:rsid w:val="003D17D6"/>
    <w:rPr>
      <w:rFonts w:ascii="Arial" w:eastAsiaTheme="majorEastAsia" w:hAnsi="Arial" w:cstheme="majorBidi"/>
      <w:b/>
      <w:color w:val="23532C"/>
      <w:sz w:val="44"/>
      <w:szCs w:val="44"/>
    </w:rPr>
  </w:style>
  <w:style w:type="paragraph" w:styleId="NoSpacing">
    <w:name w:val="No Spacing"/>
    <w:link w:val="NoSpacingChar"/>
    <w:uiPriority w:val="1"/>
    <w:qFormat/>
    <w:rsid w:val="003D17D6"/>
    <w:rPr>
      <w:rFonts w:ascii="Arial" w:hAnsi="Arial"/>
      <w:sz w:val="22"/>
      <w:szCs w:val="24"/>
    </w:rPr>
  </w:style>
  <w:style w:type="paragraph" w:styleId="TOCHeading">
    <w:name w:val="TOC Heading"/>
    <w:basedOn w:val="Heading1"/>
    <w:next w:val="Normal"/>
    <w:uiPriority w:val="39"/>
    <w:semiHidden/>
    <w:unhideWhenUsed/>
    <w:qFormat/>
    <w:rsid w:val="003D17D6"/>
    <w:pPr>
      <w:keepNext/>
      <w:keepLines/>
      <w:numPr>
        <w:numId w:val="0"/>
      </w:numPr>
      <w:spacing w:line="276" w:lineRule="auto"/>
      <w:outlineLvl w:val="9"/>
    </w:pPr>
    <w:rPr>
      <w:rFonts w:cstheme="majorBidi"/>
      <w:sz w:val="28"/>
      <w:szCs w:val="28"/>
      <w:lang w:val="en-US" w:eastAsia="ja-JP"/>
    </w:rPr>
  </w:style>
  <w:style w:type="paragraph" w:styleId="TOC1">
    <w:name w:val="toc 1"/>
    <w:basedOn w:val="Normal"/>
    <w:next w:val="Normal"/>
    <w:autoRedefine/>
    <w:uiPriority w:val="39"/>
    <w:unhideWhenUsed/>
    <w:rsid w:val="000B1B60"/>
    <w:pPr>
      <w:spacing w:after="100"/>
    </w:pPr>
  </w:style>
  <w:style w:type="paragraph" w:styleId="TOC2">
    <w:name w:val="toc 2"/>
    <w:basedOn w:val="Normal"/>
    <w:next w:val="Normal"/>
    <w:autoRedefine/>
    <w:uiPriority w:val="39"/>
    <w:unhideWhenUsed/>
    <w:rsid w:val="000B1B60"/>
    <w:pPr>
      <w:spacing w:after="100"/>
      <w:ind w:left="220"/>
    </w:pPr>
  </w:style>
  <w:style w:type="paragraph" w:styleId="BalloonText">
    <w:name w:val="Balloon Text"/>
    <w:basedOn w:val="Normal"/>
    <w:link w:val="BalloonTextChar"/>
    <w:uiPriority w:val="99"/>
    <w:semiHidden/>
    <w:unhideWhenUsed/>
    <w:rsid w:val="000B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B60"/>
    <w:rPr>
      <w:rFonts w:ascii="Tahoma" w:eastAsia="Times New Roman" w:hAnsi="Tahoma" w:cs="Tahoma"/>
      <w:sz w:val="16"/>
      <w:szCs w:val="16"/>
    </w:rPr>
  </w:style>
  <w:style w:type="paragraph" w:styleId="FootnoteText">
    <w:name w:val="footnote text"/>
    <w:basedOn w:val="Normal"/>
    <w:link w:val="FootnoteTextChar"/>
    <w:semiHidden/>
    <w:qFormat/>
    <w:rsid w:val="003D17D6"/>
    <w:pPr>
      <w:spacing w:before="60"/>
      <w:ind w:left="284" w:hanging="284"/>
    </w:pPr>
    <w:rPr>
      <w:sz w:val="18"/>
      <w:szCs w:val="20"/>
    </w:rPr>
  </w:style>
  <w:style w:type="character" w:customStyle="1" w:styleId="FootnoteTextChar">
    <w:name w:val="Footnote Text Char"/>
    <w:link w:val="FootnoteText"/>
    <w:semiHidden/>
    <w:rsid w:val="003D17D6"/>
    <w:rPr>
      <w:rFonts w:ascii="Arial" w:hAnsi="Arial"/>
      <w:sz w:val="18"/>
    </w:rPr>
  </w:style>
  <w:style w:type="character" w:styleId="FootnoteReference">
    <w:name w:val="footnote reference"/>
    <w:basedOn w:val="DefaultParagraphFont"/>
    <w:uiPriority w:val="99"/>
    <w:semiHidden/>
    <w:unhideWhenUsed/>
    <w:rsid w:val="008952DA"/>
    <w:rPr>
      <w:vertAlign w:val="superscript"/>
    </w:rPr>
  </w:style>
  <w:style w:type="table" w:styleId="MediumGrid1-Accent3">
    <w:name w:val="Medium Grid 1 Accent 3"/>
    <w:basedOn w:val="TableNormal"/>
    <w:uiPriority w:val="67"/>
    <w:rsid w:val="008952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NormalWeb">
    <w:name w:val="Normal (Web)"/>
    <w:basedOn w:val="Normal"/>
    <w:uiPriority w:val="99"/>
    <w:semiHidden/>
    <w:unhideWhenUsed/>
    <w:rsid w:val="008952DA"/>
    <w:pPr>
      <w:spacing w:before="100" w:beforeAutospacing="1" w:after="100" w:afterAutospacing="1" w:line="240" w:lineRule="auto"/>
    </w:pPr>
    <w:rPr>
      <w:rFonts w:ascii="Times New Roman" w:eastAsiaTheme="minorEastAsia" w:hAnsi="Times New Roman"/>
      <w:sz w:val="24"/>
      <w:lang w:eastAsia="en-NZ"/>
    </w:rPr>
  </w:style>
  <w:style w:type="character" w:styleId="Strong">
    <w:name w:val="Strong"/>
    <w:basedOn w:val="DefaultParagraphFont"/>
    <w:uiPriority w:val="22"/>
    <w:rsid w:val="00B05883"/>
    <w:rPr>
      <w:b/>
      <w:bCs/>
    </w:rPr>
  </w:style>
  <w:style w:type="table" w:styleId="LightGrid-Accent3">
    <w:name w:val="Light Grid Accent 3"/>
    <w:basedOn w:val="TableNormal"/>
    <w:uiPriority w:val="62"/>
    <w:rsid w:val="00B0588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B0588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6D219E"/>
    <w:pPr>
      <w:spacing w:after="100"/>
      <w:ind w:left="440"/>
    </w:pPr>
  </w:style>
  <w:style w:type="table" w:styleId="LightList-Accent3">
    <w:name w:val="Light List Accent 3"/>
    <w:basedOn w:val="TableNormal"/>
    <w:uiPriority w:val="61"/>
    <w:rsid w:val="00E17D2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SourceCaption">
    <w:name w:val="Source Caption"/>
    <w:basedOn w:val="Normal"/>
    <w:next w:val="Normal"/>
    <w:qFormat/>
    <w:rsid w:val="003D17D6"/>
    <w:pPr>
      <w:keepNext/>
      <w:pBdr>
        <w:bottom w:val="single" w:sz="18" w:space="1" w:color="23532C"/>
      </w:pBdr>
      <w:spacing w:before="120" w:after="120"/>
    </w:pPr>
    <w:rPr>
      <w:color w:val="23532C"/>
      <w:sz w:val="18"/>
      <w:szCs w:val="18"/>
    </w:rPr>
  </w:style>
  <w:style w:type="paragraph" w:customStyle="1" w:styleId="Head2nonumber">
    <w:name w:val="Head 2 no number"/>
    <w:basedOn w:val="Heading2"/>
    <w:qFormat/>
    <w:rsid w:val="003D17D6"/>
    <w:pPr>
      <w:numPr>
        <w:ilvl w:val="0"/>
        <w:numId w:val="0"/>
      </w:numPr>
    </w:pPr>
  </w:style>
  <w:style w:type="character" w:styleId="CommentReference">
    <w:name w:val="annotation reference"/>
    <w:basedOn w:val="DefaultParagraphFont"/>
    <w:uiPriority w:val="99"/>
    <w:semiHidden/>
    <w:unhideWhenUsed/>
    <w:rsid w:val="00983D01"/>
    <w:rPr>
      <w:sz w:val="16"/>
      <w:szCs w:val="16"/>
    </w:rPr>
  </w:style>
  <w:style w:type="paragraph" w:styleId="CommentText">
    <w:name w:val="annotation text"/>
    <w:basedOn w:val="Normal"/>
    <w:link w:val="CommentTextChar"/>
    <w:uiPriority w:val="99"/>
    <w:semiHidden/>
    <w:unhideWhenUsed/>
    <w:rsid w:val="00983D01"/>
    <w:pPr>
      <w:spacing w:line="240" w:lineRule="auto"/>
    </w:pPr>
    <w:rPr>
      <w:sz w:val="20"/>
      <w:szCs w:val="20"/>
    </w:rPr>
  </w:style>
  <w:style w:type="character" w:customStyle="1" w:styleId="CommentTextChar">
    <w:name w:val="Comment Text Char"/>
    <w:basedOn w:val="DefaultParagraphFont"/>
    <w:link w:val="CommentText"/>
    <w:uiPriority w:val="99"/>
    <w:semiHidden/>
    <w:rsid w:val="00983D0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D01"/>
    <w:rPr>
      <w:b/>
      <w:bCs/>
    </w:rPr>
  </w:style>
  <w:style w:type="character" w:customStyle="1" w:styleId="CommentSubjectChar">
    <w:name w:val="Comment Subject Char"/>
    <w:basedOn w:val="CommentTextChar"/>
    <w:link w:val="CommentSubject"/>
    <w:uiPriority w:val="99"/>
    <w:semiHidden/>
    <w:rsid w:val="00983D01"/>
    <w:rPr>
      <w:rFonts w:eastAsia="Times New Roman" w:cs="Times New Roman"/>
      <w:b/>
      <w:bCs/>
      <w:sz w:val="20"/>
      <w:szCs w:val="20"/>
    </w:rPr>
  </w:style>
  <w:style w:type="paragraph" w:customStyle="1" w:styleId="Head1-nonumber">
    <w:name w:val="Head 1 -  no number"/>
    <w:basedOn w:val="Heading1"/>
    <w:qFormat/>
    <w:rsid w:val="003D17D6"/>
    <w:pPr>
      <w:numPr>
        <w:numId w:val="0"/>
      </w:numPr>
    </w:pPr>
  </w:style>
  <w:style w:type="paragraph" w:customStyle="1" w:styleId="Monthborder">
    <w:name w:val="Month border"/>
    <w:basedOn w:val="Normal"/>
    <w:qFormat/>
    <w:rsid w:val="003D17D6"/>
    <w:pPr>
      <w:pBdr>
        <w:bottom w:val="single" w:sz="6" w:space="1" w:color="auto"/>
      </w:pBdr>
      <w:jc w:val="right"/>
    </w:pPr>
  </w:style>
  <w:style w:type="paragraph" w:customStyle="1" w:styleId="Head3-nonumber">
    <w:name w:val="Head 3 - no number"/>
    <w:basedOn w:val="Heading3"/>
    <w:qFormat/>
    <w:rsid w:val="003D17D6"/>
    <w:pPr>
      <w:numPr>
        <w:ilvl w:val="0"/>
        <w:numId w:val="0"/>
      </w:numPr>
    </w:pPr>
  </w:style>
  <w:style w:type="paragraph" w:customStyle="1" w:styleId="FootnotetextNHC">
    <w:name w:val="Footnote text NHC"/>
    <w:basedOn w:val="Footer"/>
    <w:qFormat/>
    <w:rsid w:val="003D17D6"/>
    <w:rPr>
      <w:color w:val="23532C"/>
      <w:sz w:val="18"/>
    </w:rPr>
  </w:style>
  <w:style w:type="paragraph" w:customStyle="1" w:styleId="Referencelist">
    <w:name w:val="Reference list"/>
    <w:basedOn w:val="ListParagraph"/>
    <w:qFormat/>
    <w:rsid w:val="003D17D6"/>
    <w:pPr>
      <w:numPr>
        <w:numId w:val="0"/>
      </w:numPr>
      <w:spacing w:after="80" w:line="276" w:lineRule="auto"/>
      <w:ind w:left="357" w:hanging="357"/>
    </w:pPr>
    <w:rPr>
      <w:sz w:val="20"/>
    </w:rPr>
  </w:style>
  <w:style w:type="character" w:customStyle="1" w:styleId="Heading4Char">
    <w:name w:val="Heading 4 Char"/>
    <w:basedOn w:val="DefaultParagraphFont"/>
    <w:link w:val="Heading4"/>
    <w:uiPriority w:val="9"/>
    <w:semiHidden/>
    <w:rsid w:val="003D17D6"/>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3D17D6"/>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3D17D6"/>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3D17D6"/>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3D17D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D17D6"/>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3D17D6"/>
    <w:pPr>
      <w:spacing w:before="360" w:after="360"/>
    </w:pPr>
    <w:rPr>
      <w:rFonts w:eastAsiaTheme="majorEastAsia" w:cstheme="majorBidi"/>
      <w:b/>
      <w:color w:val="23532C"/>
      <w:sz w:val="32"/>
      <w:szCs w:val="32"/>
    </w:rPr>
  </w:style>
  <w:style w:type="character" w:customStyle="1" w:styleId="SubtitleChar">
    <w:name w:val="Subtitle Char"/>
    <w:basedOn w:val="DefaultParagraphFont"/>
    <w:link w:val="Subtitle"/>
    <w:uiPriority w:val="11"/>
    <w:rsid w:val="003D17D6"/>
    <w:rPr>
      <w:rFonts w:ascii="Arial" w:eastAsiaTheme="majorEastAsia" w:hAnsi="Arial" w:cstheme="majorBidi"/>
      <w:b/>
      <w:color w:val="23532C"/>
      <w:sz w:val="32"/>
      <w:szCs w:val="32"/>
    </w:rPr>
  </w:style>
  <w:style w:type="character" w:customStyle="1" w:styleId="NoSpacingChar">
    <w:name w:val="No Spacing Char"/>
    <w:basedOn w:val="DefaultParagraphFont"/>
    <w:link w:val="NoSpacing"/>
    <w:uiPriority w:val="1"/>
    <w:rsid w:val="003D17D6"/>
    <w:rPr>
      <w:rFonts w:ascii="Arial" w:hAnsi="Arial"/>
      <w:sz w:val="22"/>
      <w:szCs w:val="24"/>
    </w:rPr>
  </w:style>
  <w:style w:type="paragraph" w:styleId="Revision">
    <w:name w:val="Revision"/>
    <w:hidden/>
    <w:uiPriority w:val="99"/>
    <w:semiHidden/>
    <w:rsid w:val="00C13C0B"/>
    <w:rPr>
      <w:rFonts w:ascii="Arial" w:hAnsi="Arial"/>
      <w:sz w:val="22"/>
      <w:szCs w:val="24"/>
    </w:rPr>
  </w:style>
  <w:style w:type="table" w:styleId="TableGrid">
    <w:name w:val="Table Grid"/>
    <w:basedOn w:val="TableNormal"/>
    <w:uiPriority w:val="59"/>
    <w:rsid w:val="00CC1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9"/>
    <w:rsid w:val="0025374C"/>
    <w:rPr>
      <w:rFonts w:ascii="Arial" w:eastAsiaTheme="minorHAnsi" w:hAnsi="Arial" w:cstheme="minorBidi"/>
      <w:sz w:val="24"/>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FollowedHyperlink">
    <w:name w:val="FollowedHyperlink"/>
    <w:basedOn w:val="DefaultParagraphFont"/>
    <w:uiPriority w:val="99"/>
    <w:semiHidden/>
    <w:unhideWhenUsed/>
    <w:rsid w:val="00907C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D17D6"/>
    <w:pPr>
      <w:spacing w:after="220" w:line="360" w:lineRule="auto"/>
    </w:pPr>
    <w:rPr>
      <w:rFonts w:ascii="Arial" w:hAnsi="Arial"/>
      <w:sz w:val="22"/>
      <w:szCs w:val="24"/>
    </w:rPr>
  </w:style>
  <w:style w:type="paragraph" w:styleId="Heading1">
    <w:name w:val="heading 1"/>
    <w:basedOn w:val="Normal"/>
    <w:next w:val="Normal"/>
    <w:link w:val="Heading1Char"/>
    <w:autoRedefine/>
    <w:qFormat/>
    <w:rsid w:val="003D17D6"/>
    <w:pPr>
      <w:numPr>
        <w:numId w:val="18"/>
      </w:numPr>
      <w:spacing w:before="280" w:after="280" w:line="240" w:lineRule="auto"/>
      <w:outlineLvl w:val="0"/>
    </w:pPr>
    <w:rPr>
      <w:rFonts w:eastAsiaTheme="majorEastAsia" w:cs="Arial"/>
      <w:b/>
      <w:bCs/>
      <w:color w:val="23532C"/>
      <w:sz w:val="32"/>
      <w:szCs w:val="32"/>
      <w:lang w:val="en-GB" w:eastAsia="en-GB"/>
    </w:rPr>
  </w:style>
  <w:style w:type="paragraph" w:styleId="Heading2">
    <w:name w:val="heading 2"/>
    <w:basedOn w:val="Normal"/>
    <w:next w:val="Normal"/>
    <w:link w:val="Heading2Char"/>
    <w:autoRedefine/>
    <w:qFormat/>
    <w:rsid w:val="00E222C2"/>
    <w:pPr>
      <w:keepNext/>
      <w:numPr>
        <w:ilvl w:val="1"/>
        <w:numId w:val="18"/>
      </w:numPr>
      <w:spacing w:before="240" w:after="240" w:line="240" w:lineRule="auto"/>
      <w:outlineLvl w:val="1"/>
    </w:pPr>
    <w:rPr>
      <w:rFonts w:eastAsiaTheme="majorEastAsia" w:cs="Arial"/>
      <w:b/>
      <w:bCs/>
      <w:iCs/>
      <w:color w:val="23532C"/>
      <w:sz w:val="24"/>
      <w:lang w:val="en-GB" w:eastAsia="en-GB"/>
    </w:rPr>
  </w:style>
  <w:style w:type="paragraph" w:styleId="Heading3">
    <w:name w:val="heading 3"/>
    <w:basedOn w:val="Normal"/>
    <w:next w:val="Normal"/>
    <w:link w:val="Heading3Char"/>
    <w:qFormat/>
    <w:rsid w:val="003D17D6"/>
    <w:pPr>
      <w:keepNext/>
      <w:numPr>
        <w:ilvl w:val="2"/>
        <w:numId w:val="18"/>
      </w:numPr>
      <w:spacing w:before="220" w:line="240" w:lineRule="auto"/>
      <w:outlineLvl w:val="2"/>
    </w:pPr>
    <w:rPr>
      <w:rFonts w:eastAsiaTheme="majorEastAsia" w:cs="Arial"/>
      <w:bCs/>
      <w:i/>
      <w:szCs w:val="26"/>
    </w:rPr>
  </w:style>
  <w:style w:type="paragraph" w:styleId="Heading4">
    <w:name w:val="heading 4"/>
    <w:basedOn w:val="Normal"/>
    <w:next w:val="Normal"/>
    <w:link w:val="Heading4Char"/>
    <w:uiPriority w:val="9"/>
    <w:semiHidden/>
    <w:unhideWhenUsed/>
    <w:qFormat/>
    <w:rsid w:val="003D17D6"/>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17D6"/>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D17D6"/>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D17D6"/>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17D6"/>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17D6"/>
    <w:pPr>
      <w:keepNext/>
      <w:keepLines/>
      <w:numPr>
        <w:ilvl w:val="8"/>
        <w:numId w:val="6"/>
      </w:numPr>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7D6"/>
    <w:rPr>
      <w:rFonts w:ascii="Arial" w:eastAsiaTheme="majorEastAsia" w:hAnsi="Arial" w:cs="Arial"/>
      <w:b/>
      <w:bCs/>
      <w:color w:val="23532C"/>
      <w:sz w:val="32"/>
      <w:szCs w:val="32"/>
      <w:lang w:val="en-GB" w:eastAsia="en-GB"/>
    </w:rPr>
  </w:style>
  <w:style w:type="character" w:customStyle="1" w:styleId="Heading2Char">
    <w:name w:val="Heading 2 Char"/>
    <w:basedOn w:val="DefaultParagraphFont"/>
    <w:link w:val="Heading2"/>
    <w:rsid w:val="00E222C2"/>
    <w:rPr>
      <w:rFonts w:ascii="Arial" w:eastAsiaTheme="majorEastAsia" w:hAnsi="Arial" w:cs="Arial"/>
      <w:b/>
      <w:bCs/>
      <w:iCs/>
      <w:color w:val="23532C"/>
      <w:sz w:val="24"/>
      <w:szCs w:val="24"/>
      <w:lang w:val="en-GB" w:eastAsia="en-GB"/>
    </w:rPr>
  </w:style>
  <w:style w:type="character" w:customStyle="1" w:styleId="Heading3Char">
    <w:name w:val="Heading 3 Char"/>
    <w:basedOn w:val="DefaultParagraphFont"/>
    <w:link w:val="Heading3"/>
    <w:rsid w:val="003D17D6"/>
    <w:rPr>
      <w:rFonts w:ascii="Arial" w:eastAsiaTheme="majorEastAsia" w:hAnsi="Arial" w:cs="Arial"/>
      <w:bCs/>
      <w:i/>
      <w:sz w:val="22"/>
      <w:szCs w:val="26"/>
    </w:rPr>
  </w:style>
  <w:style w:type="character" w:styleId="Hyperlink">
    <w:name w:val="Hyperlink"/>
    <w:uiPriority w:val="99"/>
    <w:rsid w:val="000B1B60"/>
    <w:rPr>
      <w:color w:val="0000FF"/>
      <w:u w:val="single"/>
    </w:rPr>
  </w:style>
  <w:style w:type="paragraph" w:styleId="Header">
    <w:name w:val="header"/>
    <w:basedOn w:val="Normal"/>
    <w:link w:val="HeaderChar"/>
    <w:rsid w:val="000B1B60"/>
  </w:style>
  <w:style w:type="character" w:customStyle="1" w:styleId="HeaderChar">
    <w:name w:val="Header Char"/>
    <w:basedOn w:val="DefaultParagraphFont"/>
    <w:link w:val="Header"/>
    <w:rsid w:val="000B1B60"/>
    <w:rPr>
      <w:rFonts w:eastAsia="Times New Roman" w:cs="Times New Roman"/>
      <w:sz w:val="22"/>
      <w:szCs w:val="24"/>
    </w:rPr>
  </w:style>
  <w:style w:type="paragraph" w:styleId="Footer">
    <w:name w:val="footer"/>
    <w:basedOn w:val="Normal"/>
    <w:link w:val="FooterChar"/>
    <w:rsid w:val="000B1B60"/>
    <w:pPr>
      <w:tabs>
        <w:tab w:val="right" w:pos="8647"/>
        <w:tab w:val="right" w:pos="9356"/>
      </w:tabs>
    </w:pPr>
    <w:rPr>
      <w:color w:val="002B7F"/>
    </w:rPr>
  </w:style>
  <w:style w:type="character" w:customStyle="1" w:styleId="FooterChar">
    <w:name w:val="Footer Char"/>
    <w:basedOn w:val="DefaultParagraphFont"/>
    <w:link w:val="Footer"/>
    <w:rsid w:val="000B1B60"/>
    <w:rPr>
      <w:rFonts w:eastAsia="Times New Roman" w:cs="Times New Roman"/>
      <w:color w:val="002B7F"/>
      <w:sz w:val="22"/>
      <w:szCs w:val="24"/>
    </w:rPr>
  </w:style>
  <w:style w:type="paragraph" w:customStyle="1" w:styleId="Figure">
    <w:name w:val="Figure"/>
    <w:basedOn w:val="Normal"/>
    <w:next w:val="Normal"/>
    <w:rsid w:val="000B1B60"/>
    <w:pPr>
      <w:keepNext/>
      <w:pBdr>
        <w:top w:val="single" w:sz="18" w:space="6" w:color="23532C"/>
      </w:pBdr>
      <w:spacing w:before="120" w:after="120"/>
    </w:pPr>
    <w:rPr>
      <w:b/>
      <w:color w:val="23532C"/>
      <w:sz w:val="18"/>
      <w:szCs w:val="18"/>
    </w:rPr>
  </w:style>
  <w:style w:type="paragraph" w:customStyle="1" w:styleId="Bullet">
    <w:name w:val="Bullet"/>
    <w:basedOn w:val="ListParagraph"/>
    <w:qFormat/>
    <w:rsid w:val="003D17D6"/>
    <w:pPr>
      <w:numPr>
        <w:numId w:val="20"/>
      </w:numPr>
      <w:spacing w:after="80"/>
    </w:pPr>
  </w:style>
  <w:style w:type="character" w:styleId="PageNumber">
    <w:name w:val="page number"/>
    <w:rsid w:val="000B1B60"/>
    <w:rPr>
      <w:sz w:val="24"/>
    </w:rPr>
  </w:style>
  <w:style w:type="paragraph" w:customStyle="1" w:styleId="TableText">
    <w:name w:val="TableText"/>
    <w:basedOn w:val="Normal"/>
    <w:rsid w:val="000B1B60"/>
    <w:pPr>
      <w:spacing w:before="80" w:after="80"/>
    </w:pPr>
  </w:style>
  <w:style w:type="paragraph" w:customStyle="1" w:styleId="Source">
    <w:name w:val="Source"/>
    <w:basedOn w:val="Normal"/>
    <w:next w:val="Normal"/>
    <w:rsid w:val="000B1B60"/>
    <w:pPr>
      <w:pBdr>
        <w:bottom w:val="single" w:sz="18" w:space="6" w:color="808080"/>
      </w:pBdr>
    </w:pPr>
    <w:rPr>
      <w:sz w:val="18"/>
    </w:rPr>
  </w:style>
  <w:style w:type="paragraph" w:styleId="ListParagraph">
    <w:name w:val="List Paragraph"/>
    <w:basedOn w:val="Normal"/>
    <w:next w:val="Normal"/>
    <w:autoRedefine/>
    <w:qFormat/>
    <w:rsid w:val="003D17D6"/>
    <w:pPr>
      <w:numPr>
        <w:numId w:val="19"/>
      </w:numPr>
      <w:autoSpaceDE w:val="0"/>
      <w:autoSpaceDN w:val="0"/>
      <w:adjustRightInd w:val="0"/>
      <w:spacing w:before="80" w:after="120"/>
    </w:pPr>
    <w:rPr>
      <w:lang w:val="en-GB" w:eastAsia="en-GB"/>
    </w:rPr>
  </w:style>
  <w:style w:type="paragraph" w:styleId="Caption">
    <w:name w:val="caption"/>
    <w:basedOn w:val="Normal"/>
    <w:next w:val="Normal"/>
    <w:autoRedefine/>
    <w:unhideWhenUsed/>
    <w:qFormat/>
    <w:rsid w:val="003D17D6"/>
    <w:pPr>
      <w:pBdr>
        <w:top w:val="single" w:sz="18" w:space="1" w:color="23532C"/>
      </w:pBdr>
      <w:spacing w:after="280" w:line="240" w:lineRule="auto"/>
    </w:pPr>
    <w:rPr>
      <w:rFonts w:eastAsiaTheme="minorEastAsia"/>
      <w:b/>
      <w:bCs/>
      <w:color w:val="23532C"/>
      <w:sz w:val="18"/>
      <w:szCs w:val="20"/>
      <w:lang w:val="en-GB" w:eastAsia="en-GB"/>
    </w:rPr>
  </w:style>
  <w:style w:type="paragraph" w:styleId="Title">
    <w:name w:val="Title"/>
    <w:basedOn w:val="Normal"/>
    <w:next w:val="Normal"/>
    <w:link w:val="TitleChar"/>
    <w:autoRedefine/>
    <w:uiPriority w:val="10"/>
    <w:qFormat/>
    <w:rsid w:val="003D17D6"/>
    <w:pPr>
      <w:spacing w:before="360" w:after="360"/>
    </w:pPr>
    <w:rPr>
      <w:rFonts w:eastAsiaTheme="majorEastAsia" w:cstheme="majorBidi"/>
      <w:b/>
      <w:color w:val="23532C"/>
      <w:sz w:val="44"/>
      <w:szCs w:val="44"/>
    </w:rPr>
  </w:style>
  <w:style w:type="character" w:customStyle="1" w:styleId="TitleChar">
    <w:name w:val="Title Char"/>
    <w:basedOn w:val="DefaultParagraphFont"/>
    <w:link w:val="Title"/>
    <w:uiPriority w:val="10"/>
    <w:rsid w:val="003D17D6"/>
    <w:rPr>
      <w:rFonts w:ascii="Arial" w:eastAsiaTheme="majorEastAsia" w:hAnsi="Arial" w:cstheme="majorBidi"/>
      <w:b/>
      <w:color w:val="23532C"/>
      <w:sz w:val="44"/>
      <w:szCs w:val="44"/>
    </w:rPr>
  </w:style>
  <w:style w:type="paragraph" w:styleId="NoSpacing">
    <w:name w:val="No Spacing"/>
    <w:link w:val="NoSpacingChar"/>
    <w:uiPriority w:val="1"/>
    <w:qFormat/>
    <w:rsid w:val="003D17D6"/>
    <w:rPr>
      <w:rFonts w:ascii="Arial" w:hAnsi="Arial"/>
      <w:sz w:val="22"/>
      <w:szCs w:val="24"/>
    </w:rPr>
  </w:style>
  <w:style w:type="paragraph" w:styleId="TOCHeading">
    <w:name w:val="TOC Heading"/>
    <w:basedOn w:val="Heading1"/>
    <w:next w:val="Normal"/>
    <w:uiPriority w:val="39"/>
    <w:semiHidden/>
    <w:unhideWhenUsed/>
    <w:qFormat/>
    <w:rsid w:val="003D17D6"/>
    <w:pPr>
      <w:keepNext/>
      <w:keepLines/>
      <w:numPr>
        <w:numId w:val="0"/>
      </w:numPr>
      <w:spacing w:line="276" w:lineRule="auto"/>
      <w:outlineLvl w:val="9"/>
    </w:pPr>
    <w:rPr>
      <w:rFonts w:cstheme="majorBidi"/>
      <w:sz w:val="28"/>
      <w:szCs w:val="28"/>
      <w:lang w:val="en-US" w:eastAsia="ja-JP"/>
    </w:rPr>
  </w:style>
  <w:style w:type="paragraph" w:styleId="TOC1">
    <w:name w:val="toc 1"/>
    <w:basedOn w:val="Normal"/>
    <w:next w:val="Normal"/>
    <w:autoRedefine/>
    <w:uiPriority w:val="39"/>
    <w:unhideWhenUsed/>
    <w:rsid w:val="000B1B60"/>
    <w:pPr>
      <w:spacing w:after="100"/>
    </w:pPr>
  </w:style>
  <w:style w:type="paragraph" w:styleId="TOC2">
    <w:name w:val="toc 2"/>
    <w:basedOn w:val="Normal"/>
    <w:next w:val="Normal"/>
    <w:autoRedefine/>
    <w:uiPriority w:val="39"/>
    <w:unhideWhenUsed/>
    <w:rsid w:val="000B1B60"/>
    <w:pPr>
      <w:spacing w:after="100"/>
      <w:ind w:left="220"/>
    </w:pPr>
  </w:style>
  <w:style w:type="paragraph" w:styleId="BalloonText">
    <w:name w:val="Balloon Text"/>
    <w:basedOn w:val="Normal"/>
    <w:link w:val="BalloonTextChar"/>
    <w:uiPriority w:val="99"/>
    <w:semiHidden/>
    <w:unhideWhenUsed/>
    <w:rsid w:val="000B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B60"/>
    <w:rPr>
      <w:rFonts w:ascii="Tahoma" w:eastAsia="Times New Roman" w:hAnsi="Tahoma" w:cs="Tahoma"/>
      <w:sz w:val="16"/>
      <w:szCs w:val="16"/>
    </w:rPr>
  </w:style>
  <w:style w:type="paragraph" w:styleId="FootnoteText">
    <w:name w:val="footnote text"/>
    <w:basedOn w:val="Normal"/>
    <w:link w:val="FootnoteTextChar"/>
    <w:semiHidden/>
    <w:qFormat/>
    <w:rsid w:val="003D17D6"/>
    <w:pPr>
      <w:spacing w:before="60"/>
      <w:ind w:left="284" w:hanging="284"/>
    </w:pPr>
    <w:rPr>
      <w:sz w:val="18"/>
      <w:szCs w:val="20"/>
    </w:rPr>
  </w:style>
  <w:style w:type="character" w:customStyle="1" w:styleId="FootnoteTextChar">
    <w:name w:val="Footnote Text Char"/>
    <w:link w:val="FootnoteText"/>
    <w:semiHidden/>
    <w:rsid w:val="003D17D6"/>
    <w:rPr>
      <w:rFonts w:ascii="Arial" w:hAnsi="Arial"/>
      <w:sz w:val="18"/>
    </w:rPr>
  </w:style>
  <w:style w:type="character" w:styleId="FootnoteReference">
    <w:name w:val="footnote reference"/>
    <w:basedOn w:val="DefaultParagraphFont"/>
    <w:uiPriority w:val="99"/>
    <w:semiHidden/>
    <w:unhideWhenUsed/>
    <w:rsid w:val="008952DA"/>
    <w:rPr>
      <w:vertAlign w:val="superscript"/>
    </w:rPr>
  </w:style>
  <w:style w:type="table" w:styleId="MediumGrid1-Accent3">
    <w:name w:val="Medium Grid 1 Accent 3"/>
    <w:basedOn w:val="TableNormal"/>
    <w:uiPriority w:val="67"/>
    <w:rsid w:val="008952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NormalWeb">
    <w:name w:val="Normal (Web)"/>
    <w:basedOn w:val="Normal"/>
    <w:uiPriority w:val="99"/>
    <w:semiHidden/>
    <w:unhideWhenUsed/>
    <w:rsid w:val="008952DA"/>
    <w:pPr>
      <w:spacing w:before="100" w:beforeAutospacing="1" w:after="100" w:afterAutospacing="1" w:line="240" w:lineRule="auto"/>
    </w:pPr>
    <w:rPr>
      <w:rFonts w:ascii="Times New Roman" w:eastAsiaTheme="minorEastAsia" w:hAnsi="Times New Roman"/>
      <w:sz w:val="24"/>
      <w:lang w:eastAsia="en-NZ"/>
    </w:rPr>
  </w:style>
  <w:style w:type="character" w:styleId="Strong">
    <w:name w:val="Strong"/>
    <w:basedOn w:val="DefaultParagraphFont"/>
    <w:uiPriority w:val="22"/>
    <w:rsid w:val="00B05883"/>
    <w:rPr>
      <w:b/>
      <w:bCs/>
    </w:rPr>
  </w:style>
  <w:style w:type="table" w:styleId="LightGrid-Accent3">
    <w:name w:val="Light Grid Accent 3"/>
    <w:basedOn w:val="TableNormal"/>
    <w:uiPriority w:val="62"/>
    <w:rsid w:val="00B0588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B0588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6D219E"/>
    <w:pPr>
      <w:spacing w:after="100"/>
      <w:ind w:left="440"/>
    </w:pPr>
  </w:style>
  <w:style w:type="table" w:styleId="LightList-Accent3">
    <w:name w:val="Light List Accent 3"/>
    <w:basedOn w:val="TableNormal"/>
    <w:uiPriority w:val="61"/>
    <w:rsid w:val="00E17D2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SourceCaption">
    <w:name w:val="Source Caption"/>
    <w:basedOn w:val="Normal"/>
    <w:next w:val="Normal"/>
    <w:qFormat/>
    <w:rsid w:val="003D17D6"/>
    <w:pPr>
      <w:keepNext/>
      <w:pBdr>
        <w:bottom w:val="single" w:sz="18" w:space="1" w:color="23532C"/>
      </w:pBdr>
      <w:spacing w:before="120" w:after="120"/>
    </w:pPr>
    <w:rPr>
      <w:color w:val="23532C"/>
      <w:sz w:val="18"/>
      <w:szCs w:val="18"/>
    </w:rPr>
  </w:style>
  <w:style w:type="paragraph" w:customStyle="1" w:styleId="Head2nonumber">
    <w:name w:val="Head 2 no number"/>
    <w:basedOn w:val="Heading2"/>
    <w:qFormat/>
    <w:rsid w:val="003D17D6"/>
    <w:pPr>
      <w:numPr>
        <w:ilvl w:val="0"/>
        <w:numId w:val="0"/>
      </w:numPr>
    </w:pPr>
  </w:style>
  <w:style w:type="character" w:styleId="CommentReference">
    <w:name w:val="annotation reference"/>
    <w:basedOn w:val="DefaultParagraphFont"/>
    <w:uiPriority w:val="99"/>
    <w:semiHidden/>
    <w:unhideWhenUsed/>
    <w:rsid w:val="00983D01"/>
    <w:rPr>
      <w:sz w:val="16"/>
      <w:szCs w:val="16"/>
    </w:rPr>
  </w:style>
  <w:style w:type="paragraph" w:styleId="CommentText">
    <w:name w:val="annotation text"/>
    <w:basedOn w:val="Normal"/>
    <w:link w:val="CommentTextChar"/>
    <w:uiPriority w:val="99"/>
    <w:semiHidden/>
    <w:unhideWhenUsed/>
    <w:rsid w:val="00983D01"/>
    <w:pPr>
      <w:spacing w:line="240" w:lineRule="auto"/>
    </w:pPr>
    <w:rPr>
      <w:sz w:val="20"/>
      <w:szCs w:val="20"/>
    </w:rPr>
  </w:style>
  <w:style w:type="character" w:customStyle="1" w:styleId="CommentTextChar">
    <w:name w:val="Comment Text Char"/>
    <w:basedOn w:val="DefaultParagraphFont"/>
    <w:link w:val="CommentText"/>
    <w:uiPriority w:val="99"/>
    <w:semiHidden/>
    <w:rsid w:val="00983D0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D01"/>
    <w:rPr>
      <w:b/>
      <w:bCs/>
    </w:rPr>
  </w:style>
  <w:style w:type="character" w:customStyle="1" w:styleId="CommentSubjectChar">
    <w:name w:val="Comment Subject Char"/>
    <w:basedOn w:val="CommentTextChar"/>
    <w:link w:val="CommentSubject"/>
    <w:uiPriority w:val="99"/>
    <w:semiHidden/>
    <w:rsid w:val="00983D01"/>
    <w:rPr>
      <w:rFonts w:eastAsia="Times New Roman" w:cs="Times New Roman"/>
      <w:b/>
      <w:bCs/>
      <w:sz w:val="20"/>
      <w:szCs w:val="20"/>
    </w:rPr>
  </w:style>
  <w:style w:type="paragraph" w:customStyle="1" w:styleId="Head1-nonumber">
    <w:name w:val="Head 1 -  no number"/>
    <w:basedOn w:val="Heading1"/>
    <w:qFormat/>
    <w:rsid w:val="003D17D6"/>
    <w:pPr>
      <w:numPr>
        <w:numId w:val="0"/>
      </w:numPr>
    </w:pPr>
  </w:style>
  <w:style w:type="paragraph" w:customStyle="1" w:styleId="Monthborder">
    <w:name w:val="Month border"/>
    <w:basedOn w:val="Normal"/>
    <w:qFormat/>
    <w:rsid w:val="003D17D6"/>
    <w:pPr>
      <w:pBdr>
        <w:bottom w:val="single" w:sz="6" w:space="1" w:color="auto"/>
      </w:pBdr>
      <w:jc w:val="right"/>
    </w:pPr>
  </w:style>
  <w:style w:type="paragraph" w:customStyle="1" w:styleId="Head3-nonumber">
    <w:name w:val="Head 3 - no number"/>
    <w:basedOn w:val="Heading3"/>
    <w:qFormat/>
    <w:rsid w:val="003D17D6"/>
    <w:pPr>
      <w:numPr>
        <w:ilvl w:val="0"/>
        <w:numId w:val="0"/>
      </w:numPr>
    </w:pPr>
  </w:style>
  <w:style w:type="paragraph" w:customStyle="1" w:styleId="FootnotetextNHC">
    <w:name w:val="Footnote text NHC"/>
    <w:basedOn w:val="Footer"/>
    <w:qFormat/>
    <w:rsid w:val="003D17D6"/>
    <w:rPr>
      <w:color w:val="23532C"/>
      <w:sz w:val="18"/>
    </w:rPr>
  </w:style>
  <w:style w:type="paragraph" w:customStyle="1" w:styleId="Referencelist">
    <w:name w:val="Reference list"/>
    <w:basedOn w:val="ListParagraph"/>
    <w:qFormat/>
    <w:rsid w:val="003D17D6"/>
    <w:pPr>
      <w:numPr>
        <w:numId w:val="0"/>
      </w:numPr>
      <w:spacing w:after="80" w:line="276" w:lineRule="auto"/>
      <w:ind w:left="357" w:hanging="357"/>
    </w:pPr>
    <w:rPr>
      <w:sz w:val="20"/>
    </w:rPr>
  </w:style>
  <w:style w:type="character" w:customStyle="1" w:styleId="Heading4Char">
    <w:name w:val="Heading 4 Char"/>
    <w:basedOn w:val="DefaultParagraphFont"/>
    <w:link w:val="Heading4"/>
    <w:uiPriority w:val="9"/>
    <w:semiHidden/>
    <w:rsid w:val="003D17D6"/>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3D17D6"/>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3D17D6"/>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3D17D6"/>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3D17D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D17D6"/>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3D17D6"/>
    <w:pPr>
      <w:spacing w:before="360" w:after="360"/>
    </w:pPr>
    <w:rPr>
      <w:rFonts w:eastAsiaTheme="majorEastAsia" w:cstheme="majorBidi"/>
      <w:b/>
      <w:color w:val="23532C"/>
      <w:sz w:val="32"/>
      <w:szCs w:val="32"/>
    </w:rPr>
  </w:style>
  <w:style w:type="character" w:customStyle="1" w:styleId="SubtitleChar">
    <w:name w:val="Subtitle Char"/>
    <w:basedOn w:val="DefaultParagraphFont"/>
    <w:link w:val="Subtitle"/>
    <w:uiPriority w:val="11"/>
    <w:rsid w:val="003D17D6"/>
    <w:rPr>
      <w:rFonts w:ascii="Arial" w:eastAsiaTheme="majorEastAsia" w:hAnsi="Arial" w:cstheme="majorBidi"/>
      <w:b/>
      <w:color w:val="23532C"/>
      <w:sz w:val="32"/>
      <w:szCs w:val="32"/>
    </w:rPr>
  </w:style>
  <w:style w:type="character" w:customStyle="1" w:styleId="NoSpacingChar">
    <w:name w:val="No Spacing Char"/>
    <w:basedOn w:val="DefaultParagraphFont"/>
    <w:link w:val="NoSpacing"/>
    <w:uiPriority w:val="1"/>
    <w:rsid w:val="003D17D6"/>
    <w:rPr>
      <w:rFonts w:ascii="Arial" w:hAnsi="Arial"/>
      <w:sz w:val="22"/>
      <w:szCs w:val="24"/>
    </w:rPr>
  </w:style>
  <w:style w:type="paragraph" w:styleId="Revision">
    <w:name w:val="Revision"/>
    <w:hidden/>
    <w:uiPriority w:val="99"/>
    <w:semiHidden/>
    <w:rsid w:val="00C13C0B"/>
    <w:rPr>
      <w:rFonts w:ascii="Arial" w:hAnsi="Arial"/>
      <w:sz w:val="22"/>
      <w:szCs w:val="24"/>
    </w:rPr>
  </w:style>
  <w:style w:type="table" w:styleId="TableGrid">
    <w:name w:val="Table Grid"/>
    <w:basedOn w:val="TableNormal"/>
    <w:uiPriority w:val="59"/>
    <w:rsid w:val="00CC1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9"/>
    <w:rsid w:val="0025374C"/>
    <w:rPr>
      <w:rFonts w:ascii="Arial" w:eastAsiaTheme="minorHAnsi" w:hAnsi="Arial" w:cstheme="minorBidi"/>
      <w:sz w:val="24"/>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FollowedHyperlink">
    <w:name w:val="FollowedHyperlink"/>
    <w:basedOn w:val="DefaultParagraphFont"/>
    <w:uiPriority w:val="99"/>
    <w:semiHidden/>
    <w:unhideWhenUsed/>
    <w:rsid w:val="00907C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3">
      <w:bodyDiv w:val="1"/>
      <w:marLeft w:val="0"/>
      <w:marRight w:val="0"/>
      <w:marTop w:val="0"/>
      <w:marBottom w:val="0"/>
      <w:divBdr>
        <w:top w:val="none" w:sz="0" w:space="0" w:color="auto"/>
        <w:left w:val="none" w:sz="0" w:space="0" w:color="auto"/>
        <w:bottom w:val="none" w:sz="0" w:space="0" w:color="auto"/>
        <w:right w:val="none" w:sz="0" w:space="0" w:color="auto"/>
      </w:divBdr>
    </w:div>
    <w:div w:id="58291778">
      <w:bodyDiv w:val="1"/>
      <w:marLeft w:val="0"/>
      <w:marRight w:val="0"/>
      <w:marTop w:val="0"/>
      <w:marBottom w:val="0"/>
      <w:divBdr>
        <w:top w:val="none" w:sz="0" w:space="0" w:color="auto"/>
        <w:left w:val="none" w:sz="0" w:space="0" w:color="auto"/>
        <w:bottom w:val="none" w:sz="0" w:space="0" w:color="auto"/>
        <w:right w:val="none" w:sz="0" w:space="0" w:color="auto"/>
      </w:divBdr>
    </w:div>
    <w:div w:id="350766485">
      <w:bodyDiv w:val="1"/>
      <w:marLeft w:val="0"/>
      <w:marRight w:val="0"/>
      <w:marTop w:val="0"/>
      <w:marBottom w:val="0"/>
      <w:divBdr>
        <w:top w:val="none" w:sz="0" w:space="0" w:color="auto"/>
        <w:left w:val="none" w:sz="0" w:space="0" w:color="auto"/>
        <w:bottom w:val="none" w:sz="0" w:space="0" w:color="auto"/>
        <w:right w:val="none" w:sz="0" w:space="0" w:color="auto"/>
      </w:divBdr>
    </w:div>
    <w:div w:id="417673038">
      <w:bodyDiv w:val="1"/>
      <w:marLeft w:val="0"/>
      <w:marRight w:val="0"/>
      <w:marTop w:val="0"/>
      <w:marBottom w:val="0"/>
      <w:divBdr>
        <w:top w:val="none" w:sz="0" w:space="0" w:color="auto"/>
        <w:left w:val="none" w:sz="0" w:space="0" w:color="auto"/>
        <w:bottom w:val="none" w:sz="0" w:space="0" w:color="auto"/>
        <w:right w:val="none" w:sz="0" w:space="0" w:color="auto"/>
      </w:divBdr>
    </w:div>
    <w:div w:id="618993399">
      <w:bodyDiv w:val="1"/>
      <w:marLeft w:val="0"/>
      <w:marRight w:val="0"/>
      <w:marTop w:val="0"/>
      <w:marBottom w:val="0"/>
      <w:divBdr>
        <w:top w:val="none" w:sz="0" w:space="0" w:color="auto"/>
        <w:left w:val="none" w:sz="0" w:space="0" w:color="auto"/>
        <w:bottom w:val="none" w:sz="0" w:space="0" w:color="auto"/>
        <w:right w:val="none" w:sz="0" w:space="0" w:color="auto"/>
      </w:divBdr>
    </w:div>
    <w:div w:id="738286187">
      <w:bodyDiv w:val="1"/>
      <w:marLeft w:val="0"/>
      <w:marRight w:val="0"/>
      <w:marTop w:val="0"/>
      <w:marBottom w:val="0"/>
      <w:divBdr>
        <w:top w:val="none" w:sz="0" w:space="0" w:color="auto"/>
        <w:left w:val="none" w:sz="0" w:space="0" w:color="auto"/>
        <w:bottom w:val="none" w:sz="0" w:space="0" w:color="auto"/>
        <w:right w:val="none" w:sz="0" w:space="0" w:color="auto"/>
      </w:divBdr>
      <w:divsChild>
        <w:div w:id="197208398">
          <w:marLeft w:val="0"/>
          <w:marRight w:val="0"/>
          <w:marTop w:val="0"/>
          <w:marBottom w:val="0"/>
          <w:divBdr>
            <w:top w:val="none" w:sz="0" w:space="0" w:color="auto"/>
            <w:left w:val="none" w:sz="0" w:space="0" w:color="auto"/>
            <w:bottom w:val="none" w:sz="0" w:space="0" w:color="auto"/>
            <w:right w:val="none" w:sz="0" w:space="0" w:color="auto"/>
          </w:divBdr>
          <w:divsChild>
            <w:div w:id="1831168868">
              <w:marLeft w:val="0"/>
              <w:marRight w:val="0"/>
              <w:marTop w:val="0"/>
              <w:marBottom w:val="0"/>
              <w:divBdr>
                <w:top w:val="none" w:sz="0" w:space="0" w:color="auto"/>
                <w:left w:val="none" w:sz="0" w:space="0" w:color="auto"/>
                <w:bottom w:val="none" w:sz="0" w:space="0" w:color="auto"/>
                <w:right w:val="none" w:sz="0" w:space="0" w:color="auto"/>
              </w:divBdr>
              <w:divsChild>
                <w:div w:id="9532343">
                  <w:marLeft w:val="0"/>
                  <w:marRight w:val="0"/>
                  <w:marTop w:val="0"/>
                  <w:marBottom w:val="0"/>
                  <w:divBdr>
                    <w:top w:val="none" w:sz="0" w:space="0" w:color="auto"/>
                    <w:left w:val="none" w:sz="0" w:space="0" w:color="auto"/>
                    <w:bottom w:val="none" w:sz="0" w:space="0" w:color="auto"/>
                    <w:right w:val="none" w:sz="0" w:space="0" w:color="auto"/>
                  </w:divBdr>
                  <w:divsChild>
                    <w:div w:id="920871625">
                      <w:marLeft w:val="0"/>
                      <w:marRight w:val="0"/>
                      <w:marTop w:val="150"/>
                      <w:marBottom w:val="0"/>
                      <w:divBdr>
                        <w:top w:val="none" w:sz="0" w:space="0" w:color="auto"/>
                        <w:left w:val="none" w:sz="0" w:space="0" w:color="auto"/>
                        <w:bottom w:val="none" w:sz="0" w:space="0" w:color="auto"/>
                        <w:right w:val="none" w:sz="0" w:space="0" w:color="auto"/>
                      </w:divBdr>
                    </w:div>
                    <w:div w:id="1265577774">
                      <w:marLeft w:val="0"/>
                      <w:marRight w:val="0"/>
                      <w:marTop w:val="0"/>
                      <w:marBottom w:val="0"/>
                      <w:divBdr>
                        <w:top w:val="none" w:sz="0" w:space="0" w:color="auto"/>
                        <w:left w:val="none" w:sz="0" w:space="0" w:color="auto"/>
                        <w:bottom w:val="none" w:sz="0" w:space="0" w:color="auto"/>
                        <w:right w:val="none" w:sz="0" w:space="0" w:color="auto"/>
                      </w:divBdr>
                      <w:divsChild>
                        <w:div w:id="1904290470">
                          <w:marLeft w:val="0"/>
                          <w:marRight w:val="0"/>
                          <w:marTop w:val="0"/>
                          <w:marBottom w:val="0"/>
                          <w:divBdr>
                            <w:top w:val="none" w:sz="0" w:space="0" w:color="auto"/>
                            <w:left w:val="none" w:sz="0" w:space="0" w:color="auto"/>
                            <w:bottom w:val="none" w:sz="0" w:space="0" w:color="auto"/>
                            <w:right w:val="none" w:sz="0" w:space="0" w:color="auto"/>
                          </w:divBdr>
                        </w:div>
                        <w:div w:id="984627528">
                          <w:marLeft w:val="0"/>
                          <w:marRight w:val="0"/>
                          <w:marTop w:val="0"/>
                          <w:marBottom w:val="0"/>
                          <w:divBdr>
                            <w:top w:val="none" w:sz="0" w:space="0" w:color="auto"/>
                            <w:left w:val="none" w:sz="0" w:space="0" w:color="auto"/>
                            <w:bottom w:val="none" w:sz="0" w:space="0" w:color="auto"/>
                            <w:right w:val="none" w:sz="0" w:space="0" w:color="auto"/>
                          </w:divBdr>
                        </w:div>
                        <w:div w:id="423499317">
                          <w:marLeft w:val="0"/>
                          <w:marRight w:val="0"/>
                          <w:marTop w:val="0"/>
                          <w:marBottom w:val="0"/>
                          <w:divBdr>
                            <w:top w:val="none" w:sz="0" w:space="0" w:color="auto"/>
                            <w:left w:val="none" w:sz="0" w:space="0" w:color="auto"/>
                            <w:bottom w:val="none" w:sz="0" w:space="0" w:color="auto"/>
                            <w:right w:val="none" w:sz="0" w:space="0" w:color="auto"/>
                          </w:divBdr>
                        </w:div>
                        <w:div w:id="134571361">
                          <w:marLeft w:val="0"/>
                          <w:marRight w:val="0"/>
                          <w:marTop w:val="0"/>
                          <w:marBottom w:val="0"/>
                          <w:divBdr>
                            <w:top w:val="none" w:sz="0" w:space="0" w:color="auto"/>
                            <w:left w:val="none" w:sz="0" w:space="0" w:color="auto"/>
                            <w:bottom w:val="none" w:sz="0" w:space="0" w:color="auto"/>
                            <w:right w:val="none" w:sz="0" w:space="0" w:color="auto"/>
                          </w:divBdr>
                        </w:div>
                        <w:div w:id="1924684501">
                          <w:marLeft w:val="0"/>
                          <w:marRight w:val="0"/>
                          <w:marTop w:val="0"/>
                          <w:marBottom w:val="0"/>
                          <w:divBdr>
                            <w:top w:val="none" w:sz="0" w:space="0" w:color="auto"/>
                            <w:left w:val="none" w:sz="0" w:space="0" w:color="auto"/>
                            <w:bottom w:val="none" w:sz="0" w:space="0" w:color="auto"/>
                            <w:right w:val="none" w:sz="0" w:space="0" w:color="auto"/>
                          </w:divBdr>
                        </w:div>
                        <w:div w:id="1398820833">
                          <w:marLeft w:val="0"/>
                          <w:marRight w:val="0"/>
                          <w:marTop w:val="0"/>
                          <w:marBottom w:val="0"/>
                          <w:divBdr>
                            <w:top w:val="none" w:sz="0" w:space="0" w:color="auto"/>
                            <w:left w:val="none" w:sz="0" w:space="0" w:color="auto"/>
                            <w:bottom w:val="none" w:sz="0" w:space="0" w:color="auto"/>
                            <w:right w:val="none" w:sz="0" w:space="0" w:color="auto"/>
                          </w:divBdr>
                        </w:div>
                        <w:div w:id="267465902">
                          <w:marLeft w:val="0"/>
                          <w:marRight w:val="0"/>
                          <w:marTop w:val="0"/>
                          <w:marBottom w:val="0"/>
                          <w:divBdr>
                            <w:top w:val="none" w:sz="0" w:space="0" w:color="auto"/>
                            <w:left w:val="none" w:sz="0" w:space="0" w:color="auto"/>
                            <w:bottom w:val="none" w:sz="0" w:space="0" w:color="auto"/>
                            <w:right w:val="none" w:sz="0" w:space="0" w:color="auto"/>
                          </w:divBdr>
                        </w:div>
                        <w:div w:id="44188010">
                          <w:marLeft w:val="0"/>
                          <w:marRight w:val="0"/>
                          <w:marTop w:val="0"/>
                          <w:marBottom w:val="0"/>
                          <w:divBdr>
                            <w:top w:val="none" w:sz="0" w:space="0" w:color="auto"/>
                            <w:left w:val="none" w:sz="0" w:space="0" w:color="auto"/>
                            <w:bottom w:val="none" w:sz="0" w:space="0" w:color="auto"/>
                            <w:right w:val="none" w:sz="0" w:space="0" w:color="auto"/>
                          </w:divBdr>
                        </w:div>
                        <w:div w:id="209070913">
                          <w:marLeft w:val="0"/>
                          <w:marRight w:val="0"/>
                          <w:marTop w:val="0"/>
                          <w:marBottom w:val="0"/>
                          <w:divBdr>
                            <w:top w:val="none" w:sz="0" w:space="0" w:color="auto"/>
                            <w:left w:val="none" w:sz="0" w:space="0" w:color="auto"/>
                            <w:bottom w:val="none" w:sz="0" w:space="0" w:color="auto"/>
                            <w:right w:val="none" w:sz="0" w:space="0" w:color="auto"/>
                          </w:divBdr>
                        </w:div>
                        <w:div w:id="72358127">
                          <w:marLeft w:val="0"/>
                          <w:marRight w:val="0"/>
                          <w:marTop w:val="0"/>
                          <w:marBottom w:val="0"/>
                          <w:divBdr>
                            <w:top w:val="none" w:sz="0" w:space="0" w:color="auto"/>
                            <w:left w:val="none" w:sz="0" w:space="0" w:color="auto"/>
                            <w:bottom w:val="none" w:sz="0" w:space="0" w:color="auto"/>
                            <w:right w:val="none" w:sz="0" w:space="0" w:color="auto"/>
                          </w:divBdr>
                        </w:div>
                        <w:div w:id="529955003">
                          <w:marLeft w:val="0"/>
                          <w:marRight w:val="0"/>
                          <w:marTop w:val="0"/>
                          <w:marBottom w:val="0"/>
                          <w:divBdr>
                            <w:top w:val="none" w:sz="0" w:space="0" w:color="auto"/>
                            <w:left w:val="none" w:sz="0" w:space="0" w:color="auto"/>
                            <w:bottom w:val="none" w:sz="0" w:space="0" w:color="auto"/>
                            <w:right w:val="none" w:sz="0" w:space="0" w:color="auto"/>
                          </w:divBdr>
                        </w:div>
                        <w:div w:id="1395272051">
                          <w:marLeft w:val="0"/>
                          <w:marRight w:val="0"/>
                          <w:marTop w:val="0"/>
                          <w:marBottom w:val="0"/>
                          <w:divBdr>
                            <w:top w:val="none" w:sz="0" w:space="0" w:color="auto"/>
                            <w:left w:val="none" w:sz="0" w:space="0" w:color="auto"/>
                            <w:bottom w:val="none" w:sz="0" w:space="0" w:color="auto"/>
                            <w:right w:val="none" w:sz="0" w:space="0" w:color="auto"/>
                          </w:divBdr>
                        </w:div>
                        <w:div w:id="907960373">
                          <w:marLeft w:val="0"/>
                          <w:marRight w:val="0"/>
                          <w:marTop w:val="0"/>
                          <w:marBottom w:val="0"/>
                          <w:divBdr>
                            <w:top w:val="none" w:sz="0" w:space="0" w:color="auto"/>
                            <w:left w:val="none" w:sz="0" w:space="0" w:color="auto"/>
                            <w:bottom w:val="none" w:sz="0" w:space="0" w:color="auto"/>
                            <w:right w:val="none" w:sz="0" w:space="0" w:color="auto"/>
                          </w:divBdr>
                        </w:div>
                        <w:div w:id="1869638416">
                          <w:marLeft w:val="0"/>
                          <w:marRight w:val="0"/>
                          <w:marTop w:val="0"/>
                          <w:marBottom w:val="0"/>
                          <w:divBdr>
                            <w:top w:val="none" w:sz="0" w:space="0" w:color="auto"/>
                            <w:left w:val="none" w:sz="0" w:space="0" w:color="auto"/>
                            <w:bottom w:val="none" w:sz="0" w:space="0" w:color="auto"/>
                            <w:right w:val="none" w:sz="0" w:space="0" w:color="auto"/>
                          </w:divBdr>
                        </w:div>
                        <w:div w:id="2017225897">
                          <w:marLeft w:val="0"/>
                          <w:marRight w:val="0"/>
                          <w:marTop w:val="0"/>
                          <w:marBottom w:val="0"/>
                          <w:divBdr>
                            <w:top w:val="none" w:sz="0" w:space="0" w:color="auto"/>
                            <w:left w:val="none" w:sz="0" w:space="0" w:color="auto"/>
                            <w:bottom w:val="none" w:sz="0" w:space="0" w:color="auto"/>
                            <w:right w:val="none" w:sz="0" w:space="0" w:color="auto"/>
                          </w:divBdr>
                        </w:div>
                        <w:div w:id="1154445442">
                          <w:marLeft w:val="0"/>
                          <w:marRight w:val="0"/>
                          <w:marTop w:val="0"/>
                          <w:marBottom w:val="0"/>
                          <w:divBdr>
                            <w:top w:val="none" w:sz="0" w:space="0" w:color="auto"/>
                            <w:left w:val="none" w:sz="0" w:space="0" w:color="auto"/>
                            <w:bottom w:val="none" w:sz="0" w:space="0" w:color="auto"/>
                            <w:right w:val="none" w:sz="0" w:space="0" w:color="auto"/>
                          </w:divBdr>
                        </w:div>
                        <w:div w:id="1725637318">
                          <w:marLeft w:val="0"/>
                          <w:marRight w:val="0"/>
                          <w:marTop w:val="0"/>
                          <w:marBottom w:val="0"/>
                          <w:divBdr>
                            <w:top w:val="none" w:sz="0" w:space="0" w:color="auto"/>
                            <w:left w:val="none" w:sz="0" w:space="0" w:color="auto"/>
                            <w:bottom w:val="none" w:sz="0" w:space="0" w:color="auto"/>
                            <w:right w:val="none" w:sz="0" w:space="0" w:color="auto"/>
                          </w:divBdr>
                        </w:div>
                        <w:div w:id="154300764">
                          <w:marLeft w:val="0"/>
                          <w:marRight w:val="0"/>
                          <w:marTop w:val="0"/>
                          <w:marBottom w:val="0"/>
                          <w:divBdr>
                            <w:top w:val="none" w:sz="0" w:space="0" w:color="auto"/>
                            <w:left w:val="none" w:sz="0" w:space="0" w:color="auto"/>
                            <w:bottom w:val="none" w:sz="0" w:space="0" w:color="auto"/>
                            <w:right w:val="none" w:sz="0" w:space="0" w:color="auto"/>
                          </w:divBdr>
                        </w:div>
                        <w:div w:id="53554887">
                          <w:marLeft w:val="0"/>
                          <w:marRight w:val="0"/>
                          <w:marTop w:val="0"/>
                          <w:marBottom w:val="0"/>
                          <w:divBdr>
                            <w:top w:val="none" w:sz="0" w:space="0" w:color="auto"/>
                            <w:left w:val="none" w:sz="0" w:space="0" w:color="auto"/>
                            <w:bottom w:val="none" w:sz="0" w:space="0" w:color="auto"/>
                            <w:right w:val="none" w:sz="0" w:space="0" w:color="auto"/>
                          </w:divBdr>
                        </w:div>
                        <w:div w:id="407532682">
                          <w:marLeft w:val="0"/>
                          <w:marRight w:val="0"/>
                          <w:marTop w:val="0"/>
                          <w:marBottom w:val="0"/>
                          <w:divBdr>
                            <w:top w:val="none" w:sz="0" w:space="0" w:color="auto"/>
                            <w:left w:val="none" w:sz="0" w:space="0" w:color="auto"/>
                            <w:bottom w:val="none" w:sz="0" w:space="0" w:color="auto"/>
                            <w:right w:val="none" w:sz="0" w:space="0" w:color="auto"/>
                          </w:divBdr>
                        </w:div>
                        <w:div w:id="2100323111">
                          <w:marLeft w:val="0"/>
                          <w:marRight w:val="0"/>
                          <w:marTop w:val="0"/>
                          <w:marBottom w:val="0"/>
                          <w:divBdr>
                            <w:top w:val="none" w:sz="0" w:space="0" w:color="auto"/>
                            <w:left w:val="none" w:sz="0" w:space="0" w:color="auto"/>
                            <w:bottom w:val="none" w:sz="0" w:space="0" w:color="auto"/>
                            <w:right w:val="none" w:sz="0" w:space="0" w:color="auto"/>
                          </w:divBdr>
                        </w:div>
                        <w:div w:id="56634315">
                          <w:marLeft w:val="0"/>
                          <w:marRight w:val="0"/>
                          <w:marTop w:val="0"/>
                          <w:marBottom w:val="0"/>
                          <w:divBdr>
                            <w:top w:val="none" w:sz="0" w:space="0" w:color="auto"/>
                            <w:left w:val="none" w:sz="0" w:space="0" w:color="auto"/>
                            <w:bottom w:val="none" w:sz="0" w:space="0" w:color="auto"/>
                            <w:right w:val="none" w:sz="0" w:space="0" w:color="auto"/>
                          </w:divBdr>
                        </w:div>
                        <w:div w:id="424494703">
                          <w:marLeft w:val="0"/>
                          <w:marRight w:val="0"/>
                          <w:marTop w:val="0"/>
                          <w:marBottom w:val="0"/>
                          <w:divBdr>
                            <w:top w:val="none" w:sz="0" w:space="0" w:color="auto"/>
                            <w:left w:val="none" w:sz="0" w:space="0" w:color="auto"/>
                            <w:bottom w:val="none" w:sz="0" w:space="0" w:color="auto"/>
                            <w:right w:val="none" w:sz="0" w:space="0" w:color="auto"/>
                          </w:divBdr>
                        </w:div>
                        <w:div w:id="575550738">
                          <w:marLeft w:val="0"/>
                          <w:marRight w:val="0"/>
                          <w:marTop w:val="0"/>
                          <w:marBottom w:val="0"/>
                          <w:divBdr>
                            <w:top w:val="none" w:sz="0" w:space="0" w:color="auto"/>
                            <w:left w:val="none" w:sz="0" w:space="0" w:color="auto"/>
                            <w:bottom w:val="none" w:sz="0" w:space="0" w:color="auto"/>
                            <w:right w:val="none" w:sz="0" w:space="0" w:color="auto"/>
                          </w:divBdr>
                        </w:div>
                      </w:divsChild>
                    </w:div>
                    <w:div w:id="2485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21174">
      <w:bodyDiv w:val="1"/>
      <w:marLeft w:val="0"/>
      <w:marRight w:val="0"/>
      <w:marTop w:val="0"/>
      <w:marBottom w:val="0"/>
      <w:divBdr>
        <w:top w:val="none" w:sz="0" w:space="0" w:color="auto"/>
        <w:left w:val="none" w:sz="0" w:space="0" w:color="auto"/>
        <w:bottom w:val="none" w:sz="0" w:space="0" w:color="auto"/>
        <w:right w:val="none" w:sz="0" w:space="0" w:color="auto"/>
      </w:divBdr>
    </w:div>
    <w:div w:id="867448434">
      <w:bodyDiv w:val="1"/>
      <w:marLeft w:val="0"/>
      <w:marRight w:val="0"/>
      <w:marTop w:val="0"/>
      <w:marBottom w:val="0"/>
      <w:divBdr>
        <w:top w:val="none" w:sz="0" w:space="0" w:color="auto"/>
        <w:left w:val="none" w:sz="0" w:space="0" w:color="auto"/>
        <w:bottom w:val="none" w:sz="0" w:space="0" w:color="auto"/>
        <w:right w:val="none" w:sz="0" w:space="0" w:color="auto"/>
      </w:divBdr>
    </w:div>
    <w:div w:id="980883014">
      <w:bodyDiv w:val="1"/>
      <w:marLeft w:val="0"/>
      <w:marRight w:val="0"/>
      <w:marTop w:val="0"/>
      <w:marBottom w:val="0"/>
      <w:divBdr>
        <w:top w:val="none" w:sz="0" w:space="0" w:color="auto"/>
        <w:left w:val="none" w:sz="0" w:space="0" w:color="auto"/>
        <w:bottom w:val="none" w:sz="0" w:space="0" w:color="auto"/>
        <w:right w:val="none" w:sz="0" w:space="0" w:color="auto"/>
      </w:divBdr>
    </w:div>
    <w:div w:id="1243643145">
      <w:bodyDiv w:val="1"/>
      <w:marLeft w:val="0"/>
      <w:marRight w:val="0"/>
      <w:marTop w:val="0"/>
      <w:marBottom w:val="0"/>
      <w:divBdr>
        <w:top w:val="none" w:sz="0" w:space="0" w:color="auto"/>
        <w:left w:val="none" w:sz="0" w:space="0" w:color="auto"/>
        <w:bottom w:val="none" w:sz="0" w:space="0" w:color="auto"/>
        <w:right w:val="none" w:sz="0" w:space="0" w:color="auto"/>
      </w:divBdr>
    </w:div>
    <w:div w:id="1297181062">
      <w:bodyDiv w:val="1"/>
      <w:marLeft w:val="0"/>
      <w:marRight w:val="0"/>
      <w:marTop w:val="0"/>
      <w:marBottom w:val="0"/>
      <w:divBdr>
        <w:top w:val="none" w:sz="0" w:space="0" w:color="auto"/>
        <w:left w:val="none" w:sz="0" w:space="0" w:color="auto"/>
        <w:bottom w:val="none" w:sz="0" w:space="0" w:color="auto"/>
        <w:right w:val="none" w:sz="0" w:space="0" w:color="auto"/>
      </w:divBdr>
    </w:div>
    <w:div w:id="1320502708">
      <w:bodyDiv w:val="1"/>
      <w:marLeft w:val="0"/>
      <w:marRight w:val="0"/>
      <w:marTop w:val="0"/>
      <w:marBottom w:val="0"/>
      <w:divBdr>
        <w:top w:val="none" w:sz="0" w:space="0" w:color="auto"/>
        <w:left w:val="none" w:sz="0" w:space="0" w:color="auto"/>
        <w:bottom w:val="none" w:sz="0" w:space="0" w:color="auto"/>
        <w:right w:val="none" w:sz="0" w:space="0" w:color="auto"/>
      </w:divBdr>
    </w:div>
    <w:div w:id="1394814980">
      <w:bodyDiv w:val="1"/>
      <w:marLeft w:val="0"/>
      <w:marRight w:val="0"/>
      <w:marTop w:val="0"/>
      <w:marBottom w:val="0"/>
      <w:divBdr>
        <w:top w:val="none" w:sz="0" w:space="0" w:color="auto"/>
        <w:left w:val="none" w:sz="0" w:space="0" w:color="auto"/>
        <w:bottom w:val="none" w:sz="0" w:space="0" w:color="auto"/>
        <w:right w:val="none" w:sz="0" w:space="0" w:color="auto"/>
      </w:divBdr>
    </w:div>
    <w:div w:id="1771051425">
      <w:bodyDiv w:val="1"/>
      <w:marLeft w:val="0"/>
      <w:marRight w:val="0"/>
      <w:marTop w:val="0"/>
      <w:marBottom w:val="0"/>
      <w:divBdr>
        <w:top w:val="none" w:sz="0" w:space="0" w:color="auto"/>
        <w:left w:val="none" w:sz="0" w:space="0" w:color="auto"/>
        <w:bottom w:val="none" w:sz="0" w:space="0" w:color="auto"/>
        <w:right w:val="none" w:sz="0" w:space="0" w:color="auto"/>
      </w:divBdr>
    </w:div>
    <w:div w:id="1840190109">
      <w:bodyDiv w:val="1"/>
      <w:marLeft w:val="0"/>
      <w:marRight w:val="0"/>
      <w:marTop w:val="0"/>
      <w:marBottom w:val="0"/>
      <w:divBdr>
        <w:top w:val="none" w:sz="0" w:space="0" w:color="auto"/>
        <w:left w:val="none" w:sz="0" w:space="0" w:color="auto"/>
        <w:bottom w:val="none" w:sz="0" w:space="0" w:color="auto"/>
        <w:right w:val="none" w:sz="0" w:space="0" w:color="auto"/>
      </w:divBdr>
    </w:div>
    <w:div w:id="1881744293">
      <w:bodyDiv w:val="1"/>
      <w:marLeft w:val="0"/>
      <w:marRight w:val="0"/>
      <w:marTop w:val="0"/>
      <w:marBottom w:val="0"/>
      <w:divBdr>
        <w:top w:val="none" w:sz="0" w:space="0" w:color="auto"/>
        <w:left w:val="none" w:sz="0" w:space="0" w:color="auto"/>
        <w:bottom w:val="none" w:sz="0" w:space="0" w:color="auto"/>
        <w:right w:val="none" w:sz="0" w:space="0" w:color="auto"/>
      </w:divBdr>
    </w:div>
    <w:div w:id="2029209913">
      <w:bodyDiv w:val="1"/>
      <w:marLeft w:val="0"/>
      <w:marRight w:val="0"/>
      <w:marTop w:val="0"/>
      <w:marBottom w:val="0"/>
      <w:divBdr>
        <w:top w:val="none" w:sz="0" w:space="0" w:color="auto"/>
        <w:left w:val="none" w:sz="0" w:space="0" w:color="auto"/>
        <w:bottom w:val="none" w:sz="0" w:space="0" w:color="auto"/>
        <w:right w:val="none" w:sz="0" w:space="0" w:color="auto"/>
      </w:divBdr>
    </w:div>
    <w:div w:id="2062946541">
      <w:bodyDiv w:val="1"/>
      <w:marLeft w:val="0"/>
      <w:marRight w:val="0"/>
      <w:marTop w:val="0"/>
      <w:marBottom w:val="0"/>
      <w:divBdr>
        <w:top w:val="none" w:sz="0" w:space="0" w:color="auto"/>
        <w:left w:val="none" w:sz="0" w:space="0" w:color="auto"/>
        <w:bottom w:val="none" w:sz="0" w:space="0" w:color="auto"/>
        <w:right w:val="none" w:sz="0" w:space="0" w:color="auto"/>
      </w:divBdr>
    </w:div>
    <w:div w:id="206683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govt.nz/nz-health-statistics/health-statistics-and-data-sets/maori-health-data-and-stats/tatau-kura-tangata-health-older-maori-chart-book" TargetMode="External"/><Relationship Id="rId18" Type="http://schemas.openxmlformats.org/officeDocument/2006/relationships/chart" Target="charts/chart2.xml"/><Relationship Id="rId26" Type="http://schemas.openxmlformats.org/officeDocument/2006/relationships/header" Target="header2.xml"/><Relationship Id="rId39" Type="http://schemas.openxmlformats.org/officeDocument/2006/relationships/hyperlink" Target="http://www.nhc.health.govt.nz" TargetMode="Externa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hyperlink" Target="http://www.health.govt.nz/publication/health-new-zealand-adults-2011-12" TargetMode="External"/><Relationship Id="rId42"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hart" Target="charts/chart1.xml"/><Relationship Id="rId25" Type="http://schemas.openxmlformats.org/officeDocument/2006/relationships/header" Target="header1.xml"/><Relationship Id="rId33" Type="http://schemas.openxmlformats.org/officeDocument/2006/relationships/hyperlink" Target="http://onlinelibrary.wiley.com/doi/10.1002/14651858.CD003573.pub2/abstract" TargetMode="External"/><Relationship Id="rId38" Type="http://schemas.openxmlformats.org/officeDocument/2006/relationships/hyperlink" Target="http://apps.who.int/classifications/icd10/browse/2010/e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4.xml"/><Relationship Id="rId29" Type="http://schemas.openxmlformats.org/officeDocument/2006/relationships/header" Target="header4.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ungcancer.ucla.edu/adm_lung_bronchitis.html" TargetMode="External"/><Relationship Id="rId24" Type="http://schemas.openxmlformats.org/officeDocument/2006/relationships/chart" Target="charts/chart8.xml"/><Relationship Id="rId32" Type="http://schemas.openxmlformats.org/officeDocument/2006/relationships/hyperlink" Target="http://onlinelibrary.wiley.com/doi/10.1002/14651858.CD007718.pub2/abstract" TargetMode="External"/><Relationship Id="rId37" Type="http://schemas.openxmlformats.org/officeDocument/2006/relationships/image" Target="media/image9.emf"/><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hart" Target="charts/chart7.xml"/><Relationship Id="rId28" Type="http://schemas.openxmlformats.org/officeDocument/2006/relationships/footer" Target="footer1.xml"/><Relationship Id="rId36" Type="http://schemas.openxmlformats.org/officeDocument/2006/relationships/image" Target="media/image8.png"/><Relationship Id="rId10" Type="http://schemas.openxmlformats.org/officeDocument/2006/relationships/image" Target="media/image1.jpeg"/><Relationship Id="rId19" Type="http://schemas.openxmlformats.org/officeDocument/2006/relationships/chart" Target="charts/chart3.xml"/><Relationship Id="rId31" Type="http://schemas.openxmlformats.org/officeDocument/2006/relationships/hyperlink" Target="http://www.health.govt.nz/publication/health-loss-new-zealand-report-new-zealand-burden-diseases-injuries-and-risk-factors-study-2006-2016" TargetMode="External"/><Relationship Id="rId44"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http://www.drugs.com/health-guide/emphysema.html" TargetMode="External"/><Relationship Id="rId14" Type="http://schemas.openxmlformats.org/officeDocument/2006/relationships/hyperlink" Target="http://www.health.govt.nz/nz-health-statistics/health-statistics-and-data-sets/maori-health-data-and-stats/tatau-kura-tangata-health-older-maori-chart-book" TargetMode="External"/><Relationship Id="rId22" Type="http://schemas.openxmlformats.org/officeDocument/2006/relationships/chart" Target="charts/chart6.xml"/><Relationship Id="rId27" Type="http://schemas.openxmlformats.org/officeDocument/2006/relationships/header" Target="header3.xml"/><Relationship Id="rId30" Type="http://schemas.openxmlformats.org/officeDocument/2006/relationships/image" Target="media/image7.PNG"/><Relationship Id="rId35" Type="http://schemas.openxmlformats.org/officeDocument/2006/relationships/hyperlink" Target="http://www.health.govt.nz/nz-health-statistics/national-collections-and-surveys/collections/new-zealand-cancer-registry-nzcr" TargetMode="External"/><Relationship Id="rId43" Type="http://schemas.openxmlformats.org/officeDocument/2006/relationships/hyperlink" Target="http://www.nhc.health.govt.nz/"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health.govt.nz/our-work/primary-health-care/primary-health-care-services-and-projects/capitation-funding" TargetMode="External"/><Relationship Id="rId1" Type="http://schemas.openxmlformats.org/officeDocument/2006/relationships/hyperlink" Target="http://nhc.health.govt.nz/committee-publications/respiratory-overview-working-draft-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dschwart\Respiratory\Copy%20of%20Tier2-v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schwart\Respiratory\Copy%20of%20Tier2-v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schwart\Respiratory\Copy%20of%20Tier2-v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schwart\Respiratory\Copy%20of%20Tier2-v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schwart\Respiratory\Copy%20of%20Tier2-v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wmntfp.moh.govt.nz\userstate\dschwart\Desktop\Tier2-v1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wmntfp.moh.govt.nz\userstate\dschwart\Desktop\Tier2-v1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wmntfp.moh.govt.nz\userstate\dschwart\Desktop\Tier2-v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pieChart>
        <c:varyColors val="1"/>
        <c:ser>
          <c:idx val="0"/>
          <c:order val="0"/>
          <c:tx>
            <c:v>Patients</c:v>
          </c:tx>
          <c:dLbls>
            <c:dLbl>
              <c:idx val="3"/>
              <c:layout>
                <c:manualLayout>
                  <c:x val="-0.17829067186537376"/>
                  <c:y val="-4.437274608966562E-2"/>
                </c:manualLayout>
              </c:layout>
              <c:spPr/>
              <c:txPr>
                <a:bodyPr anchor="t" anchorCtr="0"/>
                <a:lstStyle/>
                <a:p>
                  <a:pPr>
                    <a:defRPr sz="900"/>
                  </a:pPr>
                  <a:endParaRPr lang="en-US"/>
                </a:p>
              </c:txPr>
              <c:showLegendKey val="0"/>
              <c:showVal val="0"/>
              <c:showCatName val="1"/>
              <c:showSerName val="0"/>
              <c:showPercent val="1"/>
              <c:showBubbleSize val="0"/>
            </c:dLbl>
            <c:dLbl>
              <c:idx val="4"/>
              <c:layout>
                <c:manualLayout>
                  <c:x val="0.27501362972715226"/>
                  <c:y val="1.8207114354608114E-2"/>
                </c:manualLayout>
              </c:layout>
              <c:showLegendKey val="0"/>
              <c:showVal val="0"/>
              <c:showCatName val="1"/>
              <c:showSerName val="0"/>
              <c:showPercent val="1"/>
              <c:showBubbleSize val="0"/>
            </c:dLbl>
            <c:txPr>
              <a:bodyPr/>
              <a:lstStyle/>
              <a:p>
                <a:pPr>
                  <a:defRPr sz="900"/>
                </a:pPr>
                <a:endParaRPr lang="en-US"/>
              </a:p>
            </c:txPr>
            <c:showLegendKey val="0"/>
            <c:showVal val="0"/>
            <c:showCatName val="1"/>
            <c:showSerName val="0"/>
            <c:showPercent val="1"/>
            <c:showBubbleSize val="0"/>
            <c:showLeaderLines val="1"/>
          </c:dLbls>
          <c:cat>
            <c:strRef>
              <c:f>('Costs comb groups'!$I$36,'Costs comb groups'!$I$37,'Costs comb groups'!$I$38,'Costs comb groups'!$I$39,'Costs comb groups'!$I$40)</c:f>
              <c:strCache>
                <c:ptCount val="5"/>
                <c:pt idx="0">
                  <c:v>Early Stable</c:v>
                </c:pt>
                <c:pt idx="1">
                  <c:v>Minor </c:v>
                </c:pt>
                <c:pt idx="2">
                  <c:v>Late Stable</c:v>
                </c:pt>
                <c:pt idx="3">
                  <c:v>Moderate-Severe </c:v>
                </c:pt>
                <c:pt idx="4">
                  <c:v>End-Stage</c:v>
                </c:pt>
              </c:strCache>
            </c:strRef>
          </c:cat>
          <c:val>
            <c:numRef>
              <c:f>('Costs comb groups'!$J$36,'Costs comb groups'!$J$37,'Costs comb groups'!$J$38,'Costs comb groups'!$J$39,'Costs comb groups'!$J$40)</c:f>
              <c:numCache>
                <c:formatCode>General</c:formatCode>
                <c:ptCount val="5"/>
                <c:pt idx="0">
                  <c:v>80585</c:v>
                </c:pt>
                <c:pt idx="1">
                  <c:v>42151</c:v>
                </c:pt>
                <c:pt idx="2">
                  <c:v>7434</c:v>
                </c:pt>
                <c:pt idx="3">
                  <c:v>5609</c:v>
                </c:pt>
                <c:pt idx="4">
                  <c:v>3054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pieChart>
        <c:varyColors val="1"/>
        <c:ser>
          <c:idx val="0"/>
          <c:order val="0"/>
          <c:tx>
            <c:v>Costs</c:v>
          </c:tx>
          <c:dLbls>
            <c:txPr>
              <a:bodyPr/>
              <a:lstStyle/>
              <a:p>
                <a:pPr>
                  <a:defRPr sz="900"/>
                </a:pPr>
                <a:endParaRPr lang="en-US"/>
              </a:p>
            </c:txPr>
            <c:showLegendKey val="0"/>
            <c:showVal val="0"/>
            <c:showCatName val="1"/>
            <c:showSerName val="0"/>
            <c:showPercent val="1"/>
            <c:showBubbleSize val="0"/>
            <c:showLeaderLines val="1"/>
          </c:dLbls>
          <c:cat>
            <c:strRef>
              <c:f>('Costs comb groups'!$I$36,'Costs comb groups'!$I$37,'Costs comb groups'!$I$38,'Costs comb groups'!$I$39,'Costs comb groups'!$I$40)</c:f>
              <c:strCache>
                <c:ptCount val="5"/>
                <c:pt idx="0">
                  <c:v>Early Stable</c:v>
                </c:pt>
                <c:pt idx="1">
                  <c:v>Minor </c:v>
                </c:pt>
                <c:pt idx="2">
                  <c:v>Late Stable</c:v>
                </c:pt>
                <c:pt idx="3">
                  <c:v>Moderate-Severe </c:v>
                </c:pt>
                <c:pt idx="4">
                  <c:v>End-Stage</c:v>
                </c:pt>
              </c:strCache>
            </c:strRef>
          </c:cat>
          <c:val>
            <c:numRef>
              <c:f>('Costs comb groups'!$K$36,'Costs comb groups'!$K$37,'Costs comb groups'!$K$38,'Costs comb groups'!$K$39,'Costs comb groups'!$K$40)</c:f>
              <c:numCache>
                <c:formatCode>General</c:formatCode>
                <c:ptCount val="5"/>
                <c:pt idx="0">
                  <c:v>26801000</c:v>
                </c:pt>
                <c:pt idx="1">
                  <c:v>24465600</c:v>
                </c:pt>
                <c:pt idx="2">
                  <c:v>12052700</c:v>
                </c:pt>
                <c:pt idx="3">
                  <c:v>42655800</c:v>
                </c:pt>
                <c:pt idx="4">
                  <c:v>18773800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tx>
            <c:v>Low Dep</c:v>
          </c:tx>
          <c:invertIfNegative val="0"/>
          <c:cat>
            <c:strRef>
              <c:f>'Costs comb groups'!$I$36:$I$40</c:f>
              <c:strCache>
                <c:ptCount val="5"/>
                <c:pt idx="0">
                  <c:v>Early Stable</c:v>
                </c:pt>
                <c:pt idx="1">
                  <c:v>Minor </c:v>
                </c:pt>
                <c:pt idx="2">
                  <c:v>Late Stable</c:v>
                </c:pt>
                <c:pt idx="3">
                  <c:v>Moderate-Severe </c:v>
                </c:pt>
                <c:pt idx="4">
                  <c:v>End-Stage</c:v>
                </c:pt>
              </c:strCache>
            </c:strRef>
          </c:cat>
          <c:val>
            <c:numRef>
              <c:f>('Costs comb groups'!$C$64,'Costs comb groups'!$D$64,'Costs comb groups'!$E$64,'Costs comb groups'!$F$64,'Costs comb groups'!$G$64)</c:f>
              <c:numCache>
                <c:formatCode>General</c:formatCode>
                <c:ptCount val="5"/>
                <c:pt idx="0">
                  <c:v>318.16537000180932</c:v>
                </c:pt>
                <c:pt idx="1">
                  <c:v>558.44766758134062</c:v>
                </c:pt>
                <c:pt idx="2">
                  <c:v>1655.7692307692307</c:v>
                </c:pt>
                <c:pt idx="3">
                  <c:v>7677.6061776061779</c:v>
                </c:pt>
                <c:pt idx="4">
                  <c:v>5407.3578595317722</c:v>
                </c:pt>
              </c:numCache>
            </c:numRef>
          </c:val>
        </c:ser>
        <c:ser>
          <c:idx val="1"/>
          <c:order val="1"/>
          <c:tx>
            <c:v>Moderate Dep</c:v>
          </c:tx>
          <c:invertIfNegative val="0"/>
          <c:cat>
            <c:strRef>
              <c:f>'Costs comb groups'!$I$36:$I$40</c:f>
              <c:strCache>
                <c:ptCount val="5"/>
                <c:pt idx="0">
                  <c:v>Early Stable</c:v>
                </c:pt>
                <c:pt idx="1">
                  <c:v>Minor </c:v>
                </c:pt>
                <c:pt idx="2">
                  <c:v>Late Stable</c:v>
                </c:pt>
                <c:pt idx="3">
                  <c:v>Moderate-Severe </c:v>
                </c:pt>
                <c:pt idx="4">
                  <c:v>End-Stage</c:v>
                </c:pt>
              </c:strCache>
            </c:strRef>
          </c:cat>
          <c:val>
            <c:numRef>
              <c:f>('Costs comb groups'!$C$65,'Costs comb groups'!$D$65,'Costs comb groups'!$E$65,'Costs comb groups'!$F$65,'Costs comb groups'!$G$65)</c:f>
              <c:numCache>
                <c:formatCode>General</c:formatCode>
                <c:ptCount val="5"/>
                <c:pt idx="0">
                  <c:v>331.56850961538464</c:v>
                </c:pt>
                <c:pt idx="1">
                  <c:v>575.66631531395876</c:v>
                </c:pt>
                <c:pt idx="2">
                  <c:v>1618.9908452203533</c:v>
                </c:pt>
                <c:pt idx="3">
                  <c:v>7541.8632788868726</c:v>
                </c:pt>
                <c:pt idx="4">
                  <c:v>6066.5251989389917</c:v>
                </c:pt>
              </c:numCache>
            </c:numRef>
          </c:val>
        </c:ser>
        <c:ser>
          <c:idx val="2"/>
          <c:order val="2"/>
          <c:tx>
            <c:v>High Dep</c:v>
          </c:tx>
          <c:invertIfNegative val="0"/>
          <c:cat>
            <c:strRef>
              <c:f>'Costs comb groups'!$I$36:$I$40</c:f>
              <c:strCache>
                <c:ptCount val="5"/>
                <c:pt idx="0">
                  <c:v>Early Stable</c:v>
                </c:pt>
                <c:pt idx="1">
                  <c:v>Minor </c:v>
                </c:pt>
                <c:pt idx="2">
                  <c:v>Late Stable</c:v>
                </c:pt>
                <c:pt idx="3">
                  <c:v>Moderate-Severe </c:v>
                </c:pt>
                <c:pt idx="4">
                  <c:v>End-Stage</c:v>
                </c:pt>
              </c:strCache>
            </c:strRef>
          </c:cat>
          <c:val>
            <c:numRef>
              <c:f>('Costs comb groups'!$C$66,'Costs comb groups'!$D$66,'Costs comb groups'!$E$66,'Costs comb groups'!$F$66,'Costs comb groups'!$G$66)</c:f>
              <c:numCache>
                <c:formatCode>General</c:formatCode>
                <c:ptCount val="5"/>
                <c:pt idx="0">
                  <c:v>346.33426529978254</c:v>
                </c:pt>
                <c:pt idx="1">
                  <c:v>603.18550309966622</c:v>
                </c:pt>
                <c:pt idx="2">
                  <c:v>1613.0812468063361</c:v>
                </c:pt>
                <c:pt idx="3">
                  <c:v>7700.5042016806719</c:v>
                </c:pt>
                <c:pt idx="4">
                  <c:v>6576.5517241379312</c:v>
                </c:pt>
              </c:numCache>
            </c:numRef>
          </c:val>
        </c:ser>
        <c:dLbls>
          <c:showLegendKey val="0"/>
          <c:showVal val="0"/>
          <c:showCatName val="0"/>
          <c:showSerName val="0"/>
          <c:showPercent val="0"/>
          <c:showBubbleSize val="0"/>
        </c:dLbls>
        <c:gapWidth val="150"/>
        <c:axId val="152324736"/>
        <c:axId val="157147904"/>
      </c:barChart>
      <c:catAx>
        <c:axId val="152324736"/>
        <c:scaling>
          <c:orientation val="minMax"/>
        </c:scaling>
        <c:delete val="0"/>
        <c:axPos val="b"/>
        <c:title>
          <c:tx>
            <c:rich>
              <a:bodyPr/>
              <a:lstStyle/>
              <a:p>
                <a:pPr>
                  <a:defRPr/>
                </a:pPr>
                <a:r>
                  <a:rPr lang="en-NZ"/>
                  <a:t>Disease State</a:t>
                </a:r>
              </a:p>
            </c:rich>
          </c:tx>
          <c:overlay val="0"/>
        </c:title>
        <c:majorTickMark val="out"/>
        <c:minorTickMark val="none"/>
        <c:tickLblPos val="nextTo"/>
        <c:crossAx val="157147904"/>
        <c:crosses val="autoZero"/>
        <c:auto val="1"/>
        <c:lblAlgn val="ctr"/>
        <c:lblOffset val="100"/>
        <c:noMultiLvlLbl val="0"/>
      </c:catAx>
      <c:valAx>
        <c:axId val="157147904"/>
        <c:scaling>
          <c:orientation val="minMax"/>
        </c:scaling>
        <c:delete val="0"/>
        <c:axPos val="l"/>
        <c:majorGridlines/>
        <c:title>
          <c:tx>
            <c:rich>
              <a:bodyPr rot="-5400000" vert="horz"/>
              <a:lstStyle/>
              <a:p>
                <a:pPr>
                  <a:defRPr/>
                </a:pPr>
                <a:r>
                  <a:rPr lang="en-NZ"/>
                  <a:t>$/Patient</a:t>
                </a:r>
              </a:p>
            </c:rich>
          </c:tx>
          <c:overlay val="0"/>
        </c:title>
        <c:numFmt formatCode="General" sourceLinked="1"/>
        <c:majorTickMark val="out"/>
        <c:minorTickMark val="none"/>
        <c:tickLblPos val="nextTo"/>
        <c:crossAx val="15232473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tx>
            <c:v>Māori Average Cost</c:v>
          </c:tx>
          <c:invertIfNegative val="0"/>
          <c:cat>
            <c:strLit>
              <c:ptCount val="3"/>
              <c:pt idx="0">
                <c:v>High Dep</c:v>
              </c:pt>
              <c:pt idx="1">
                <c:v>Moderate Dep</c:v>
              </c:pt>
              <c:pt idx="2">
                <c:v>Low Dep</c:v>
              </c:pt>
            </c:strLit>
          </c:cat>
          <c:val>
            <c:numRef>
              <c:f>('Costs comb groups'!$F$10,'Costs comb groups'!$F$30,'Costs comb groups'!$F$50)</c:f>
              <c:numCache>
                <c:formatCode>#,##0</c:formatCode>
                <c:ptCount val="3"/>
                <c:pt idx="0">
                  <c:v>1000</c:v>
                </c:pt>
                <c:pt idx="1">
                  <c:v>970</c:v>
                </c:pt>
                <c:pt idx="2">
                  <c:v>944.456289978678</c:v>
                </c:pt>
              </c:numCache>
            </c:numRef>
          </c:val>
        </c:ser>
        <c:ser>
          <c:idx val="1"/>
          <c:order val="1"/>
          <c:tx>
            <c:v>non-Māori Average Cost</c:v>
          </c:tx>
          <c:invertIfNegative val="0"/>
          <c:cat>
            <c:strLit>
              <c:ptCount val="3"/>
              <c:pt idx="0">
                <c:v>High Dep</c:v>
              </c:pt>
              <c:pt idx="1">
                <c:v>Moderate Dep</c:v>
              </c:pt>
              <c:pt idx="2">
                <c:v>Low Dep</c:v>
              </c:pt>
            </c:strLit>
          </c:cat>
          <c:val>
            <c:numRef>
              <c:f>('Costs comb groups'!$F$20,'Costs comb groups'!$F$40,'Costs comb groups'!$F$60)</c:f>
              <c:numCache>
                <c:formatCode>#,##0</c:formatCode>
                <c:ptCount val="3"/>
                <c:pt idx="0">
                  <c:v>900</c:v>
                </c:pt>
                <c:pt idx="1">
                  <c:v>730</c:v>
                </c:pt>
                <c:pt idx="2">
                  <c:v>580</c:v>
                </c:pt>
              </c:numCache>
            </c:numRef>
          </c:val>
        </c:ser>
        <c:dLbls>
          <c:showLegendKey val="0"/>
          <c:showVal val="0"/>
          <c:showCatName val="0"/>
          <c:showSerName val="0"/>
          <c:showPercent val="0"/>
          <c:showBubbleSize val="0"/>
        </c:dLbls>
        <c:gapWidth val="150"/>
        <c:axId val="168274560"/>
        <c:axId val="169024896"/>
      </c:barChart>
      <c:catAx>
        <c:axId val="168274560"/>
        <c:scaling>
          <c:orientation val="minMax"/>
        </c:scaling>
        <c:delete val="0"/>
        <c:axPos val="b"/>
        <c:title>
          <c:tx>
            <c:rich>
              <a:bodyPr/>
              <a:lstStyle/>
              <a:p>
                <a:pPr>
                  <a:defRPr/>
                </a:pPr>
                <a:r>
                  <a:rPr lang="en-NZ"/>
                  <a:t>Deprivation</a:t>
                </a:r>
              </a:p>
            </c:rich>
          </c:tx>
          <c:overlay val="0"/>
        </c:title>
        <c:majorTickMark val="out"/>
        <c:minorTickMark val="none"/>
        <c:tickLblPos val="nextTo"/>
        <c:crossAx val="169024896"/>
        <c:crosses val="autoZero"/>
        <c:auto val="1"/>
        <c:lblAlgn val="ctr"/>
        <c:lblOffset val="100"/>
        <c:noMultiLvlLbl val="0"/>
      </c:catAx>
      <c:valAx>
        <c:axId val="169024896"/>
        <c:scaling>
          <c:orientation val="minMax"/>
        </c:scaling>
        <c:delete val="0"/>
        <c:axPos val="l"/>
        <c:majorGridlines/>
        <c:title>
          <c:tx>
            <c:rich>
              <a:bodyPr rot="-5400000" vert="horz"/>
              <a:lstStyle/>
              <a:p>
                <a:pPr>
                  <a:defRPr/>
                </a:pPr>
                <a:r>
                  <a:rPr lang="en-NZ"/>
                  <a:t>$/Patient</a:t>
                </a:r>
              </a:p>
            </c:rich>
          </c:tx>
          <c:overlay val="0"/>
        </c:title>
        <c:numFmt formatCode="#,##0" sourceLinked="1"/>
        <c:majorTickMark val="out"/>
        <c:minorTickMark val="none"/>
        <c:tickLblPos val="nextTo"/>
        <c:crossAx val="16827456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tx>
            <c:v>Māori</c:v>
          </c:tx>
          <c:invertIfNegative val="0"/>
          <c:cat>
            <c:strRef>
              <c:f>'Costs comb groups'!$I$36:$I$40</c:f>
              <c:strCache>
                <c:ptCount val="5"/>
                <c:pt idx="0">
                  <c:v>Early Stable</c:v>
                </c:pt>
                <c:pt idx="1">
                  <c:v>Minor </c:v>
                </c:pt>
                <c:pt idx="2">
                  <c:v>Late Stable</c:v>
                </c:pt>
                <c:pt idx="3">
                  <c:v>Moderate-Severe </c:v>
                </c:pt>
                <c:pt idx="4">
                  <c:v>End-Stage</c:v>
                </c:pt>
              </c:strCache>
            </c:strRef>
          </c:cat>
          <c:val>
            <c:numRef>
              <c:f>'Costs comb groups'!$J$9:$J$13</c:f>
              <c:numCache>
                <c:formatCode>General</c:formatCode>
                <c:ptCount val="5"/>
                <c:pt idx="0">
                  <c:v>344.34033932641177</c:v>
                </c:pt>
                <c:pt idx="1">
                  <c:v>624.41860465116281</c:v>
                </c:pt>
                <c:pt idx="2">
                  <c:v>1562.5824693685202</c:v>
                </c:pt>
                <c:pt idx="3">
                  <c:v>7551.6386182462356</c:v>
                </c:pt>
                <c:pt idx="4">
                  <c:v>6938.1338742393509</c:v>
                </c:pt>
              </c:numCache>
            </c:numRef>
          </c:val>
        </c:ser>
        <c:ser>
          <c:idx val="1"/>
          <c:order val="1"/>
          <c:tx>
            <c:v>non-Māori</c:v>
          </c:tx>
          <c:invertIfNegative val="0"/>
          <c:cat>
            <c:strRef>
              <c:f>'Costs comb groups'!$I$36:$I$40</c:f>
              <c:strCache>
                <c:ptCount val="5"/>
                <c:pt idx="0">
                  <c:v>Early Stable</c:v>
                </c:pt>
                <c:pt idx="1">
                  <c:v>Minor </c:v>
                </c:pt>
                <c:pt idx="2">
                  <c:v>Late Stable</c:v>
                </c:pt>
                <c:pt idx="3">
                  <c:v>Moderate-Severe </c:v>
                </c:pt>
                <c:pt idx="4">
                  <c:v>End-Stage</c:v>
                </c:pt>
              </c:strCache>
            </c:strRef>
          </c:cat>
          <c:val>
            <c:numRef>
              <c:f>'Costs comb groups'!$K$9:$K$13</c:f>
              <c:numCache>
                <c:formatCode>General</c:formatCode>
                <c:ptCount val="5"/>
                <c:pt idx="0">
                  <c:v>330.55369664523261</c:v>
                </c:pt>
                <c:pt idx="1">
                  <c:v>572.85241525070217</c:v>
                </c:pt>
                <c:pt idx="2">
                  <c:v>1631.0685705319315</c:v>
                </c:pt>
                <c:pt idx="3">
                  <c:v>7618.3035714285716</c:v>
                </c:pt>
                <c:pt idx="4">
                  <c:v>5995.0409996095277</c:v>
                </c:pt>
              </c:numCache>
            </c:numRef>
          </c:val>
        </c:ser>
        <c:dLbls>
          <c:showLegendKey val="0"/>
          <c:showVal val="0"/>
          <c:showCatName val="0"/>
          <c:showSerName val="0"/>
          <c:showPercent val="0"/>
          <c:showBubbleSize val="0"/>
        </c:dLbls>
        <c:gapWidth val="150"/>
        <c:axId val="202349184"/>
        <c:axId val="214390656"/>
      </c:barChart>
      <c:catAx>
        <c:axId val="202349184"/>
        <c:scaling>
          <c:orientation val="minMax"/>
        </c:scaling>
        <c:delete val="0"/>
        <c:axPos val="b"/>
        <c:title>
          <c:tx>
            <c:rich>
              <a:bodyPr/>
              <a:lstStyle/>
              <a:p>
                <a:pPr>
                  <a:defRPr/>
                </a:pPr>
                <a:r>
                  <a:rPr lang="en-NZ"/>
                  <a:t>Disease State</a:t>
                </a:r>
              </a:p>
            </c:rich>
          </c:tx>
          <c:overlay val="0"/>
        </c:title>
        <c:majorTickMark val="out"/>
        <c:minorTickMark val="none"/>
        <c:tickLblPos val="nextTo"/>
        <c:crossAx val="214390656"/>
        <c:crosses val="autoZero"/>
        <c:auto val="1"/>
        <c:lblAlgn val="ctr"/>
        <c:lblOffset val="100"/>
        <c:noMultiLvlLbl val="0"/>
      </c:catAx>
      <c:valAx>
        <c:axId val="214390656"/>
        <c:scaling>
          <c:orientation val="minMax"/>
        </c:scaling>
        <c:delete val="0"/>
        <c:axPos val="l"/>
        <c:majorGridlines/>
        <c:title>
          <c:tx>
            <c:rich>
              <a:bodyPr rot="-5400000" vert="horz"/>
              <a:lstStyle/>
              <a:p>
                <a:pPr>
                  <a:defRPr/>
                </a:pPr>
                <a:r>
                  <a:rPr lang="en-NZ"/>
                  <a:t>$/Patient</a:t>
                </a:r>
              </a:p>
            </c:rich>
          </c:tx>
          <c:overlay val="0"/>
        </c:title>
        <c:numFmt formatCode="General" sourceLinked="1"/>
        <c:majorTickMark val="out"/>
        <c:minorTickMark val="none"/>
        <c:tickLblPos val="nextTo"/>
        <c:crossAx val="20234918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v>Age-Standardised Rate</c:v>
          </c:tx>
          <c:invertIfNegative val="0"/>
          <c:cat>
            <c:strRef>
              <c:f>Discharges!$B$4:$B$225</c:f>
              <c:strCache>
                <c:ptCount val="19"/>
                <c:pt idx="0">
                  <c:v>Auckland</c:v>
                </c:pt>
                <c:pt idx="1">
                  <c:v>Canterbury</c:v>
                </c:pt>
                <c:pt idx="2">
                  <c:v>Capital and Coast</c:v>
                </c:pt>
                <c:pt idx="3">
                  <c:v>Counties Manukau</c:v>
                </c:pt>
                <c:pt idx="4">
                  <c:v>Hawkes Bay</c:v>
                </c:pt>
                <c:pt idx="5">
                  <c:v>Hutt</c:v>
                </c:pt>
                <c:pt idx="6">
                  <c:v>Lakes</c:v>
                </c:pt>
                <c:pt idx="7">
                  <c:v>Midcentral</c:v>
                </c:pt>
                <c:pt idx="8">
                  <c:v>Northland</c:v>
                </c:pt>
                <c:pt idx="9">
                  <c:v>Southern</c:v>
                </c:pt>
                <c:pt idx="10">
                  <c:v>Tairawhiti</c:v>
                </c:pt>
                <c:pt idx="11">
                  <c:v>Taranaki</c:v>
                </c:pt>
                <c:pt idx="12">
                  <c:v>Waikato</c:v>
                </c:pt>
                <c:pt idx="13">
                  <c:v>Wairarapa</c:v>
                </c:pt>
                <c:pt idx="14">
                  <c:v>Waitemata</c:v>
                </c:pt>
                <c:pt idx="15">
                  <c:v>West Coast</c:v>
                </c:pt>
                <c:pt idx="16">
                  <c:v>Whanganui</c:v>
                </c:pt>
                <c:pt idx="17">
                  <c:v>Bay of Plenty</c:v>
                </c:pt>
                <c:pt idx="18">
                  <c:v>Total NZ</c:v>
                </c:pt>
              </c:strCache>
            </c:strRef>
          </c:cat>
          <c:val>
            <c:numRef>
              <c:f>Discharges!$G$4:$G$225</c:f>
              <c:numCache>
                <c:formatCode>General</c:formatCode>
                <c:ptCount val="19"/>
                <c:pt idx="0">
                  <c:v>7.50280578080356</c:v>
                </c:pt>
                <c:pt idx="1">
                  <c:v>13.6134403769763</c:v>
                </c:pt>
                <c:pt idx="2">
                  <c:v>7.3085303427913901</c:v>
                </c:pt>
                <c:pt idx="3">
                  <c:v>9.7243254682998597</c:v>
                </c:pt>
                <c:pt idx="4">
                  <c:v>7.2718033779380802</c:v>
                </c:pt>
                <c:pt idx="5">
                  <c:v>8.4392184214421597</c:v>
                </c:pt>
                <c:pt idx="6">
                  <c:v>11.3627466997899</c:v>
                </c:pt>
                <c:pt idx="7">
                  <c:v>6.9228781645771402</c:v>
                </c:pt>
                <c:pt idx="8">
                  <c:v>10.852457616674601</c:v>
                </c:pt>
                <c:pt idx="9">
                  <c:v>9.7065975336652102</c:v>
                </c:pt>
                <c:pt idx="10">
                  <c:v>4.9047983151927399</c:v>
                </c:pt>
                <c:pt idx="11">
                  <c:v>13.565031576185699</c:v>
                </c:pt>
                <c:pt idx="12">
                  <c:v>8.6270199065923805</c:v>
                </c:pt>
                <c:pt idx="13">
                  <c:v>3.90652874791295</c:v>
                </c:pt>
                <c:pt idx="14">
                  <c:v>11.882887202672601</c:v>
                </c:pt>
                <c:pt idx="15">
                  <c:v>7.1803601264840902</c:v>
                </c:pt>
                <c:pt idx="16">
                  <c:v>11.9919982666578</c:v>
                </c:pt>
                <c:pt idx="17">
                  <c:v>9.8202342866830907</c:v>
                </c:pt>
                <c:pt idx="18">
                  <c:v>9.3650092557031499</c:v>
                </c:pt>
              </c:numCache>
            </c:numRef>
          </c:val>
        </c:ser>
        <c:dLbls>
          <c:showLegendKey val="0"/>
          <c:showVal val="0"/>
          <c:showCatName val="0"/>
          <c:showSerName val="0"/>
          <c:showPercent val="0"/>
          <c:showBubbleSize val="0"/>
        </c:dLbls>
        <c:gapWidth val="150"/>
        <c:axId val="254318080"/>
        <c:axId val="254923136"/>
      </c:barChart>
      <c:catAx>
        <c:axId val="254318080"/>
        <c:scaling>
          <c:orientation val="minMax"/>
        </c:scaling>
        <c:delete val="0"/>
        <c:axPos val="b"/>
        <c:title>
          <c:tx>
            <c:rich>
              <a:bodyPr/>
              <a:lstStyle/>
              <a:p>
                <a:pPr>
                  <a:defRPr/>
                </a:pPr>
                <a:r>
                  <a:rPr lang="en-NZ"/>
                  <a:t>DHB</a:t>
                </a:r>
              </a:p>
            </c:rich>
          </c:tx>
          <c:overlay val="0"/>
        </c:title>
        <c:majorTickMark val="out"/>
        <c:minorTickMark val="none"/>
        <c:tickLblPos val="nextTo"/>
        <c:crossAx val="254923136"/>
        <c:crosses val="autoZero"/>
        <c:auto val="1"/>
        <c:lblAlgn val="ctr"/>
        <c:lblOffset val="100"/>
        <c:noMultiLvlLbl val="0"/>
      </c:catAx>
      <c:valAx>
        <c:axId val="254923136"/>
        <c:scaling>
          <c:orientation val="minMax"/>
        </c:scaling>
        <c:delete val="0"/>
        <c:axPos val="l"/>
        <c:majorGridlines/>
        <c:title>
          <c:tx>
            <c:rich>
              <a:bodyPr rot="-5400000" vert="horz"/>
              <a:lstStyle/>
              <a:p>
                <a:pPr>
                  <a:defRPr/>
                </a:pPr>
                <a:r>
                  <a:rPr lang="en-NZ"/>
                  <a:t>Rate </a:t>
                </a:r>
              </a:p>
            </c:rich>
          </c:tx>
          <c:overlay val="0"/>
        </c:title>
        <c:numFmt formatCode="General" sourceLinked="1"/>
        <c:majorTickMark val="out"/>
        <c:minorTickMark val="none"/>
        <c:tickLblPos val="nextTo"/>
        <c:crossAx val="2543180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v>Age-Standardised Rate</c:v>
          </c:tx>
          <c:invertIfNegative val="0"/>
          <c:cat>
            <c:strRef>
              <c:f>ED_only!$B$3:$B$235</c:f>
              <c:strCache>
                <c:ptCount val="20"/>
                <c:pt idx="0">
                  <c:v>Auckland</c:v>
                </c:pt>
                <c:pt idx="1">
                  <c:v>Canterbury</c:v>
                </c:pt>
                <c:pt idx="2">
                  <c:v>Capital and Coast</c:v>
                </c:pt>
                <c:pt idx="3">
                  <c:v>Counties Manukau</c:v>
                </c:pt>
                <c:pt idx="4">
                  <c:v>Hawkes Bay</c:v>
                </c:pt>
                <c:pt idx="5">
                  <c:v>Hutt</c:v>
                </c:pt>
                <c:pt idx="6">
                  <c:v>Lakes</c:v>
                </c:pt>
                <c:pt idx="7">
                  <c:v>Midcentral</c:v>
                </c:pt>
                <c:pt idx="8">
                  <c:v>Nelson Marlborough</c:v>
                </c:pt>
                <c:pt idx="9">
                  <c:v>Northland</c:v>
                </c:pt>
                <c:pt idx="10">
                  <c:v>Southern</c:v>
                </c:pt>
                <c:pt idx="11">
                  <c:v>Tairawhiti</c:v>
                </c:pt>
                <c:pt idx="12">
                  <c:v>Taranaki</c:v>
                </c:pt>
                <c:pt idx="13">
                  <c:v>Waikato</c:v>
                </c:pt>
                <c:pt idx="14">
                  <c:v>Wairarapa</c:v>
                </c:pt>
                <c:pt idx="15">
                  <c:v>Waitemata</c:v>
                </c:pt>
                <c:pt idx="16">
                  <c:v>West Coast</c:v>
                </c:pt>
                <c:pt idx="17">
                  <c:v>Whanganui</c:v>
                </c:pt>
                <c:pt idx="18">
                  <c:v>Bay of Plenty</c:v>
                </c:pt>
                <c:pt idx="19">
                  <c:v>Total NZ</c:v>
                </c:pt>
              </c:strCache>
            </c:strRef>
          </c:cat>
          <c:val>
            <c:numRef>
              <c:f>ED_only!$G$3:$G$235</c:f>
              <c:numCache>
                <c:formatCode>General</c:formatCode>
                <c:ptCount val="20"/>
                <c:pt idx="0">
                  <c:v>10.8674948672254</c:v>
                </c:pt>
                <c:pt idx="1">
                  <c:v>34.3798445757648</c:v>
                </c:pt>
                <c:pt idx="2">
                  <c:v>18.878483279918001</c:v>
                </c:pt>
                <c:pt idx="3">
                  <c:v>13.5187395469772</c:v>
                </c:pt>
                <c:pt idx="4">
                  <c:v>32.1575868623814</c:v>
                </c:pt>
                <c:pt idx="5">
                  <c:v>44.528041370579899</c:v>
                </c:pt>
                <c:pt idx="6">
                  <c:v>44.462813027858502</c:v>
                </c:pt>
                <c:pt idx="7">
                  <c:v>87.460662375059698</c:v>
                </c:pt>
                <c:pt idx="8">
                  <c:v>19.6367266429389</c:v>
                </c:pt>
                <c:pt idx="9">
                  <c:v>29.607059344711999</c:v>
                </c:pt>
                <c:pt idx="10">
                  <c:v>49.915638130120797</c:v>
                </c:pt>
                <c:pt idx="11">
                  <c:v>51.246008599735099</c:v>
                </c:pt>
                <c:pt idx="12">
                  <c:v>51.7125026195218</c:v>
                </c:pt>
                <c:pt idx="13">
                  <c:v>36.967391487045099</c:v>
                </c:pt>
                <c:pt idx="14">
                  <c:v>55.471109546243802</c:v>
                </c:pt>
                <c:pt idx="15">
                  <c:v>22.264597250163099</c:v>
                </c:pt>
                <c:pt idx="16">
                  <c:v>43.668438667754202</c:v>
                </c:pt>
                <c:pt idx="17">
                  <c:v>35.202627837181602</c:v>
                </c:pt>
                <c:pt idx="18">
                  <c:v>32.2969614285444</c:v>
                </c:pt>
                <c:pt idx="19">
                  <c:v>35.322476746227501</c:v>
                </c:pt>
              </c:numCache>
            </c:numRef>
          </c:val>
        </c:ser>
        <c:dLbls>
          <c:showLegendKey val="0"/>
          <c:showVal val="0"/>
          <c:showCatName val="0"/>
          <c:showSerName val="0"/>
          <c:showPercent val="0"/>
          <c:showBubbleSize val="0"/>
        </c:dLbls>
        <c:gapWidth val="150"/>
        <c:axId val="323703936"/>
        <c:axId val="323706240"/>
      </c:barChart>
      <c:catAx>
        <c:axId val="323703936"/>
        <c:scaling>
          <c:orientation val="minMax"/>
        </c:scaling>
        <c:delete val="0"/>
        <c:axPos val="b"/>
        <c:title>
          <c:tx>
            <c:rich>
              <a:bodyPr/>
              <a:lstStyle/>
              <a:p>
                <a:pPr>
                  <a:defRPr/>
                </a:pPr>
                <a:r>
                  <a:rPr lang="en-NZ"/>
                  <a:t>DHB</a:t>
                </a:r>
              </a:p>
            </c:rich>
          </c:tx>
          <c:overlay val="0"/>
        </c:title>
        <c:majorTickMark val="out"/>
        <c:minorTickMark val="none"/>
        <c:tickLblPos val="nextTo"/>
        <c:crossAx val="323706240"/>
        <c:crosses val="autoZero"/>
        <c:auto val="1"/>
        <c:lblAlgn val="ctr"/>
        <c:lblOffset val="100"/>
        <c:noMultiLvlLbl val="0"/>
      </c:catAx>
      <c:valAx>
        <c:axId val="323706240"/>
        <c:scaling>
          <c:orientation val="minMax"/>
        </c:scaling>
        <c:delete val="0"/>
        <c:axPos val="l"/>
        <c:majorGridlines/>
        <c:title>
          <c:tx>
            <c:rich>
              <a:bodyPr rot="-5400000" vert="horz"/>
              <a:lstStyle/>
              <a:p>
                <a:pPr>
                  <a:defRPr/>
                </a:pPr>
                <a:r>
                  <a:rPr lang="en-NZ"/>
                  <a:t>Rate</a:t>
                </a:r>
              </a:p>
            </c:rich>
          </c:tx>
          <c:overlay val="0"/>
        </c:title>
        <c:numFmt formatCode="General" sourceLinked="1"/>
        <c:majorTickMark val="out"/>
        <c:minorTickMark val="none"/>
        <c:tickLblPos val="nextTo"/>
        <c:crossAx val="32370393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v>Age-Standardised Rate</c:v>
          </c:tx>
          <c:invertIfNegative val="0"/>
          <c:cat>
            <c:strRef>
              <c:f>Readmissions!$B$4:$B$172</c:f>
              <c:strCache>
                <c:ptCount val="14"/>
                <c:pt idx="0">
                  <c:v>Auckland</c:v>
                </c:pt>
                <c:pt idx="1">
                  <c:v>Canterbury</c:v>
                </c:pt>
                <c:pt idx="2">
                  <c:v>Counties Manukau</c:v>
                </c:pt>
                <c:pt idx="3">
                  <c:v>Hawkes Bay</c:v>
                </c:pt>
                <c:pt idx="4">
                  <c:v>Hutt</c:v>
                </c:pt>
                <c:pt idx="5">
                  <c:v>Lakes</c:v>
                </c:pt>
                <c:pt idx="6">
                  <c:v>Midcentral</c:v>
                </c:pt>
                <c:pt idx="7">
                  <c:v>Northland</c:v>
                </c:pt>
                <c:pt idx="8">
                  <c:v>Southern</c:v>
                </c:pt>
                <c:pt idx="9">
                  <c:v>Taranaki</c:v>
                </c:pt>
                <c:pt idx="10">
                  <c:v>Waikato</c:v>
                </c:pt>
                <c:pt idx="11">
                  <c:v>Whanganui</c:v>
                </c:pt>
                <c:pt idx="12">
                  <c:v>Bay of Plenty</c:v>
                </c:pt>
                <c:pt idx="13">
                  <c:v>Total NZ</c:v>
                </c:pt>
              </c:strCache>
            </c:strRef>
          </c:cat>
          <c:val>
            <c:numRef>
              <c:f>Readmissions!$G$4:$G$172</c:f>
              <c:numCache>
                <c:formatCode>General</c:formatCode>
                <c:ptCount val="14"/>
                <c:pt idx="0">
                  <c:v>6.7486180877962001</c:v>
                </c:pt>
                <c:pt idx="1">
                  <c:v>10.2292419181556</c:v>
                </c:pt>
                <c:pt idx="2">
                  <c:v>8.2935443206919093</c:v>
                </c:pt>
                <c:pt idx="3">
                  <c:v>4.0803892789281404</c:v>
                </c:pt>
                <c:pt idx="4">
                  <c:v>11.635610823213501</c:v>
                </c:pt>
                <c:pt idx="5">
                  <c:v>11.676513011895601</c:v>
                </c:pt>
                <c:pt idx="6">
                  <c:v>5.0899702329884304</c:v>
                </c:pt>
                <c:pt idx="7">
                  <c:v>9.2356182507188205</c:v>
                </c:pt>
                <c:pt idx="8">
                  <c:v>11.5191635630778</c:v>
                </c:pt>
                <c:pt idx="9">
                  <c:v>6.1023390741910299</c:v>
                </c:pt>
                <c:pt idx="10">
                  <c:v>11.1711273944256</c:v>
                </c:pt>
                <c:pt idx="11">
                  <c:v>7.6943477836520797</c:v>
                </c:pt>
                <c:pt idx="12">
                  <c:v>10.1816328875849</c:v>
                </c:pt>
                <c:pt idx="13">
                  <c:v>12.5906534142089</c:v>
                </c:pt>
              </c:numCache>
            </c:numRef>
          </c:val>
        </c:ser>
        <c:dLbls>
          <c:showLegendKey val="0"/>
          <c:showVal val="0"/>
          <c:showCatName val="0"/>
          <c:showSerName val="0"/>
          <c:showPercent val="0"/>
          <c:showBubbleSize val="0"/>
        </c:dLbls>
        <c:gapWidth val="150"/>
        <c:axId val="600610304"/>
        <c:axId val="600965120"/>
      </c:barChart>
      <c:catAx>
        <c:axId val="600610304"/>
        <c:scaling>
          <c:orientation val="minMax"/>
        </c:scaling>
        <c:delete val="0"/>
        <c:axPos val="b"/>
        <c:title>
          <c:tx>
            <c:rich>
              <a:bodyPr/>
              <a:lstStyle/>
              <a:p>
                <a:pPr>
                  <a:defRPr/>
                </a:pPr>
                <a:r>
                  <a:rPr lang="en-NZ"/>
                  <a:t>DHB</a:t>
                </a:r>
              </a:p>
            </c:rich>
          </c:tx>
          <c:overlay val="0"/>
        </c:title>
        <c:majorTickMark val="out"/>
        <c:minorTickMark val="none"/>
        <c:tickLblPos val="nextTo"/>
        <c:crossAx val="600965120"/>
        <c:crosses val="autoZero"/>
        <c:auto val="1"/>
        <c:lblAlgn val="ctr"/>
        <c:lblOffset val="100"/>
        <c:noMultiLvlLbl val="0"/>
      </c:catAx>
      <c:valAx>
        <c:axId val="600965120"/>
        <c:scaling>
          <c:orientation val="minMax"/>
        </c:scaling>
        <c:delete val="0"/>
        <c:axPos val="l"/>
        <c:majorGridlines/>
        <c:title>
          <c:tx>
            <c:rich>
              <a:bodyPr rot="-5400000" vert="horz"/>
              <a:lstStyle/>
              <a:p>
                <a:pPr>
                  <a:defRPr/>
                </a:pPr>
                <a:r>
                  <a:rPr lang="en-NZ"/>
                  <a:t>Rate</a:t>
                </a:r>
              </a:p>
            </c:rich>
          </c:tx>
          <c:overlay val="0"/>
        </c:title>
        <c:numFmt formatCode="General" sourceLinked="1"/>
        <c:majorTickMark val="out"/>
        <c:minorTickMark val="none"/>
        <c:tickLblPos val="nextTo"/>
        <c:crossAx val="60061030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CA299-81BF-45C3-B320-8F998C91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24371</Words>
  <Characters>138916</Characters>
  <Application>Microsoft Office Word</Application>
  <DocSecurity>4</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162962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Sanna Fourt-Wells</cp:lastModifiedBy>
  <cp:revision>2</cp:revision>
  <cp:lastPrinted>2014-03-14T01:09:00Z</cp:lastPrinted>
  <dcterms:created xsi:type="dcterms:W3CDTF">2017-03-28T20:56:00Z</dcterms:created>
  <dcterms:modified xsi:type="dcterms:W3CDTF">2017-03-28T20:56:00Z</dcterms:modified>
</cp:coreProperties>
</file>